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20" w:val="left"/>
          <w:tab w:leader="none" w:pos="5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-7620</wp:posOffset>
            </wp:positionV>
            <wp:extent cx="1266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6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4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Non-accelerated filer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 Smaller reporting company</w:t>
      </w:r>
    </w:p>
    <w:p>
      <w:pPr>
        <w:spacing w:after="0" w:line="323" w:lineRule="exact"/>
        <w:rPr>
          <w:sz w:val="20"/>
          <w:szCs w:val="20"/>
          <w:color w:val="auto"/>
        </w:rPr>
      </w:pPr>
    </w:p>
    <w:p>
      <w:pPr>
        <w:sectPr>
          <w:pgSz w:w="11900" w:h="16838" w:orient="portrait"/>
          <w:cols w:equalWidth="0" w:num="4">
            <w:col w:w="2420" w:space="720"/>
            <w:col w:w="1440" w:space="720"/>
            <w:col w:w="3340" w:space="500"/>
            <w:col w:w="2260"/>
          </w:cols>
          <w:pgMar w:left="240" w:top="122" w:right="25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13,675,518 shares of Common Stock, par value $0.01 per share, of the registrant were outstanding on August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vMerge w:val="restart"/>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830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Item 1A. Risk Factors</w:t>
              </w:r>
            </w:hyperlink>
          </w:p>
        </w:tc>
        <w:tc>
          <w:tcPr>
            <w:tcW w:w="904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57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6.</w:t>
              </w:r>
            </w:hyperlink>
          </w:p>
        </w:tc>
        <w:tc>
          <w:tcPr>
            <w:tcW w:w="10100" w:type="dxa"/>
            <w:vAlign w:val="bottom"/>
            <w:gridSpan w:val="16"/>
          </w:tcPr>
          <w:p>
            <w:pPr>
              <w:ind w:left="2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48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Exhibit Index</w:t>
              </w:r>
            </w:hyperlink>
          </w:p>
        </w:tc>
        <w:tc>
          <w:tcPr>
            <w:tcW w:w="96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21,377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49,199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58,636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44,722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178,690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8,472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12,076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220,927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42,603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1,828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60,602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Long-term liabilities: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Income tax payable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1,442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62,338</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200"/>
              <w:spacing w:after="0" w:line="201" w:lineRule="exact"/>
              <w:rPr>
                <w:sz w:val="20"/>
                <w:szCs w:val="20"/>
                <w:color w:val="auto"/>
              </w:rPr>
            </w:pPr>
            <w:r>
              <w:rPr>
                <w:rFonts w:ascii="Arial" w:cs="Arial" w:eastAsia="Arial" w:hAnsi="Arial"/>
                <w:sz w:val="18"/>
                <w:szCs w:val="18"/>
                <w:color w:val="auto"/>
                <w:w w:val="93"/>
              </w:rPr>
              <w:t>Common stock, $0.01 par value, 50,000,000 shares authorized; 18,925,878 and 18,715,833 shares issued at June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30, 2009 and December 31, 2008, respectively</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124,643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108,926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234,724</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Less cost of common stock in treasury, 5,274,296 and 5,070,319 shares at June 30, 2009 and December 31, 2008,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(76,135)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158,589</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220,927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78,303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70,684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149,429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52,808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46,472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102,497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25,495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24,212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46,932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45,947</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2,050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4,160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17,758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17,734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35,549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34,590</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5,687</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7,223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5,248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(2,180)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(2,691)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13,621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14,033</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13,640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13,981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14,547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13,907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4,612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3,332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Benefit for deferred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(3,021)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(49,199)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assets from Zilog, Inc.</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(61,645)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(16,830)</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(53,861)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75,238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21,377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prior-year amounts in order to conform to the current-year presentation.</w:t>
      </w:r>
    </w:p>
    <w:p>
      <w:pPr>
        <w:ind w:right="12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results of operations for the three and six months ended June 30, 2009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Consolidated Financial Statements and notes thereto included in Items 1A, 7, 7A, and 8, respectively, of our Annual Report on Form 10-K for the fiscal year ended December 31, 2008. December 31, 2008 balances within these interim consolidated financial statements were derived from the aforementioned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these judgments and estimates, and they may be adjusted as more information becomes available. Any adjustment may be material.</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1 to the consolidated financial statements included in our Annual Report on Form 10-K for the year ended December 31, 2008 for a summary of our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2009, the FASB issued SFAS No. 168, “The FASB Accounting Standards Codification and the Hierarchy of Generally Accepted Accounting Principles — a replacement of FASB Statement No. 162” (SFAS 168). SFAS 168 establishes the FASB Accounting Standards Codification as the source of authoritative U.S. GAAP and identifies the framework for selecting the principles to utilize in the preparation of financial statements for nongovernmental entities. SFAS No. 168 is effective for financials statements issued for interim and annual periods ending after September 15, 2009. The issuance of SFAS 168 and the Codification does not change U.S. GAAP, and therefore the implementation of this standard will not have a material impact on our consolidated financial position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The adoption of Statement 141R will affect the total purchase price of future acquisitions, as acquisition costs will now be expensed, and the allocation of fair value to specific assets and liabilities will be different. SFAS 141R was effective for us January 1, 2009. As a result of adopting SFAS 141R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recognized $0 and $1.1 million of acquisition costs during the three and six months ended June 30, 2009, respectively, related to our purchase of assets from Zilog, Inc. The acquisition costs recognized during the six months ended June 30, 2009 included $0.1 million of acquisition costs that were capitalized at December 31, 2008.</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May 2009, the FASB issued SFAS No. 165, “Subsequent Events” (“SFAS 165”). SFAS 165 establishes general accounting standards and disclosure for subsequent events. We adopted this standard during the second quarter of 2009. In accordance with SFAS 165, we have evaluated subsequent events through the date and time the financial statements were issued on August 10, 2009.</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recently adopted accounting standards above, we adopted the following accounting standards during the first six months of 2009, none of which had a material effect on our consolidated financial position and results of operations:</w:t>
      </w:r>
    </w:p>
    <w:p>
      <w:pPr>
        <w:spacing w:after="0" w:line="6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157-2, “Effective Date of FASB Statement No. 157”</w:t>
      </w:r>
    </w:p>
    <w:p>
      <w:pPr>
        <w:spacing w:after="0" w:line="117" w:lineRule="exact"/>
        <w:rPr>
          <w:rFonts w:ascii="Arial" w:cs="Arial" w:eastAsia="Arial" w:hAnsi="Arial"/>
          <w:sz w:val="18"/>
          <w:szCs w:val="18"/>
          <w:b w:val="1"/>
          <w:bCs w:val="1"/>
          <w:color w:val="auto"/>
        </w:rPr>
      </w:pPr>
    </w:p>
    <w:p>
      <w:pPr>
        <w:ind w:left="460" w:right="76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157-4 “Determining Fair Value When the Volume and Level of Activity for the Asset or Liability Have Significantly Decreased and Identifying Transactions That Are Not Orderly”</w:t>
      </w:r>
    </w:p>
    <w:p>
      <w:pPr>
        <w:spacing w:after="0" w:line="62"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107-1 and APB 28-1, “Interim Disclosures about Fair Value of Financial Instruments”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141(R)-1, “Accounting for Assets Acquired and Liabilities Assumed in a Business Combination That Arise from Contingencies”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132(R)-1, “Employers’ Disclosures about Postretirement Benefit Plan Assets”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EITF Issue No. 08-7, “Accounting for Defensive Intangible Assets”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EITF 03-6-1, “Determining Whether Instruments Granted in Share-Based Payment Transactions Are Participating Securities”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FSP FAS 142-3, “Determination of the Useful Life of Intangible Assets”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SFAS No. 161, “Disclosures About Derivative Instruments and Hedging Activities-an amendment of FASB Statement No. 133”</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SFAS 160, “Noncontrolling Interests in Consolidated Financial Statements—an amendment of ARB No. 51”</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EITF Issue No. 07-1, “Accounting for Collaborative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account for our stock-based compensation plans under SFAS No. 123R, “Share-Based Payment” (“SFAS 123R”). Stock-based compensation expense for each employee and director is presented in the same income statement caption as their cash compensation. We recorded $1.1 million of pre-tax stock-based compensation expense during the three months ended June 30, 2009 and 2008. During the six months ended June 30, 2009 and 2008, we recorded $2.1 million and $2.3 million, respectively, of pre-tax stock-based compensation expense.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by income statement caption for the three and six months ended June 30, 2009 and 2008 was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Selling, general and administrative expense (“SG&amp;A”) includes stock-based compensation related to restricted stock awards granted to outside directors of $0.1 million and $0.2 million for the three months ended June 30, 2009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2008, respectively. During the six months ended June 30, 2009 and 2008, stock-based compensation related to restricted stock awards granted to outside directors was $0.3 million and $0.4 million, respectively.</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SG&amp;A also includes pre-tax stock-based compensation related to stock option awards granted to outside directors of $0.1 million and $0.1 million for the three months ended June 30, 2009 and 2008, respectively. During the six months ended June 30, 2009 and 2008, pre-tax stock-based compensation related to options granted to directors was $0.1 million and $0.1 million, respectively.</w:t>
      </w:r>
    </w:p>
    <w:p>
      <w:pPr>
        <w:spacing w:after="0" w:line="73"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income tax benefit under SFAS 123R from the recognition of stock-based compensation for the three months ended June 30, 2009 and 2008 was $0.4 million and $0.4 million, respectively. During the six months ended June 30, 2009 and 2008, the income tax benefit under SFAS 123R from the recognition of stock-based compensation was $0.7 million and $0.8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accordance with SFAS 123R, compensation expense related to stock option awards is determined based on the fair value of the awards on the grant date. We recognize the compensation expense related to stock option awards net of estimated forfeitures over the service period of the award, which is the option vesting term ranging from three to four years. We estimated the annual forfeiture rate based upon our historical forfeitures. The compensation expense recognized for stock option awards at any date is equal to the portion of the grant-date fair value that is vested on that date.</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estimate the fair value of stock option awards using the Black-Scholes option pricing model utilizing the following assumptions and weighted average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8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r>
      <w:tr>
        <w:trPr>
          <w:trHeight w:val="171"/>
        </w:trPr>
        <w:tc>
          <w:tcPr>
            <w:tcW w:w="5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9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15"/>
                <w:szCs w:val="15"/>
                <w:b w:val="1"/>
                <w:bCs w:val="1"/>
                <w:color w:val="auto"/>
              </w:rPr>
              <w:t>(1)</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$ 7.09</w:t>
            </w:r>
          </w:p>
        </w:tc>
        <w:tc>
          <w:tcPr>
            <w:tcW w:w="16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$10.57</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$ 7.02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9.07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640" w:type="dxa"/>
            <w:vAlign w:val="bottom"/>
            <w:gridSpan w:val="3"/>
          </w:tcPr>
          <w:p>
            <w:pPr>
              <w:jc w:val="right"/>
              <w:ind w:right="108"/>
              <w:spacing w:after="0"/>
              <w:rPr>
                <w:sz w:val="20"/>
                <w:szCs w:val="20"/>
                <w:color w:val="auto"/>
              </w:rPr>
            </w:pPr>
            <w:r>
              <w:rPr>
                <w:rFonts w:ascii="Arial" w:cs="Arial" w:eastAsia="Arial" w:hAnsi="Arial"/>
                <w:sz w:val="18"/>
                <w:szCs w:val="18"/>
                <w:color w:val="auto"/>
              </w:rPr>
              <w:t>3.03%</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1.92%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2.74%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16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41.42%</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49.48%</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5"/>
              </w:rPr>
              <w:t>40.84%</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4.85</w:t>
            </w:r>
          </w:p>
        </w:tc>
        <w:tc>
          <w:tcPr>
            <w:tcW w:w="1640" w:type="dxa"/>
            <w:vAlign w:val="bottom"/>
            <w:gridSpan w:val="3"/>
          </w:tcPr>
          <w:p>
            <w:pPr>
              <w:jc w:val="right"/>
              <w:ind w:right="268"/>
              <w:spacing w:after="0"/>
              <w:rPr>
                <w:sz w:val="20"/>
                <w:szCs w:val="20"/>
                <w:color w:val="auto"/>
              </w:rPr>
            </w:pPr>
            <w:r>
              <w:rPr>
                <w:rFonts w:ascii="Arial" w:cs="Arial" w:eastAsia="Arial" w:hAnsi="Arial"/>
                <w:sz w:val="18"/>
                <w:szCs w:val="18"/>
                <w:color w:val="auto"/>
              </w:rPr>
              <w:t>4.72</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4.85</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fair value calculation was based on stock options granted during each respective period.</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six months ended June 30, 2009, the Board of Directors granted our executives 185,900 stock options under various stock incentive plans. The grants, dated March 10, 2009, are subject to a four-year vesting period (one-sixteenth each quarter). In addition to the March 10, 2009 grants, 47,500 stock options subject to a four-year vesting period (one-sixteenth each quarter) were granted to new hires. The aggregate grant date fair value of these awards was $1.3 million. During the three and six months ended June 30, 2009, the stock-based compensation expense included in SG&amp;A related to these awards was $0.1 million and $0.1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did not grant any stock options during the three months ended June 30,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six months ended June 30, 2009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11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48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80" w:type="dxa"/>
            <w:vAlign w:val="bottom"/>
          </w:tcPr>
          <w:p>
            <w:pPr>
              <w:spacing w:after="0"/>
              <w:rPr>
                <w:sz w:val="14"/>
                <w:szCs w:val="14"/>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1,729</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$17.64</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233</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15.89</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10.48</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Forfeited/cancelled/ expired</w:t>
            </w:r>
          </w:p>
        </w:tc>
        <w:tc>
          <w:tcPr>
            <w:tcW w:w="3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27.21</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2009</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1,810</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$17.98</w:t>
            </w:r>
          </w:p>
        </w:tc>
        <w:tc>
          <w:tcPr>
            <w:tcW w:w="1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5.52</w:t>
            </w:r>
          </w:p>
        </w:tc>
        <w:tc>
          <w:tcPr>
            <w:tcW w:w="16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Arial" w:cs="Arial" w:eastAsia="Arial" w:hAnsi="Arial"/>
                <w:sz w:val="18"/>
                <w:szCs w:val="18"/>
                <w:color w:val="auto"/>
              </w:rPr>
              <w:t>Vested and expected to vest at June 30, 2009</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1,774</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$17.91</w:t>
            </w:r>
          </w:p>
        </w:tc>
        <w:tc>
          <w:tcPr>
            <w:tcW w:w="146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5.45</w:t>
            </w:r>
          </w:p>
        </w:tc>
        <w:tc>
          <w:tcPr>
            <w:tcW w:w="1620" w:type="dxa"/>
            <w:vAlign w:val="bottom"/>
            <w:gridSpan w:val="2"/>
          </w:tcPr>
          <w:p>
            <w:pPr>
              <w:ind w:left="760"/>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2009</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1,340</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$16.92</w:t>
            </w:r>
          </w:p>
        </w:tc>
        <w:tc>
          <w:tcPr>
            <w:tcW w:w="1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4.35</w:t>
            </w:r>
          </w:p>
        </w:tc>
        <w:tc>
          <w:tcPr>
            <w:tcW w:w="16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8</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aggregate intrinsic value in the table above represents the total pre-tax intrinsic value that option holders would have received had all option holders exercised their options on June 30, 2009. The aggregate intrinsic value is the difference between the closing price of Universal Electronics Inc.’s common stock on the last trading day of the second quarter of 2009 and the option exercise price, multiplied by the number of the in-the-money options. The total intrinsic value of options exercised for the three months ended June 30, 2009 and 2008, was $1.1 million and $0.5 million, respectively. The total intrinsic value of options exercised for the six months ended June 30, 2009 and 2008, was $1.3 million and $0.7 million, respectively.</w:t>
      </w:r>
    </w:p>
    <w:p>
      <w:pPr>
        <w:spacing w:after="0" w:line="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June 30, 2009, there was $3.5 million of unrecognized pre-tax stock-based compensation expense related to non-vested stock options which we expect to recognize over a weighted-average life of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accordance with SFAS 123R, compensation expense related to restricted stock awards is determined based on the fair value of the shares awarded on the grant date. We determined the fair value of the restricted stock utilizing the average of the high and low trade prices of our Company’s shares on the grant date. We recognize the employee compensation expense over the service period of the award, which is the vesting term ranging from two to four years. The compensation expense recognized for restricted stock awards at any date is equal to the portion of the grant-date fair value that is vested on that date.</w:t>
      </w:r>
    </w:p>
    <w:p>
      <w:pPr>
        <w:spacing w:after="0" w:line="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first quarter of 2009, the Compensation Committee and Board of Directors granted 290,062 shares of restricted stock to employees under the 2006 Stock Incentive Plan. The first grant of 77,146 shares, dated February 12, 2009, is subject to a three-year vesting period (5% each quarter during the first two years and 15% each quarter during the third year). The second grant of 24,723 shares, dated March 4, 2009, is subject to a two-year vesting period (12.5% each quarter). The third grant of 147,693 shares, dated March 10, 2009, is subject to a three-year vesting period (8.75% each quarter during the first two years and 7.5% each quarter during the third year). The fourth grant of 40,500 shares, dated March 10, 2009, is subject to a four-year vesting period (6.25% each quarter). In addition to the grants above, 5,000 shares of restricted stock, subject to a four-year vesting period (6.25% each quarter), were granted to new hires. The aggregate grant date fair value of these awards was $4.4 million. The pre-tax stock-based compensation expense included in SG&amp;A related to these awards was $0.4 million and $0.5 million for the three and six months ended June 30, 2009,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did not grant any shares of restricted stock during the three months ended June 30,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activity during the six months ended and as of June 30, 2009,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295</w:t>
            </w:r>
          </w:p>
        </w:tc>
        <w:tc>
          <w:tcPr>
            <w:tcW w:w="1620" w:type="dxa"/>
            <w:vAlign w:val="bottom"/>
            <w:gridSpan w:val="2"/>
          </w:tcPr>
          <w:p>
            <w:pPr>
              <w:jc w:val="right"/>
              <w:ind w:right="264"/>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2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2009</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327</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2009, we expect to recognize $5.3 million of unrecognized pre-tax compensation expense related to non-vested restricted stock awards over a weighted-average life of 2.4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Term Deposit</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located in many different geographic regions. As part of our cash and risk management processes, we perform periodic evaluations of the relative credit standing of the financial institutions. We attempt to mitigate our exposure to interest rate, liquidity, credit and other relevant risks by placing our cash and cash equivalents with financial institutions we believe are high quality. We have not sustained credit losses from instruments held at financial institutions.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At June 30, 2009, we had approximately $8.4 million, $9.3 million, and $3.7 million of cash and cash equivalents in the United States, Europe, and Asia, respectively. In addition, we had a term deposit of $49.2 million, including accrued interest of $0.2 million, in Asia at June 30, 2009. At December 31, 2008, we had approximately $8.4 million, $6.1 million, and $60.7 million of cash and cash equivalents in the United States, Europe, and Asia, respectively.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June 30, 2009, we had a six month term deposit cash account in Hong Kong with ABN Amro Bank. The term began on January 13, 2009 and ended on July 13, 2009. The term deposit earned interest at a rate of 1.05%. The interest was received on July 13, 2009. The deposit amount and accrued interest related to this account as of June 30, 2009 was $49.0 million and $0.2 million, respectively. On July 21, 2009, we transferred this deposit to Wells Fargo Bank into a six month term deposit bearing interest at 0.57%, with no penalties for early withdrawal.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at June 30, 2009 and December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61,934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(2,398)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(2,439)</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(1,343)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58,193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59,752</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58,636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59,825</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64"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Other receivables as of June 30, 2009 consisted of $185 thousand in sales tax and VAT tax receivable. Additionally, $185 thousand is reimburseable from a vendor for quality issues. As of June 30, 2009 and December 31, 2008, $73 thousand of other receivables related to a discount receivable from a vendor for tooling.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2009 and 2008, we had net sales to one significant customer that amounted to more than 10% of our total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2009, we had net sales to an additional significant customer.</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sales to one significant customer, when combined with its sub-contractors, totaled $20.7 million and $13.8 million, accounting for 26.5% and 19.5% of our total net sales, for the three months ended June 30, 2009 and 2008, respectively. Net sales made to this customer and its subcontractors was $37.3 million and $23.1 million, representing 24.9% and 17.5% during the six months ended June 30, 2009 and 2008, respectively. Trade receivables with this customer and its sub-contractors amounted to $13.6 million and $11.7 million, or 23.2% and 19.5% of our accounts receivable, net at June 30, 2009 and December 31, 2008,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had no other significant customers during the three months ended June 30, 2009 or 2008.</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six months ended June 30, 2009 net sales to a another significant customer, when combined with its sub-contractors accounted for $15.4 million, representing 10.3% of total net sales. Net sales to the same customer and its subcontractors accounted for $11.4 million, representing 8.7% of total net sales during the six months ended June 30, 2008. Trade receivables with this customer amounted to $3.3 million and $9.1 million, or 5.6% and 15.3% of our accounts receivable, net at June 30, 2009 and December 31, 2008, respectively.</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loss of any of these customers, or our inability to maintain order volume with them, would have a material adverse effect on our financial condition, results of operations and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Inventories consist of remote controls, audio-video accessories and the related component parts.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w:t>
      </w:r>
    </w:p>
    <w:p>
      <w:pPr>
        <w:spacing w:after="0" w:line="3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its estimated market value. These estimates are based upon management’s judgment about future demand and market conditions. If actual market conditions are less favorable than those projected by management, additional write-downs may be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39,153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37,331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44,722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months ended June 30, 2009 and 2008, inventory provisions totaled $1.3 million and $0.7 million, respectively. During the six months ended June 30, 2009 and 2008, inventory provisions totaled $2.2 million and $1.0 million, respectively. Inventory provisions are a normal part of our business and result primarily from product life cycle estimation variances.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Most of the components used in our products are available from multiple sources. We have elected to purchase integrated circuits (“IC”), used principally in our wireless control products, from two main sources. Purchases from one of these suppliers amounted to more than 10% of total inventory purchases. Purchases from this supplier amounted to $7.3 million and $7.2 million, representing 14.8% and 15.7% of total inventory purchases for the three months ended June 30, 2009 and 2008, respectively. Purchases from this supplier amounted to $13.6 million and $13.8 million, representing 14.8% and 16.4% of total inventory purchases for the six months ended June 30, 2009 and 2008, respectively. Accounts payable with this supplier amounted to $4.7 million and $3.6 million, representing 11.0% and 8.1% of total accounts payable at June 30, 2009 and December 31, 2008, respectively.</w:t>
      </w:r>
    </w:p>
    <w:p>
      <w:pPr>
        <w:spacing w:after="0" w:line="5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the three months ended June 30, 2009, purchases from three of our component and finished good suppliers amounted to more than 10% of total inventory purchases. Purchases from these three suppliers amounted to $12.6 million, $12.3 million and $6.9 million, representing 25.6%, 24.8% and 14.0%, respectively, of total inventory purchases for the three months ended June 30, 2009. During the three months ended June 30, 2008, purchases from these three suppliers amounted to $12.9 million, $6.4 million and $4.4 million, representing 28.3%, 14.1% and 9.8%, respectively, of total inventory purchases.</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six months ended June 30, 2009, purchases from three of our component and finished good suppliers amounted to more than 10% of total inventory purchases. Purchases from these three suppliers amounted to $23.3 million, $21.5 million and $14.5 million, representing 25.3%, 23.3% and 15.7%, respectively, of total inventory purchases for the six months ended June 30, 2009. During the six months ended June 30, 2008, purchases from these three suppliers amounted to $24.8 million, $13.0 million and $8.0 million, representing 29.4%, 15.5% and 9.5%, respectively, of total inventory purchases.</w:t>
      </w:r>
    </w:p>
    <w:p>
      <w:pPr>
        <w:spacing w:after="0" w:line="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Accounts payable with these component and finished suppliers amounted to $11.9 million, $11.3 million and $5.9 million, representing 27.9%, 26.7% and 13.8%, respectively, of total accounts payable at June 30, 2009. At December 31, 2008, accounts payable with the same suppliers amounted to $11.0 million, $15.6 million and $5.4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million, representing 24.7%, 35.0% and 12.0%, respectively, of total accounts payable. No other suppliers accounted for more than 10% of total inventory purchases during the three or six months ended June 30, 2009 or 2008.</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identified alternative sources of supply for these ICs, components, and finished goods; however, there can be no assurance that we will be able to continue to obtain these inventory purchases on a timely basis. We generally maintain inventories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our estimated annual effective tax rate to determine our provision for income taxes for interim periods. The income tax provision for the second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 2009 is computed by taking the estimated annual effective tax rate and multiplying if by the year-to-date pre-tax income, and subtracting the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provision recorded during the prior quarter. We recorded income tax expense of $2.2 million and $1.8 million for the three months ended June 30,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2008, respectively. Our effective tax rate was 36.4% and 33.4% during the three months ended June 30, 2009 and 2008, respectively. We recorded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 expense of $2.7 million and $3.0 million for the six months ended June 30, 2009 and 2008, respectively. Our annual estimated effective tax rate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36.8% and 33.8% during the six months ended June 30, 2009 and 2008, respectively. The increase in our effective tax rate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2009 is the result of fixed interest expense on tax contingencies representing a higher percentage of pre-tax income, coupled with a higher percentage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income earned in higher tax rate jurisdictions.</w:t>
      </w:r>
    </w:p>
    <w:p>
      <w:pPr>
        <w:spacing w:after="0" w:line="10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We apply the provisions of FASB Interpretation 48, “Accounting for Uncertainty in Income Taxes- an interpretation of FASB Statement No. 109” (“FIN 48”). At June 30, 2009, we had gross unrecognized tax benefits of approximately $9.1 million, including interest and penalties, of which approximately</w:t>
      </w:r>
    </w:p>
    <w:p>
      <w:pPr>
        <w:spacing w:after="0" w:line="254" w:lineRule="auto"/>
        <w:rPr>
          <w:sz w:val="20"/>
          <w:szCs w:val="20"/>
          <w:color w:val="auto"/>
        </w:rPr>
      </w:pPr>
      <w:r>
        <w:rPr>
          <w:rFonts w:ascii="Arial" w:cs="Arial" w:eastAsia="Arial" w:hAnsi="Arial"/>
          <w:sz w:val="18"/>
          <w:szCs w:val="18"/>
          <w:color w:val="auto"/>
        </w:rPr>
        <w:t>$8.3 million of this amount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accordance with FIN 48, we have elected to classify interest and penalties as a component of tax expense. Accrued interest and penalties were $1.4 million at June 30, 2009 and $1.2 million at December, 31, 2008 and are included in the unrecognized tax benefits.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As of June 30, 2009, the open statutes of limitations in our significant tax jurisdictions are as follows: federal and state for 2004 through 2008, and non-U.S. for 2001 through 2008. Unrecognized tax benefits at June 30, 2009 of $6.1 million, including related interest of $1.0 million, are classified as short term as we expect to settle certain foreign audits during 2009. The remainder of the gross unrecognized tax benefits of $3.0 million are classified as long term as prescribed by FIN 48 because we do not anticipate payment of cash related to those unrecognized tax benefits within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computation of diluted earnings per common share for the three months ended June 30, 2009 and 2008, we have excluded 750,900 and 413,916 stock options, respectively, with exercise prices greater than the average market price of the underlying common stock, because their inclusion would have been anti-dilutive. Furthermore, for the three months ended June 30, 2009 and 2008, we have excluded 266,945 and 106,263 of unvested shares of restricted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stock, respectively, whose combined unamortized fair value and excess tax benefits were greater in each of those periods than the average market price for our common stock, as their effect would be anti-dilutive.</w:t>
      </w:r>
    </w:p>
    <w:p>
      <w:pPr>
        <w:spacing w:after="0" w:line="6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the computation of diluted earnings per common share for the six months ended June 30, 2009 and 2008, we have excluded 985,068 and 385,308 stock options, respectively, with exercise prices greater than the average market price of the underlying common stock, because their inclusion would have been anti-dilutive. Furthermore, for the six months ended June 30, 2009 and 2008, we have excluded 225,025 and 98,383 of unvested shares of restricted stock, respectively, whose combined unamortized fair value and excess tax benefits were greater in each of those periods than the average market price for our common stock, as their effect would be anti-dilutive.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six months ended June 30, 2009 and 2008,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800"/>
              <w:spacing w:after="0"/>
              <w:rPr>
                <w:sz w:val="20"/>
                <w:szCs w:val="20"/>
                <w:color w:val="auto"/>
              </w:rPr>
            </w:pPr>
            <w:r>
              <w:rPr>
                <w:rFonts w:ascii="Arial" w:cs="Arial" w:eastAsia="Arial" w:hAnsi="Arial"/>
                <w:sz w:val="18"/>
                <w:szCs w:val="18"/>
                <w:b w:val="1"/>
                <w:bCs w:val="1"/>
                <w:color w:val="auto"/>
              </w:rPr>
              <w:t>BASI</w:t>
            </w:r>
            <w:r>
              <w:rPr>
                <w:rFonts w:ascii="Arial" w:cs="Arial" w:eastAsia="Arial" w:hAnsi="Arial"/>
                <w:sz w:val="18"/>
                <w:szCs w:val="18"/>
                <w:color w:val="auto"/>
              </w:rPr>
              <w:t>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3,816</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4,612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13,621</w:t>
            </w:r>
          </w:p>
        </w:tc>
        <w:tc>
          <w:tcPr>
            <w:tcW w:w="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14,033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13,640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14,256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3,816</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4,612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13,621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14,033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13,640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13,981</w:t>
            </w:r>
          </w:p>
        </w:tc>
        <w:tc>
          <w:tcPr>
            <w:tcW w:w="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14,547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13,907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14,755</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Comprehensive Income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listed below:</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3,816</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foreign currency translation gain of $0.2 million and $7.6 for the six months ended June 30, 2009 and 2008, respectively, was due to the weakening of the U.S. dollar against the Euro. The U.S. dollar/Euro spot rate was 1.40 and 1.39 at June 30, 2009 and December 31, 2008, respectively, and 1.58 and 1.46 at June 30, 2008 and December 31, 2007,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Line</w:t>
      </w:r>
    </w:p>
    <w:p>
      <w:pPr>
        <w:spacing w:after="0" w:line="1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have a $15 million unsecured revolving credit agreement (“Credit Facility”) with Comerica Bank, which expires on August 31, 2009. Under the Credit Facility, the interest payable is variable and is based on the bank’s cost of funds or 12-month LIBOR plus a fixed margin of 1.25%. The interest rate in effect as of June 30, 2009 using 12-month LIBOR plus a fixed margin of 1.25% was 1.57%. We pay a commitment fee ranging from zero to a maximum rate of</w:t>
      </w:r>
    </w:p>
    <w:p>
      <w:pPr>
        <w:ind w:right="40"/>
        <w:spacing w:after="0" w:line="253" w:lineRule="auto"/>
        <w:rPr>
          <w:sz w:val="20"/>
          <w:szCs w:val="20"/>
          <w:color w:val="auto"/>
        </w:rPr>
      </w:pPr>
      <w:r>
        <w:rPr>
          <w:rFonts w:ascii="Arial" w:cs="Arial" w:eastAsia="Arial" w:hAnsi="Arial"/>
          <w:sz w:val="18"/>
          <w:szCs w:val="18"/>
          <w:color w:val="auto"/>
        </w:rPr>
        <w:t>0.25% per year on the unused portion of the credit line depending on the amount of cash investment retained with Comerica during each quarter. At June 30, 2009,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June 30, 2009, we did not have any outstanding import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letters of credit and the available balance on the line of credit was $15 million. Furthermore, as of June 30, 2009, we were in compliance with all financial covenants required by the Credit Facility.</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June 30, 2009, we were authorized to repurchase 2,644,522 shares. As of June 30, 2009, we have purchased 1,902,695 shares of our common stock, leaving 741,827 shares available for purchase under the Credit Facility.</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currently in discussions with Comerica to renew our Credit Facility. Presently, we have no borrowings under this Credit Facility, however we cannot make any assurances that we will not need to borrow amounts under this facility or that this facility will be extended to us beyond its expiration date of August 31, 2009 under comparable terms or at all. If this or any other credit facility is not available to us at a time when we need to borrow, we would have to use our cash reserves, which could have a material adverse effect on our earnings, cash flow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at June 30, 2009 and December 31, 2008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During the six months ended June 30, 2009 and 2008, we repurchased 216,477 and 753,904 shares of our common stock at a cost of $3.9 million and $17.5 million, respectively. Repurchased shares are recorded as shares held in treasury at cost. We generally hold these shares for future use as our management and Board of Directors deem appropriate, which may include compensating outside directors and executives of the Company. During the six months ended June 30, 2009 and 2008, we issued 12,500 and 11,250 shares, respectively, to outside directors for services performed (see Note 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our single operating segment “Core Business.” Goodwill is evaluated for impairment as of December 31st of each year and between annual evaluations, if events occur or circumstances change indicating that it is more likely than not the fair value of a reporting unit has been reduced below its carrying amount.</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Goodwill related to the domestic component was the result of our acquisition of a remote control company in 1998, a software company (SimpleDevices, Inc.) in 2004 and certain assets and intellectual property from Zilog, Inc. in the first quarter of 2009. Goodwill related to our international component resulted from the acquisition of remote control distributors in the UK in 1998, Spain in 1999 and France in 2000.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goodwill amounts related to our domestic and international components at June 30, 2009 and December 31, 2008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(1)</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11,216</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2009, we acquired certain assets and intellectual property from Zilog, Inc. which resulted in $2.9 million of goodwill. Refer to Note 16 for further discussion related to the purchase.</w:t>
      </w:r>
    </w:p>
    <w:p>
      <w:pPr>
        <w:spacing w:after="0" w:line="21" w:lineRule="exact"/>
        <w:rPr>
          <w:rFonts w:ascii="Arial" w:cs="Arial" w:eastAsia="Arial" w:hAnsi="Arial"/>
          <w:sz w:val="18"/>
          <w:szCs w:val="18"/>
          <w:color w:val="auto"/>
        </w:rPr>
      </w:pPr>
    </w:p>
    <w:p>
      <w:pPr>
        <w:ind w:left="460" w:right="7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difference in international goodwill reported at June 30, 2009, as compared to the goodwill reported at December 31, 2008, is the result of fluctuations in the foreign currency exchange rates used to translate the balance into U.S. dollars.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other intangible assets consist primarily of distribution rights, patents, trademarks, purchased technologies and capitalized software development costs. Capitalized amounts related to our patents represent external legal costs incurred for their applications and maintenance. Our intangible assets other than capitalized software development and goodwill are amortized utilizing the straight-line method over our estimated period of economic benefit, ranging from one to fifteen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are amortized on a product-by-product basis. Amortization is the greater amount computed using:</w:t>
      </w:r>
    </w:p>
    <w:p>
      <w:pPr>
        <w:spacing w:after="0" w:line="117" w:lineRule="exact"/>
        <w:rPr>
          <w:sz w:val="20"/>
          <w:szCs w:val="20"/>
          <w:color w:val="auto"/>
        </w:rPr>
      </w:pPr>
    </w:p>
    <w:p>
      <w:pPr>
        <w:ind w:left="460" w:right="6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periods normally range from one to two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other intangible assets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Developed and core technology (5-15 years)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Capitalized software development costs (1-2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Customer relationships (15 years)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table excludes fully amortized intangible assets of $5.9 million as of June 30, 2009 and December 31, 2008.</w:t>
      </w:r>
    </w:p>
    <w:p>
      <w:pPr>
        <w:spacing w:after="0" w:line="7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2009, we purchased core technology from Zilog, Inc. valued at $3.5 million, which is being amortized ratably over fifteen years. Refer to Note 16 for further discussion regarding the purchase.</w:t>
      </w:r>
    </w:p>
    <w:p>
      <w:pPr>
        <w:spacing w:after="0" w:line="21"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2009, we purchased customer relationships from Zilog, Inc. valued at $3.1 million, which is being amortized ratably over fifteen years. Refer to Note 16 for further discussion regarding the purchase.</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Amortization expense is recorded in selling, general and administrative expenses, except for capitalized software development amortization which is recorded in cost of sales. Amortization expense for the three months ended June 30, 2009 and 2008 was approximately $0.5 million and $0.3 million, respectively. Amortization expense for the six months ended June 30, 2009 and 2008 was approximately $0.9 million and $0.7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other intangible assets at June 30, 2009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2009 (remaining 6 months)</w:t>
            </w:r>
          </w:p>
        </w:tc>
        <w:tc>
          <w:tcPr>
            <w:tcW w:w="6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2010</w:t>
            </w:r>
          </w:p>
        </w:tc>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2012</w:t>
            </w:r>
          </w:p>
        </w:tc>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Thereafter</w:t>
            </w:r>
          </w:p>
        </w:tc>
        <w:tc>
          <w:tcPr>
            <w:tcW w:w="6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40" w:type="dxa"/>
            <w:vAlign w:val="bottom"/>
            <w:vMerge w:val="restart"/>
          </w:tcPr>
          <w:p>
            <w:pPr>
              <w:jc w:val="right"/>
              <w:ind w:right="475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adjustments for intangible assets measured at fair value on a nonrecurring basis during the six months ended June 30, 2009 were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Measurement Using</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Quoted Prices in</w:t>
            </w: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40" w:type="dxa"/>
            <w:vAlign w:val="bottom"/>
          </w:tcPr>
          <w:p>
            <w:pPr>
              <w:spacing w:after="0"/>
              <w:rPr>
                <w:sz w:val="12"/>
                <w:szCs w:val="12"/>
                <w:color w:val="auto"/>
              </w:rPr>
            </w:pPr>
          </w:p>
        </w:tc>
        <w:tc>
          <w:tcPr>
            <w:tcW w:w="15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Significant Other</w:t>
            </w:r>
          </w:p>
        </w:tc>
        <w:tc>
          <w:tcPr>
            <w:tcW w:w="17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2"/>
                <w:szCs w:val="12"/>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Quarter Ended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6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6/30/09</w:t>
            </w:r>
          </w:p>
        </w:tc>
        <w:tc>
          <w:tcPr>
            <w:tcW w:w="44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(Level 2)</w:t>
            </w: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224"/>
        </w:trPr>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Patents and trademarks</w:t>
            </w:r>
          </w:p>
        </w:tc>
        <w:tc>
          <w:tcPr>
            <w:tcW w:w="440" w:type="dxa"/>
            <w:vAlign w:val="bottom"/>
          </w:tcPr>
          <w:p>
            <w:pPr>
              <w:spacing w:after="0"/>
              <w:rPr>
                <w:sz w:val="19"/>
                <w:szCs w:val="19"/>
                <w:color w:val="auto"/>
              </w:rPr>
            </w:pPr>
          </w:p>
        </w:tc>
        <w:tc>
          <w:tcPr>
            <w:tcW w:w="122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rPr>
              <w:t>$4,341</w:t>
            </w:r>
          </w:p>
        </w:tc>
        <w:tc>
          <w:tcPr>
            <w:tcW w:w="4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 (7)</w:t>
            </w:r>
          </w:p>
        </w:tc>
        <w:tc>
          <w:tcPr>
            <w:tcW w:w="44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accordance with SFAS 144 “Accounting for the Impairment or Disposal of Long-Lived Assets,” eight patents and ten trademarks with an aggregate carrying amount of $7 thousand were disposed of, resulting in impairment charges of $7 thousand during the six months ended June 30, 2009, and was included in selling, general and administrative expenses. These assets no longer held any probable future economic benefits and were written-off. For further information about the valuation methodology utilized, see Note 2 under the caption </w:t>
      </w:r>
      <w:r>
        <w:rPr>
          <w:rFonts w:ascii="Arial" w:cs="Arial" w:eastAsia="Arial" w:hAnsi="Arial"/>
          <w:sz w:val="18"/>
          <w:szCs w:val="18"/>
          <w:i w:val="1"/>
          <w:iCs w:val="1"/>
          <w:color w:val="auto"/>
        </w:rPr>
        <w:t>Long-Lived Assets and Intangible Assets</w:t>
      </w:r>
      <w:r>
        <w:rPr>
          <w:rFonts w:ascii="Arial" w:cs="Arial" w:eastAsia="Arial" w:hAnsi="Arial"/>
          <w:sz w:val="18"/>
          <w:szCs w:val="18"/>
          <w:color w:val="auto"/>
        </w:rPr>
        <w:t xml:space="preserve"> in our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 We currently operate in one business segment “Core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49,639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37,453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96,362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Asia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14,259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13,988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24,291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Kingdom</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South Africa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1,799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Spain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1,052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2,046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Portugal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France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1,388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Italy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Australia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28,664</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33,231</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53,067</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78,303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70,684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149,429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customer’s location was the basis used for attributing revenues from external customers to individual countries.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by our domestic and international components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5,734</w:t>
            </w:r>
          </w:p>
        </w:tc>
        <w:tc>
          <w:tcPr>
            <w:tcW w:w="66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6,525</w:t>
            </w: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September 2006, the FASB issued SFAS No. 157, “Fair Value Measurements” (“SFAS 157”), which defines fair value, establishes a framework for measuring fair value in accordance with generally accepted accounting principles in the United States of America, and expands disclosures about fair value measurements for assets and liabilities. SFAS 157 applies when other accounting pronouncements require or permit assets or liabilities to be measured at fair value. Accordingly, SFAS 157 does not require new fair value measurements. Effective January 1, 2008, we implemented the requirements of SFAS 157.</w:t>
      </w:r>
    </w:p>
    <w:p>
      <w:pPr>
        <w:spacing w:after="0" w:line="4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SFAS 157 defines fair value as the price that would be received to sell an asset or paid to transfer a liability in an orderly transaction between market participants at the measurement date (exit price). SFAS 157 classifies the inputs used to measure fair value into the following hierarchy:</w:t>
      </w:r>
    </w:p>
    <w:p>
      <w:pPr>
        <w:sectPr>
          <w:pgSz w:w="11900" w:h="16838" w:orient="portrait"/>
          <w:cols w:equalWidth="0" w:num="1">
            <w:col w:w="11420"/>
          </w:cols>
          <w:pgMar w:left="240" w:top="419" w:right="2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11"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or</w:t>
      </w:r>
    </w:p>
    <w:p>
      <w:pPr>
        <w:spacing w:after="0" w:line="211"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line="3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Unadjusted quoted prices for identical or similar assets or liabilities in markets that are not active, or</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Inputs other than quoted prices that are observable for the asset or liability</w:t>
      </w:r>
    </w:p>
    <w:p>
      <w:pPr>
        <w:sectPr>
          <w:pgSz w:w="11900" w:h="16838" w:orient="portrait"/>
          <w:cols w:equalWidth="0" w:num="1">
            <w:col w:w="11420"/>
          </w:cols>
          <w:pgMar w:left="240" w:top="419" w:right="2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for the asset or liability</w:t>
      </w:r>
    </w:p>
    <w:p>
      <w:pPr>
        <w:spacing w:after="0" w:line="211"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Measured at Fair Value on a Recurring Basis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5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determined that the fair value of our financial assets and liabilities are derived from Level 2 inputs in the fair value hierarchy. The following table sets forth our financial assets that were accounted for at fair value on a recurring basis as of June 30,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Borders>
              <w:bottom w:val="single" w:sz="8" w:color="auto"/>
            </w:tcBorders>
            <w:gridSpan w:val="6"/>
          </w:tcPr>
          <w:p>
            <w:pPr>
              <w:ind w:left="980"/>
              <w:spacing w:after="0"/>
              <w:rPr>
                <w:sz w:val="20"/>
                <w:szCs w:val="20"/>
                <w:color w:val="auto"/>
              </w:rPr>
            </w:pPr>
            <w:r>
              <w:rPr>
                <w:rFonts w:ascii="Arial" w:cs="Arial" w:eastAsia="Arial" w:hAnsi="Arial"/>
                <w:sz w:val="14"/>
                <w:szCs w:val="14"/>
                <w:b w:val="1"/>
                <w:bCs w:val="1"/>
                <w:color w:val="auto"/>
                <w:w w:val="99"/>
              </w:rPr>
              <w:t>Fair Value Measurement Using</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20" w:type="dxa"/>
            <w:vAlign w:val="bottom"/>
          </w:tcPr>
          <w:p>
            <w:pPr>
              <w:spacing w:after="0"/>
              <w:rPr>
                <w:sz w:val="10"/>
                <w:szCs w:val="10"/>
                <w:color w:val="auto"/>
              </w:rPr>
            </w:pPr>
          </w:p>
        </w:tc>
        <w:tc>
          <w:tcPr>
            <w:tcW w:w="13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8"/>
              </w:rPr>
              <w:t>Quarter</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Ended</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6/30/09</w:t>
            </w:r>
          </w:p>
        </w:tc>
        <w:tc>
          <w:tcPr>
            <w:tcW w:w="6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futures contract</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We held foreign currency exchange contracts which resulted in a net pre-tax gain of approximately $0.1 million and a net pre-tax loss of approximately</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$0.1 million for the three months ended June 30, 2009 and 2008, respectively. For the six months ended June 30, 2009 and 2008, we had a net pre-tax loss of approximately $0.5 million and a pre-tax net gain of $0.5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held one US dollar/Euro futures contract with a notional value of $1.0 million and a forward rate of $1.3943 USD/Euro at June 30, 2009. We held the Euro position on this contract, which settled on July 2, 2009. The gain on this contract as of June 30, 2009 was $4 thousand and is included in prepaid expenses and other current assets.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held one US dollar/Euro futures contract with a notional value of $9.0 million and a forward rate of $1.277 USD/Euro at December 31, 2008. We held the Euro position on this contract, which settled on January 7, 2009. The gain on this contract as of December 31, 2008 was $0.8 million and was included in prepaid expenses and other current assets. This contract was settled at $0.4 million, resulting in a loss of $0.4 million in January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2009, we did not enter into any put option contracts.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August 2008, we entered into a USD/GBP put option with a notional value of $5.0 million. That contract expired on December 31, 2008 and settled on January 5, 2009. The fair value of this put option was approximately $0.6 million at December 31, 2008, which was included in prepaid expenses and other current assets. This contract was settled at $0.4 million, resulting in a loss of $0.2 million in January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Warranty expense is a forecast based on primarily historical claims experience. Actual claim costs may differ from the amounts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Accruals for</w:t>
            </w:r>
          </w:p>
        </w:tc>
        <w:tc>
          <w:tcPr>
            <w:tcW w:w="5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40" w:type="dxa"/>
            <w:vAlign w:val="bottom"/>
          </w:tcPr>
          <w:p>
            <w:pPr>
              <w:spacing w:after="0"/>
              <w:rPr>
                <w:sz w:val="12"/>
                <w:szCs w:val="12"/>
                <w:color w:val="auto"/>
              </w:rPr>
            </w:pPr>
          </w:p>
        </w:tc>
        <w:tc>
          <w:tcPr>
            <w:tcW w:w="8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Period</w:t>
            </w:r>
          </w:p>
        </w:tc>
        <w:tc>
          <w:tcPr>
            <w:tcW w:w="56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580" w:type="dxa"/>
            <w:vAlign w:val="bottom"/>
          </w:tcPr>
          <w:p>
            <w:pPr>
              <w:spacing w:after="0" w:line="195" w:lineRule="exact"/>
              <w:rPr>
                <w:sz w:val="20"/>
                <w:szCs w:val="20"/>
                <w:color w:val="auto"/>
              </w:rPr>
            </w:pPr>
            <w:r>
              <w:rPr>
                <w:rFonts w:ascii="Arial" w:cs="Arial" w:eastAsia="Arial" w:hAnsi="Arial"/>
                <w:sz w:val="18"/>
                <w:szCs w:val="18"/>
                <w:color w:val="auto"/>
              </w:rPr>
              <w:t>Six Months Ended June 30, 2009</w:t>
            </w:r>
          </w:p>
        </w:tc>
        <w:tc>
          <w:tcPr>
            <w:tcW w:w="540" w:type="dxa"/>
            <w:vAlign w:val="bottom"/>
          </w:tcPr>
          <w:p>
            <w:pPr>
              <w:spacing w:after="0"/>
              <w:rPr>
                <w:sz w:val="16"/>
                <w:szCs w:val="16"/>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90</w:t>
            </w:r>
          </w:p>
        </w:tc>
        <w:tc>
          <w:tcPr>
            <w:tcW w:w="54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(8)</w:t>
            </w:r>
          </w:p>
        </w:tc>
        <w:tc>
          <w:tcPr>
            <w:tcW w:w="540" w:type="dxa"/>
            <w:vAlign w:val="bottom"/>
          </w:tcPr>
          <w:p>
            <w:pPr>
              <w:spacing w:after="0"/>
              <w:rPr>
                <w:sz w:val="16"/>
                <w:szCs w:val="16"/>
                <w:color w:val="auto"/>
              </w:rPr>
            </w:pPr>
          </w:p>
        </w:tc>
        <w:tc>
          <w:tcPr>
            <w:tcW w:w="860" w:type="dxa"/>
            <w:vAlign w:val="bottom"/>
          </w:tcPr>
          <w:p>
            <w:pPr>
              <w:ind w:left="240"/>
              <w:spacing w:after="0" w:line="195"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Six Months Ended June 30, 2008</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w w:val="86"/>
              </w:rPr>
              <w:t>178</w:t>
            </w:r>
          </w:p>
        </w:tc>
        <w:tc>
          <w:tcPr>
            <w:tcW w:w="5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w w:val="87"/>
              </w:rPr>
              <w:t>(86)</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six months ended June 30, 2009, we entered into an agreement with a vendor to purchase a minimum percentage of our total requirements for a component part over a five year period. The contract allows a ramp-up period of one year. Based on our current volume, we estimate our total financial commitment to be approximately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$40 million over the five year period. As of June 30, 2009, we purchased $0.3 million in component parts from this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February 19, 2009, we filed suit against Warren Communications News, Inc. claiming that through the unauthorized use of embedded email tracking and intercepting software and code, Warren has violated the Computer Fraud and Abuse Act, the Stored Communications Act, and various applicable California laws. In addition we are asking for a declaration that we are not infringing Warren’s copyright to a daily electronic publication. On March 19, 2009, Warren answered our complaint with a general denial of all of our allegations. On the same date as filing their answer, Warren counterclaimed alleging copyright infringement seeking unspecified damages. On or about April 13, 2009, we answered Warren’s counterclaim denying their claim of copyright infringement and asserted numerous affirmative defenses. In addition, the initial discovery has just commenced. Thus, at this time we are unable to estimate the likely outcome of this matter and the amount, if any, of recovery to be awarded to any party at this time.</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maintain directors’ and officers’ liability insurance to insure our individual directors and officers against certain claims and attorney’s fees and related expenses incurred in connection with the defense of such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second quarter of 2007, we adopted an Executive Long-Term Incentive Plan (“ELTIP”). The ELTIP provided a bonus pool for our executive management team contingent on achieving certain performance goals during a two-year performance period commencing on January 1, 2007 and ending on December 31, 2008. The performance goals were based on the compound annual growth rate of net sales and earnings per diluted share during the performance period. The ELTIP had a maximum pay out of $12 million if the highest performance goals were met. Based on our performance during 2007, management accrued $1.0 million for bonuses under the ELTIP, however, based on the 2008 results, it was determined that no bonus was earned under the terms of the ELTIP. As a result, we lowered our ELTIP accrual from $1.0 million at December 31, 2007 to $0 at December 31, 2008. This adjustment resulted in a $1.0 million benefit to pre-tax income for the twelve months ended December 31, 2008.</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ELTIP results, our Compensation Committee decided to award a discretionary bonus of $1.0 million, to be paid out quarterly over the next two years (2009 and 2010). The Compensation Committee came to this decision after reviewing the economic environment and our relative financial and operating performance. The Compensation Committee believes this bonus is in alignment with our stockholders’ interests as well as our performance and retention objectives. As a result, on December 31, 2008 we accrued $0.5 million for this discretionary bonus which was included in accrued compensation. The amount of a participant’s earned award will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be paid in cash. Each participant’s earned award is vesting in eight equal quarterly installments which began March 31, 2009 and will end December 31, 2010. In the event a participant terminates their employment during the service period (January 1, 2009 through December 31, 2010), they will forfeit their right to any remaining installments where the payment date has not yet occurred. The amount expensed related to this discretionary bonus during the three and six months ended June 30, 2009 was $0.1 million and $0.1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At June 30, 2009, the amounts deferred under the plan were immaterial to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India subsidiary maintains a defined benefit pension plan (“India Plan”) for local employees, which is consistent with local statutes and practices. As of June 30, 2009, based on its latest actuarial report, the pension plan was adequately funded. The India Plan has an independent external manager that advises us of the appropriate funding contribution requirements to which we comply. At June 30, 2009, approximately 20 percent of our India subsidiary employees had qualified for eligibility. Generally, an employee must be employed by the company for a minimum of five years before becoming eligible. At the time of eligibility we are liable, on termination, resignation or retirement, to pay the employee an amount equal to fifteen days salary for each full year of service completed. The total amount of liability outstanding at June 30, 2009 for the India Plan is not material. During the six months ended June 30, 2009 the net periodic benefit costs were also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Acquisition</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software tools and certain fixed assets. We also hired 115 of Zilog’s sales and engineering personnel, including all 103 of Zilog’s personnel located in India. In a related transaction, Maxim Integrated Products (NASDAQ: MXIM) acquired two of Zilog’s product lines, namely, the hardware portion of Zilog’s remote control business and Zilog’s secured transaction product line.</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cross—licensed the remote control technology and intellectual property with Maxim Integrated Products for purpose of conducting our respective businesses. The arrangement involves an agreement to source silicon chips from Maxim. For the first year we will be the exclusive sales agent of universal remote control chips for Maxim, selling the Zilog designs to Zilog’s former customers. We expect this arrangement to be mildly accretive to our earnings in 2009. Beginning in the second year, we will take over full sales and distribution rights to Zilog’s former customers, and we anticipate this position will lead to growth in revenue and earnings going forward. Our consolidated financial statements include the operating results of the acquired assets, employees hired, and the related agreement with Maxim from February 18, 2009. We recognized $1.3 million and $1.9 million of net revenue and earnings of $0.2 million and $0.3 million related to the cross-licensing arrangement during the three and six months ended June 30, 2009, excluding acquisition costs of $1.1 million.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total purchase price of approximately $9.5 million has been allocated to the net assets acquired based on their estimated fair values as follow:</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Database</w:t>
            </w:r>
          </w:p>
        </w:tc>
        <w:tc>
          <w:tcPr>
            <w:tcW w:w="68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6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Goodwill</w:t>
            </w: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6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Purchase price</w:t>
            </w:r>
          </w:p>
        </w:tc>
        <w:tc>
          <w:tcPr>
            <w:tcW w:w="68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620" w:type="dxa"/>
            <w:vAlign w:val="bottom"/>
            <w:vMerge w:val="restart"/>
          </w:tcPr>
          <w:p>
            <w:pPr>
              <w:jc w:val="right"/>
              <w:ind w:right="475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2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2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Of the total purchase price, approximately $6.6 million was allocated to intangible assets subject to amortization including the database and customer relationships.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database intangible is composed of the estimated fair value of patents, intellectual property and other assets related to Zilog’s database of infrared codes, and software tools. When determining the fair value of the database, we utilized the cost approach. In our valuation, we estimated the total costs to recreate the database, including the associated opportunity costs (or revenue lost while recreating). We discounted the after-tax cash flows to present value to arrive at our estimate of the fair value of the database. We are amortizing the database on a straight-line basis over an estimated useful life of approximately fifteen years.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customer relationship intangible is composed of the fair value of customer relationships acquired as a result of the Zilog purchase. We utilized the income approach to estimate the fair value of the customer relationships intangible. We developed after-tax cash flows based on forecasted revenue from these customers assuming a customer attrition rate based on our analysis of customer data for UEI and Zilog. We discounted the after-tax cash flows to present value to arrive at our estimate of the fair value of the customer relationships intangible. We are amortizing the customer relationships intangible on a straight-line basis over an estimated useful life of approximately fifteen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Goodwill represents the excess of the cost (purchase price) over the estimated fair value of identifiable tangible and intangible assets acquired. Goodwill from this transaction of $2.9 million will not be amortized, but will be analyzed for impairment at least on an annual basis in accordance with SFAS No. 142. We review our goodwill for impairment annually as of December 31 and whenever events or changes in circumstances indicate that an impairment loss may have occurred. Of the total goodwill recorded, none is expected to be deductible for tax purposes.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this acquisition:</w:t>
      </w:r>
    </w:p>
    <w:p>
      <w:pPr>
        <w:spacing w:after="0" w:line="117" w:lineRule="exact"/>
        <w:rPr>
          <w:sz w:val="20"/>
          <w:szCs w:val="20"/>
          <w:color w:val="auto"/>
        </w:rPr>
      </w:pPr>
    </w:p>
    <w:p>
      <w:pPr>
        <w:ind w:left="660" w:right="2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recognized $0 and $1.1 million of total acquisition costs related to the Zilog transaction in selling, general and administrative expenses during the three and six months ended June 30, 2009, respectively. The acquisition costs consisted of primarily legal and investment banking services. Of the $1.1 million of transaction costs recognized during the six months ended June 30, 2009, $0.1 million was capitalized at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unaudited pro forma financial information presents the combined results of our operations and the operations of the acquisition from Zilog as if the acquisition had occurred at the beginning of the periods presented. Adjustments of $0 and $0.1 million for the three and six months ended June 30, 2009, respectively, have been made to the combined results of operations, reflecting primarily amortization of purchased intangible assets, net of tax. Adjustments of $0.1 million and ($0.5) million for the three and six months ended June 30, 2008, respectively, have been made to the combined results of operations, reflecting primarily net sales, amortization of purchased intangible assets, net of tax and the acquisition costs, net of tax.</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three and six months ended June 30,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5"/>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jc w:val="right"/>
              <w:ind w:right="7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7"/>
              </w:rPr>
              <w:t>78,303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7"/>
              </w:rPr>
              <w:t>71,934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6"/>
              </w:rPr>
              <w:t>149,916</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6"/>
              </w:rPr>
              <w:t>134,250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3,816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3,613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4,573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0.28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0.26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0.34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0.27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0.33</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customers operate in the consumer electronics market and include OEMs, MSOs (cable and satellite service providers), international retailers, CEDIA (Custom Electronic Design and Installation Association), U.S.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infrared remote (“IR”) controlled TVs, DVD players, cable converters, CD players, audio components and satellite receivers, as well as most other infrared remote controlled devices worldwide.</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Beginning in 1986 and continuing today, we have compiled an extensive library that covers over 409,000 individual device functions and over 3,630 individual consumer electronic equipment brand names. Our library is regularly updated with IR codes used in newly introduced video and audio devices. All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twelve subsidiaries located in Argentina, Cayman Islands, France, Germany (2), Hong Kong,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six months ended June 30, 2009:</w:t>
      </w:r>
    </w:p>
    <w:p>
      <w:pPr>
        <w:spacing w:after="0" w:line="11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Our revenue grew 13.3% from $131.9 million for the six months ended June 30, 2008 to $149.4 million for the six months ended June 30, 2009.</w:t>
      </w:r>
    </w:p>
    <w:p>
      <w:pPr>
        <w:spacing w:after="0" w:line="153" w:lineRule="exact"/>
        <w:rPr>
          <w:rFonts w:ascii="Arial" w:cs="Arial" w:eastAsia="Arial" w:hAnsi="Arial"/>
          <w:sz w:val="16"/>
          <w:szCs w:val="16"/>
          <w:b w:val="1"/>
          <w:bCs w:val="1"/>
          <w:color w:val="auto"/>
        </w:rPr>
      </w:pPr>
    </w:p>
    <w:p>
      <w:pPr>
        <w:jc w:val="both"/>
        <w:ind w:left="900" w:right="440" w:hanging="446"/>
        <w:spacing w:after="0" w:line="264" w:lineRule="auto"/>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sales growth in the first six months of 2009 was the result of strong demand from customers in our business category, due in part to the continuation of the upgrade cycle from analog to digital, consumer demand for advanced-function offerings from subscription broadcasters, increased share with existing customers, and new customer wins.</w:t>
      </w:r>
    </w:p>
    <w:p>
      <w:pPr>
        <w:spacing w:after="0" w:line="86" w:lineRule="exact"/>
        <w:rPr>
          <w:rFonts w:ascii="Arial" w:cs="Arial" w:eastAsia="Arial" w:hAnsi="Arial"/>
          <w:sz w:val="18"/>
          <w:szCs w:val="18"/>
          <w:b w:val="1"/>
          <w:bCs w:val="1"/>
          <w:color w:val="auto"/>
        </w:rPr>
      </w:pPr>
    </w:p>
    <w:p>
      <w:pPr>
        <w:ind w:left="900" w:hanging="446"/>
        <w:spacing w:after="0" w:line="270" w:lineRule="auto"/>
        <w:tabs>
          <w:tab w:leader="none" w:pos="90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Our operating income for the first six months of 2009 increased 2.6% to $7.2 million from operating income of $7.0 million in the first six months of 2008. Our operating margin percentage decreased from 5.3% in the first six months of 2008 to 4.8% in the first six months of 2009 due primarily to the decrease in our gross margin percentage offset partially by the decrease in operating expense as a percentage of revenue. Our gross margin percentage decreased from 34.8% in the first six months of 2008 to 31.4% in the first six months of 2009. The decrease in our gross margin rate was due primarily to the weakening of the Euro and British pound compared to the U.S. Dollar. Sales mix also contributed to the decline in our gross margin percentage, as a higher percentage of our total sales was comprised of our lower-margin Business category. In addition, sales mix within our sales categories also contributed to the decrease in our gross margin rate as consumers trended towards value-oriented products. Operating expenses decreased from 29.5% of revenue for the six months ended June 30, 2008 to 26.6% for the six months ended June 30, 2009, despite incurring $1.1 million of deal related costs in the first six months of 2009 relating to the acquisition of remote control assets from Zilog,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2009 include the following:</w:t>
      </w:r>
    </w:p>
    <w:p>
      <w:pPr>
        <w:spacing w:after="0" w:line="11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acquisition and joint venture opportunities that may enhance our business;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intend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six months ended June 30, 2009 to the items that we disclosed as our critical accounting policies and estimates in Item 7, “Management’s Discussion and Analysis of Financial Condition and Results of Operations” contained in our Annual Report on Form 10-K for our fiscal year ended December 31,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six months ended June 30,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67.</w:t>
            </w:r>
            <w:r>
              <w:rPr>
                <w:rFonts w:ascii="Arial" w:cs="Arial" w:eastAsia="Arial" w:hAnsi="Arial"/>
                <w:sz w:val="18"/>
                <w:szCs w:val="18"/>
                <w:u w:val="single" w:color="auto"/>
                <w:color w:val="auto"/>
                <w:w w:val="91"/>
              </w:rPr>
              <w:t>4</w:t>
            </w: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65.</w:t>
            </w:r>
            <w:r>
              <w:rPr>
                <w:rFonts w:ascii="Arial" w:cs="Arial" w:eastAsia="Arial" w:hAnsi="Arial"/>
                <w:sz w:val="18"/>
                <w:szCs w:val="18"/>
                <w:u w:val="single" w:color="auto"/>
                <w:color w:val="auto"/>
                <w:w w:val="85"/>
              </w:rPr>
              <w:t>7</w:t>
            </w: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68.</w:t>
            </w:r>
            <w:r>
              <w:rPr>
                <w:rFonts w:ascii="Arial" w:cs="Arial" w:eastAsia="Arial" w:hAnsi="Arial"/>
                <w:sz w:val="18"/>
                <w:szCs w:val="18"/>
                <w:u w:val="single" w:color="auto"/>
                <w:color w:val="auto"/>
                <w:w w:val="85"/>
              </w:rPr>
              <w:t>6</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u w:val="single" w:color="auto"/>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34.3</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31.4</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3.0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7</w:t>
            </w: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1</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8</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2</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gridSpan w:val="2"/>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25.</w:t>
            </w:r>
            <w:r>
              <w:rPr>
                <w:rFonts w:ascii="Arial" w:cs="Arial" w:eastAsia="Arial" w:hAnsi="Arial"/>
                <w:sz w:val="18"/>
                <w:szCs w:val="18"/>
                <w:u w:val="single" w:color="auto"/>
                <w:color w:val="auto"/>
                <w:w w:val="91"/>
              </w:rPr>
              <w:t>3</w:t>
            </w:r>
          </w:p>
        </w:tc>
        <w:tc>
          <w:tcPr>
            <w:tcW w:w="32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28.</w:t>
            </w:r>
            <w:r>
              <w:rPr>
                <w:rFonts w:ascii="Arial" w:cs="Arial" w:eastAsia="Arial" w:hAnsi="Arial"/>
                <w:sz w:val="18"/>
                <w:szCs w:val="18"/>
                <w:u w:val="single" w:color="auto"/>
                <w:color w:val="auto"/>
                <w:w w:val="85"/>
              </w:rPr>
              <w:t>1</w:t>
            </w:r>
          </w:p>
        </w:tc>
        <w:tc>
          <w:tcPr>
            <w:tcW w:w="3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26.</w:t>
            </w:r>
            <w:r>
              <w:rPr>
                <w:rFonts w:ascii="Arial" w:cs="Arial" w:eastAsia="Arial" w:hAnsi="Arial"/>
                <w:sz w:val="18"/>
                <w:szCs w:val="18"/>
                <w:u w:val="single" w:color="auto"/>
                <w:color w:val="auto"/>
                <w:w w:val="85"/>
              </w:rPr>
              <w:t>6</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29.</w:t>
            </w:r>
            <w:r>
              <w:rPr>
                <w:rFonts w:ascii="Arial" w:cs="Arial" w:eastAsia="Arial" w:hAnsi="Arial"/>
                <w:sz w:val="18"/>
                <w:szCs w:val="18"/>
                <w:u w:val="single" w:color="auto"/>
                <w:color w:val="auto"/>
                <w:w w:val="85"/>
              </w:rPr>
              <w:t>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 net</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1.2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gridSpan w:val="2"/>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920" w:type="dxa"/>
            <w:vAlign w:val="bottom"/>
            <w:gridSpan w:val="2"/>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00" w:type="dxa"/>
            <w:vAlign w:val="bottom"/>
            <w:gridSpan w:val="2"/>
          </w:tcPr>
          <w:p>
            <w:pPr>
              <w:jc w:val="right"/>
              <w:ind w:right="248"/>
              <w:spacing w:after="0"/>
              <w:rPr>
                <w:sz w:val="20"/>
                <w:szCs w:val="20"/>
                <w:color w:val="auto"/>
              </w:rPr>
            </w:pPr>
            <w:r>
              <w:rPr>
                <w:rFonts w:ascii="Arial" w:cs="Arial" w:eastAsia="Arial" w:hAnsi="Arial"/>
                <w:sz w:val="18"/>
                <w:szCs w:val="18"/>
                <w:color w:val="auto"/>
              </w:rPr>
              <w:t>25</w:t>
            </w:r>
          </w:p>
        </w:tc>
        <w:tc>
          <w:tcPr>
            <w:tcW w:w="3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2009 versus Three Months Ended June 30,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June 30,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87.0%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56.8</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u w:val="single" w:color="auto"/>
                <w:color w:val="auto"/>
              </w:rPr>
              <w:t>3</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70.</w:t>
            </w:r>
            <w:r>
              <w:rPr>
                <w:rFonts w:ascii="Arial" w:cs="Arial" w:eastAsia="Arial" w:hAnsi="Arial"/>
                <w:sz w:val="18"/>
                <w:szCs w:val="18"/>
                <w:u w:val="single" w:color="auto"/>
                <w:color w:val="auto"/>
                <w:w w:val="79"/>
              </w:rPr>
              <w:t>7</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Net sales for the second quarter of 2009 were $78.3 million, an increase of 11% compared to $70.7 million for the second quarter of 2008. Net income for the second quarter of 2009 was $3.8 million or $0.27 per diluted share compared to $3.5 million or $0.24 per diluted share for the second quarter of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87% of net sales in the second quarter of 2009 compared to approximately 80% in the second quarter of 2008. Net sales in our Business lines for the second quarter of 2009 increased by 20% to $68.1 million from $56.8 million in the second quarter of 2008. This increase in sales resulted primarily from an increase in the volume of remote control sales. The increase in remote control sales was attributable to the continued deployment of advanced function set-top boxes by the service operators, market share gains with a few key subscription broadcast customers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5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Net sales in our Consumer lines (One For All</w:t>
      </w:r>
      <w:r>
        <w:rPr>
          <w:rFonts w:ascii="Arial" w:cs="Arial" w:eastAsia="Arial" w:hAnsi="Arial"/>
          <w:sz w:val="13"/>
          <w:szCs w:val="13"/>
          <w:color w:val="auto"/>
        </w:rPr>
        <w:t>®</w:t>
      </w:r>
      <w:r>
        <w:rPr>
          <w:rFonts w:ascii="Arial" w:cs="Arial" w:eastAsia="Arial" w:hAnsi="Arial"/>
          <w:sz w:val="16"/>
          <w:szCs w:val="16"/>
          <w:color w:val="auto"/>
        </w:rPr>
        <w:t xml:space="preserve"> retail, private label, custom installers and direct import) were approximately 13% of net sales for the second quarter of 2009 compared to approximately 20% for the second quarter of 2008. Net sales in our Consumer lines decreased by 27% to $10.2 million in the second quarter of 2009 from $13.9 million in the second quarter of 2008. International retail sales decreased by $3.2 million from $10.7 million in the second quarter of 2008 to $7.5 million in the second quarter of 2009. International retail sales were unfavorably impacted by the weakening of both the Euro and the British Pound compared to the U.S. Dollar, which resulted in a decrease in net sales of approximately $1.5 million. Net of this currency effect, international retail sales decreased $1.7 million, primarily due to the downturn of the economy in Europe. CEDIA sales decreased by $1.0 million compared to the second quarter of 2008, primarily due to the launch of new products that occurred in the second quarter of 2008. Private label sales in the U.S. decreased</w:t>
      </w:r>
    </w:p>
    <w:p>
      <w:pPr>
        <w:spacing w:after="0" w:line="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$0.4 million, driven by a decline in the volume of remote control sales to our private label partners. Partially offsetting these decreases were the North American retail sales, which increased by $0.9 million compared to the second quarter of 2008, as a result of a new partnership agreement with a distributor in the U.S market.</w:t>
      </w:r>
    </w:p>
    <w:p>
      <w:pPr>
        <w:spacing w:after="0" w:line="8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Gross profit for the second quarter of 2009 was $25.5 million compared to $24.2 million for the second quarter of 2008. Gross profit as a percentage of sales for the second quarter of 2009 was 32.6% compared to 34.3% for the same period in the prior year, due primarily to the following reasons:</w:t>
      </w:r>
    </w:p>
    <w:p>
      <w:pPr>
        <w:spacing w:after="0" w:line="38"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1.2% in the gross margin rate;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 increase in scrap expense of $0.6 million caused a decrease of 0.6% in the gross margin rate;</w:t>
      </w:r>
    </w:p>
    <w:p>
      <w:pPr>
        <w:spacing w:after="0" w:line="130" w:lineRule="exact"/>
        <w:rPr>
          <w:rFonts w:ascii="Arial" w:cs="Arial" w:eastAsia="Arial" w:hAnsi="Arial"/>
          <w:sz w:val="18"/>
          <w:szCs w:val="18"/>
          <w:b w:val="1"/>
          <w:bCs w:val="1"/>
          <w:color w:val="auto"/>
        </w:rPr>
      </w:pPr>
    </w:p>
    <w:p>
      <w:pPr>
        <w:ind w:left="900" w:right="540" w:hanging="446"/>
        <w:spacing w:after="0" w:line="286" w:lineRule="auto"/>
        <w:tabs>
          <w:tab w:leader="none" w:pos="9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sales mix; as a higher percentage of our total sales was comprised of our lower margin Business category. In addition, sales mix within our Business and Consumer categories also contributed to the decrease in our gross margin rate as consumers trended towards value-oriented products. Collectively, the aforementioned resulted in a decrease of 0.5% in the gross margin rate; and</w:t>
      </w:r>
    </w:p>
    <w:p>
      <w:pPr>
        <w:spacing w:after="0" w:line="70" w:lineRule="exact"/>
        <w:rPr>
          <w:rFonts w:ascii="Arial" w:cs="Arial" w:eastAsia="Arial" w:hAnsi="Arial"/>
          <w:sz w:val="17"/>
          <w:szCs w:val="17"/>
          <w:b w:val="1"/>
          <w:bCs w:val="1"/>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decrease in freight expense as a result of more drop-ship sales caused an increase of 0.6% in the gross margin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Research and development expenses decreased 3% from $2.1 million in the second quarter of 2008 to $2.0 million in the second quarter of 2009, relatively consistent with prior year levels.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expenses remained relatively flat from $17.7 million in the second quarter of 2008 to $17.8 million in the second quarter of 2009. The weakening of the Euro compared to the U.S. Dollar resulted in a decrease of $1.0 million. Net of this favorable currency effect, expenses increased by $1.1 million due primarily to the acquisition of certain assets from Zilog, Inc. during the first quarter of 2009 which resulted in an increase in operating expense of approximately $1.0 million.</w:t>
      </w:r>
    </w:p>
    <w:p>
      <w:pPr>
        <w:spacing w:after="0" w:line="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the second quarter of 2009, we recorded $0.1 million of net interest income compared to $0.9 million in the second quarter of 2008. The decrease is primarily due to significantly lower interest rates.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second quarter of 2009, net other income was $0.2 million as compared to net other expense of $2 thousand for the second quarter of 2008 which was driven by foreign exchange transactions.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recorded income tax expense of $2.2 million in the second quarter of 2009 compared to $1.8 million in the second quarter of 2008. Our effective tax rate was 36.4% in the second quarter of 2009 compared to 33.4% in the second quarter of 2008. The increase in our effective tax rate is due to a higher percentage of pre-tax income earned in higher tax rate jurisdictions as well as lower research and development credits.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2009 versus Six Months Ended June 30,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six months ended June 30,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129.0</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86.4%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149.4</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sales for the six months ended June 30, 2009 were $149.4 million, an increase of 13% compared to $131.9 million for the six months ended June 30, 2008. Net income for the six months ended June 30, 2009 was $4.6 million or $0.33 per diluted share compared to $6.0 million and $0.40 per diluted share for the six months ended June 30,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86% of net sales for the six months ended June 30, 2009 compared to approximately 80% for the six months ended June 30, 2008. Net sales in our Business lines for the six months ended June 30, 2009 increased by 23% to $129.0 million from $105.1 million for the same period last year. This increase in sales resulted primarily from an increase in the volume of remote control sales which was attributable to the continued deployment of advanced function set-top boxes by the service operators, market share gains with a few key subscription broadcast customers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5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Net sales in our Consumer lines (One For All</w:t>
      </w:r>
      <w:r>
        <w:rPr>
          <w:rFonts w:ascii="Arial" w:cs="Arial" w:eastAsia="Arial" w:hAnsi="Arial"/>
          <w:sz w:val="14"/>
          <w:szCs w:val="14"/>
          <w:color w:val="auto"/>
        </w:rPr>
        <w:t>®</w:t>
      </w:r>
      <w:r>
        <w:rPr>
          <w:rFonts w:ascii="Arial" w:cs="Arial" w:eastAsia="Arial" w:hAnsi="Arial"/>
          <w:sz w:val="17"/>
          <w:szCs w:val="17"/>
          <w:color w:val="auto"/>
        </w:rPr>
        <w:t xml:space="preserve"> retail, private label, custom installers and direct import) were approximately 14% of net sales for the six months ended June 30, 2009 compared to approximately 20% for the six months ended June 30, 2008. Net sales in our Consumer lines for the six months ended June 30, 2009 decreased by 24% to $20.4 million from $26.8 million for the same period last year. International retail sales decreased 28% to $15.9 million for the six months ended June 30, 2009 from $22.1 million for the six months ended June 30, 2008.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decrease was due in part to the weakening of the Euro and British pound compared to the U.S. Dollar. The impact of the weaker currency resulted in a decrease in net sales of approximately $3.4 million. Net of this negative currency effect, international retail sales decreased $2.8 million, primarily due to the downturn of the economy in Europe. CEDIA sales in the first six months of 2009 decreased by $0.6 million compared to the same period of 2008, due primarily to difficult selling conditions worldwide for higher-end consumer products. Private Label sales decreased $0.9 million, from $1.0 million for the six months ended June 30, 2008 to $0.1 million for the six months ended June 30, 2009. These decreases were partially offset by an increase in North American retail sales, which increased by $1.3 million compared to the same period of 2008, as a result of a new partnership agreement with a distributor in the U.S market.</w:t>
      </w:r>
    </w:p>
    <w:p>
      <w:pPr>
        <w:spacing w:after="0" w:line="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Gross profit for the six months ended June 30, 2009 was $46.9 million compared to $45.9 million for the six months ended June 30, 2008. Gross profit as a percentage of net sales for the six months ended June 30, 2009 was 31.4% compared to 34.8% for the six months ended June 30, 2008, due primarily to the following reasons:</w:t>
      </w:r>
    </w:p>
    <w:p>
      <w:pPr>
        <w:spacing w:after="0" w:line="73" w:lineRule="exact"/>
        <w:rPr>
          <w:sz w:val="20"/>
          <w:szCs w:val="20"/>
          <w:color w:val="auto"/>
        </w:rPr>
      </w:pPr>
    </w:p>
    <w:p>
      <w:pPr>
        <w:ind w:left="900" w:right="100" w:hanging="446"/>
        <w:spacing w:after="0" w:line="264" w:lineRule="auto"/>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Sales mix, as a higher percentage of our total sales was comprised of our lower margin Business category. In addition, sales mix within our sales categories also contributed to the decrease in our gross margin rate as consumers trended towards value-oriented products. Collectively, the aforementioned resulted in a decrease of 1.6% in the gross margin rate;</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1.5% in the gross margin rate;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 increase in scrap expense of $1.2 million caused a decrease of 0.7% in the gross margin rate;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decrease in freight expense as a result of more drop-ship sales caused an increase of 0.4% in the gross margin rate.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Research and development expenses decreased 4% from $4.3 million in the six months ended June 30, 2008 to $4.2 million in the six months ended June 30, 2009, consistent with prior year levels.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increased 3% from $34.6 million in the six months ended June 30, 2008 to $35.5 million in the six months ended June 30, 2009. The weakening of the Euro compared to the U.S. Dollar resulted in a decrease of $2.1 million. Net of the currency effect, selling, general and administrative expenses increased by $3.0 million. Legal, accounting, and advisory professional service expense increased by $1.5 million, mainly due to the acquisition of assets from Zilog, Inc, which was completed during the first quarter of 2009. In addition, the newly-acquired Zilog operations increased operating expenses by $1.4 million.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2009, we recorded $0.3 million of net interest income compared to $1.8 million during the six months ended June 30,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due to significantly lower interest rates.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2009, net other expense was $0.2 million as compared to net other income of $0.2 million for the six months ended</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June 30, 2008. Approximately $0.2 million of net other expense in the six months ended June 30, 2009 was the result of a foreign exchange loss, compared to a foreign exchange gain of $0.2 million for the six months ended June 30, 2008.</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income tax expense of $2.7 million and $3.0 million for the six months ended June 30, 2009 and 2008, respectively. Our estimated effective tax rate was 36.8% and 33.8% during the six months ended June 30, 2009 and 2008, respectively. The increase in our effective tax rate was due to fixed interest expense on tax contingencies representing a higher percentage of pre-tax income coupled with a higher percentage of income earned in higher tax rate jurisdictions.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Six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(Decrease)/</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June 30, 2009</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Increase in cash</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June 30, 2008</w:t>
            </w:r>
          </w:p>
        </w:tc>
        <w:tc>
          <w:tcPr>
            <w:tcW w:w="0" w:type="dxa"/>
            <w:vAlign w:val="bottom"/>
          </w:tcPr>
          <w:p>
            <w:pPr>
              <w:spacing w:after="0"/>
              <w:rPr>
                <w:sz w:val="1"/>
                <w:szCs w:val="1"/>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  9,607</w:t>
            </w: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(7,782)</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$ 17,389</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(61,645)</w:t>
            </w:r>
          </w:p>
        </w:tc>
        <w:tc>
          <w:tcPr>
            <w:tcW w:w="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(57,683)</w:t>
            </w:r>
          </w:p>
        </w:tc>
        <w:tc>
          <w:tcPr>
            <w:tcW w:w="320" w:type="dxa"/>
            <w:vAlign w:val="bottom"/>
          </w:tcPr>
          <w:p>
            <w:pPr>
              <w:spacing w:after="0"/>
              <w:rPr>
                <w:sz w:val="18"/>
                <w:szCs w:val="18"/>
                <w:color w:val="auto"/>
              </w:rPr>
            </w:pPr>
          </w:p>
        </w:tc>
        <w:tc>
          <w:tcPr>
            <w:tcW w:w="1740" w:type="dxa"/>
            <w:vAlign w:val="bottom"/>
            <w:gridSpan w:val="3"/>
          </w:tcPr>
          <w:p>
            <w:pPr>
              <w:jc w:val="right"/>
              <w:ind w:right="228"/>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(2,165)</w:t>
            </w: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14,665</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200" w:type="dxa"/>
            <w:vAlign w:val="bottom"/>
          </w:tcPr>
          <w:p>
            <w:pPr>
              <w:jc w:val="right"/>
              <w:ind w:right="216"/>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(4,666)</w:t>
            </w:r>
          </w:p>
        </w:tc>
        <w:tc>
          <w:tcPr>
            <w:tcW w:w="320" w:type="dxa"/>
            <w:vAlign w:val="bottom"/>
          </w:tcPr>
          <w:p>
            <w:pPr>
              <w:spacing w:after="0"/>
              <w:rPr>
                <w:sz w:val="20"/>
                <w:szCs w:val="20"/>
                <w:color w:val="auto"/>
              </w:rPr>
            </w:pPr>
          </w:p>
        </w:tc>
        <w:tc>
          <w:tcPr>
            <w:tcW w:w="1740" w:type="dxa"/>
            <w:vAlign w:val="bottom"/>
            <w:gridSpan w:val="3"/>
          </w:tcPr>
          <w:p>
            <w:pPr>
              <w:jc w:val="right"/>
              <w:ind w:right="288"/>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350"/>
        </w:trPr>
        <w:tc>
          <w:tcPr>
            <w:tcW w:w="64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2009</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24"/>
                <w:szCs w:val="24"/>
                <w:color w:val="auto"/>
              </w:rPr>
            </w:pPr>
          </w:p>
        </w:tc>
        <w:tc>
          <w:tcPr>
            <w:tcW w:w="16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95"/>
        </w:trPr>
        <w:tc>
          <w:tcPr>
            <w:tcW w:w="6460" w:type="dxa"/>
            <w:vAlign w:val="bottom"/>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76"/>
              <w:spacing w:after="0" w:line="195" w:lineRule="exact"/>
              <w:rPr>
                <w:sz w:val="20"/>
                <w:szCs w:val="20"/>
                <w:color w:val="auto"/>
              </w:rPr>
            </w:pPr>
            <w:r>
              <w:rPr>
                <w:rFonts w:ascii="Arial" w:cs="Arial" w:eastAsia="Arial" w:hAnsi="Arial"/>
                <w:sz w:val="18"/>
                <w:szCs w:val="18"/>
                <w:color w:val="auto"/>
              </w:rPr>
              <w:t>$ 21,377</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48"/>
              <w:spacing w:after="0" w:line="195" w:lineRule="exact"/>
              <w:rPr>
                <w:sz w:val="20"/>
                <w:szCs w:val="20"/>
                <w:color w:val="auto"/>
              </w:rPr>
            </w:pPr>
            <w:r>
              <w:rPr>
                <w:rFonts w:ascii="Arial" w:cs="Arial" w:eastAsia="Arial" w:hAnsi="Arial"/>
                <w:sz w:val="18"/>
                <w:szCs w:val="18"/>
                <w:color w:val="auto"/>
              </w:rPr>
              <w:t>$(53,861)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top w:val="single" w:sz="8" w:color="auto"/>
            </w:tcBorders>
            <w:gridSpan w:val="2"/>
          </w:tcPr>
          <w:p>
            <w:pPr>
              <w:jc w:val="right"/>
              <w:ind w:right="428"/>
              <w:spacing w:after="0" w:line="195" w:lineRule="exact"/>
              <w:rPr>
                <w:sz w:val="20"/>
                <w:szCs w:val="20"/>
                <w:color w:val="auto"/>
              </w:rPr>
            </w:pPr>
            <w:r>
              <w:rPr>
                <w:rFonts w:ascii="Arial" w:cs="Arial" w:eastAsia="Arial" w:hAnsi="Arial"/>
                <w:sz w:val="18"/>
                <w:szCs w:val="18"/>
                <w:color w:val="auto"/>
              </w:rPr>
              <w:t>$ 75,238</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200" w:type="dxa"/>
            <w:vAlign w:val="bottom"/>
          </w:tcPr>
          <w:p>
            <w:pPr>
              <w:jc w:val="right"/>
              <w:ind w:right="276"/>
              <w:spacing w:after="0"/>
              <w:rPr>
                <w:sz w:val="20"/>
                <w:szCs w:val="20"/>
                <w:color w:val="auto"/>
              </w:rPr>
            </w:pPr>
            <w:r>
              <w:rPr>
                <w:rFonts w:ascii="Arial" w:cs="Arial" w:eastAsia="Arial" w:hAnsi="Arial"/>
                <w:sz w:val="18"/>
                <w:szCs w:val="18"/>
                <w:color w:val="auto"/>
              </w:rPr>
              <w:t>118,088</w:t>
            </w:r>
          </w:p>
        </w:tc>
        <w:tc>
          <w:tcPr>
            <w:tcW w:w="60" w:type="dxa"/>
            <w:vAlign w:val="bottom"/>
          </w:tcPr>
          <w:p>
            <w:pPr>
              <w:spacing w:after="0"/>
              <w:rPr>
                <w:sz w:val="20"/>
                <w:szCs w:val="20"/>
                <w:color w:val="auto"/>
              </w:rPr>
            </w:pP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(4,215)</w:t>
            </w:r>
          </w:p>
        </w:tc>
        <w:tc>
          <w:tcPr>
            <w:tcW w:w="320" w:type="dxa"/>
            <w:vAlign w:val="bottom"/>
          </w:tcPr>
          <w:p>
            <w:pPr>
              <w:spacing w:after="0"/>
              <w:rPr>
                <w:sz w:val="20"/>
                <w:szCs w:val="20"/>
                <w:color w:val="auto"/>
              </w:rPr>
            </w:pPr>
          </w:p>
        </w:tc>
        <w:tc>
          <w:tcPr>
            <w:tcW w:w="1740" w:type="dxa"/>
            <w:vAlign w:val="bottom"/>
            <w:gridSpan w:val="3"/>
          </w:tcPr>
          <w:p>
            <w:pPr>
              <w:jc w:val="right"/>
              <w:ind w:right="428"/>
              <w:spacing w:after="0"/>
              <w:rPr>
                <w:sz w:val="20"/>
                <w:szCs w:val="20"/>
                <w:color w:val="auto"/>
              </w:rPr>
            </w:pPr>
            <w:r>
              <w:rPr>
                <w:rFonts w:ascii="Arial" w:cs="Arial" w:eastAsia="Arial" w:hAnsi="Arial"/>
                <w:sz w:val="18"/>
                <w:szCs w:val="18"/>
                <w:color w:val="auto"/>
              </w:rPr>
              <w:t>122,303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decreased by $7.8 million from $17.4 million in the first six months of 2008 to $9.6 million in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2009. The decrease in cash provided by operating activities was primarily driven by our deliberate effort to improve our vendor management, which was initiated in the first half of 2008. This effort resulted in a significant cash inflow in the first six months of 2008 of approximately $8.8 million. However, because our longer payment cycle was already in effect as of December 31, 2008, we did not realize an additional benefit during the first six months of 2009. Our “days in payables” as of December 31, 2007; June 30, 2008; December 31, 2009 and June 30, 2009 were 60.2 days, 78.1 days, 71.2 days and 69.0 days, respectively.</w:t>
      </w:r>
    </w:p>
    <w:p>
      <w:pPr>
        <w:spacing w:after="0" w:line="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for the first six months of 2009 was $61.6 million compared to $4.0 million for the first six months of 2008.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cash used for investing activities was primarily due to the acquisition of intangible assets and goodwill of $9.5 million from Zilog, Inc. and our term deposit of $49.2 million, offset by a decrease in the acquisition of equipment, furniture, and fixtures. The purchase of equipment, furniture and fixtures decreased as a result of the renovation of our corporate headquarters being completed during the first quarter of 2008. Refer to Note 16 for further discussion about our purchase of assets from Zilog, Inc.</w:t>
      </w:r>
    </w:p>
    <w:p>
      <w:pPr>
        <w:spacing w:after="0" w:line="80" w:lineRule="exact"/>
        <w:rPr>
          <w:sz w:val="20"/>
          <w:szCs w:val="20"/>
          <w:color w:val="auto"/>
        </w:rPr>
      </w:pPr>
    </w:p>
    <w:p>
      <w:pPr>
        <w:ind w:right="1160"/>
        <w:spacing w:after="0" w:line="277" w:lineRule="auto"/>
        <w:rPr>
          <w:sz w:val="20"/>
          <w:szCs w:val="20"/>
          <w:color w:val="auto"/>
        </w:rPr>
      </w:pPr>
      <w:r>
        <w:rPr>
          <w:rFonts w:ascii="Arial" w:cs="Arial" w:eastAsia="Arial" w:hAnsi="Arial"/>
          <w:sz w:val="18"/>
          <w:szCs w:val="18"/>
          <w:color w:val="auto"/>
        </w:rPr>
        <w:t>We plan to make a significant investment to upgrade our information systems, which we expect to cost approximately $1.0 million. We expect implementation to be completed in 2010.</w:t>
      </w:r>
    </w:p>
    <w:p>
      <w:pPr>
        <w:spacing w:after="0" w:line="62"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for the first six months of 2009 was $2.2 million as compared to $16.8 million in the first six months of 2008. We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repurchased fewer shares of our common stock during the first six months of 2009 compared to the first six months of 2008. During the first six months of 2009 we repurchased 216,477 shares of our common stock for $3.9 million compared to our repurchase of 753,904 shares of our common stock for</w:t>
      </w:r>
    </w:p>
    <w:p>
      <w:pPr>
        <w:jc w:val="both"/>
        <w:ind w:right="20"/>
        <w:spacing w:after="0" w:line="255" w:lineRule="auto"/>
        <w:rPr>
          <w:sz w:val="20"/>
          <w:szCs w:val="20"/>
          <w:color w:val="auto"/>
        </w:rPr>
      </w:pPr>
      <w:r>
        <w:rPr>
          <w:rFonts w:ascii="Arial" w:cs="Arial" w:eastAsia="Arial" w:hAnsi="Arial"/>
          <w:sz w:val="18"/>
          <w:szCs w:val="18"/>
          <w:color w:val="auto"/>
        </w:rPr>
        <w:t>$17.5 million during the first six months of 2008.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82"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We have a Credit Facility with Comerica which expires on August 31, 2009. 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June 30, 2009, we were authorized to repurchase</w:t>
      </w:r>
    </w:p>
    <w:p>
      <w:pPr>
        <w:jc w:val="both"/>
        <w:ind w:right="420"/>
        <w:spacing w:after="0" w:line="255" w:lineRule="auto"/>
        <w:rPr>
          <w:sz w:val="20"/>
          <w:szCs w:val="20"/>
          <w:color w:val="auto"/>
        </w:rPr>
      </w:pPr>
      <w:r>
        <w:rPr>
          <w:rFonts w:ascii="Arial" w:cs="Arial" w:eastAsia="Arial" w:hAnsi="Arial"/>
          <w:sz w:val="18"/>
          <w:szCs w:val="18"/>
          <w:color w:val="auto"/>
        </w:rPr>
        <w:t>2,644,522 million shares. As of June 30, 2009, we have purchased 1,902,695 shares of our common stock, leaving 741,827 shares available for purchase under the Credit Facility. During 2009 we may continue to purchase shares of our common stock if we believe conditions are favorable and to offset the dilutive effect of our equity compensation programs.</w:t>
      </w:r>
    </w:p>
    <w:p>
      <w:pPr>
        <w:spacing w:after="0" w:line="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Presently, we have no borrowings under this Credit Facility, however we cannot make any assurances that we will not need to borrow amounts under this facility or that this facility will continue to be extended to us under comparable terms or at all. We are currently negotiating an extension to our current line of credit and we expect this extension to be completed prior to August 31, 2009</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June 30, 2009 we had a six month term deposit cash account in Hong Kong with ABN Amro Bank. The term began on January 13, 2009 and ended on July 13, 2009. The term deposit earned interest at a rate of 1.05%.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interest was received on July 13, 2009. The deposit amount and accrued interest related to this account as of June 30, 2009 was $49.0 million and</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$0.2 million, respectively. On July 21, 2009, we transferred this deposit to Wells Fargo Bank into a six month term deposit bearing interest at 0.57%, with no penalties for early withdrawal.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June 30, 2009, our contractual obligations were $65.4 million compared to $66.0 million reported in our Annual Report on Form 10-K as of December 31, 2008. The following table summarizes our contractual obligations at June 30, 2009,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4,907</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2,423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60,519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27,040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21,520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65,426</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29,463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22,091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minimum quantities of inventory under vendor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We’ve utilized cash provided from operations as our primary source of liquidity, since internally generated cash flows have been sufficient to support our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Historically, our working capital needs have been greatest during the third and fourth quarters when accounts receivable and inventories increase in connection with the fourth quarter holiday selling season. At June 30, 2009, we had $118.1 million of working capital as compared to $122.3 million at December 31, 2008.</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cash and cash equivalent balances are held in the United States, Europe and Asia. At June 30, 2009, we had approximately $8.4 million, $9.3 million, and $3.7 million of cash and cash equivalents in the United States, Europe and Asia, respectively. In addition, we had a term deposit of $49.2 million in Asia. We maintain our cash, cash equivalents, and term deposits with various financial institutions located in many different geographic regions. We attempt to mitigate our exposure to interest rate, liquidity, credit and other relevant risks by placing our cash and cash equivalents with financial institutions we believe are high quality.</w:t>
      </w:r>
    </w:p>
    <w:p>
      <w:pPr>
        <w:spacing w:after="0" w:line="80"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We have a $15 million unsecured revolving credit agreement (“Credit Facility”) with Comerica Bank, which expires on August 31, 2009. We are currently in discussions with Comerica to renew our Credit Facility and we expect the extension to be completed prior to August 31, 2009. Under the Credit Facility, the interest payable is variable and is based on the bank’s cost of funds or 12-month LIBOR plus a fixed margin of 1.25%. The interest rate in effect as of</w:t>
      </w:r>
    </w:p>
    <w:p>
      <w:pPr>
        <w:ind w:right="40"/>
        <w:spacing w:after="0" w:line="269" w:lineRule="auto"/>
        <w:rPr>
          <w:sz w:val="20"/>
          <w:szCs w:val="20"/>
          <w:color w:val="auto"/>
        </w:rPr>
      </w:pPr>
      <w:r>
        <w:rPr>
          <w:rFonts w:ascii="Arial" w:cs="Arial" w:eastAsia="Arial" w:hAnsi="Arial"/>
          <w:sz w:val="17"/>
          <w:szCs w:val="17"/>
          <w:color w:val="auto"/>
        </w:rPr>
        <w:t>June 30, 2009 using 12-month LIBOR plus a fixed margin of 1.25% was 1.57%. We pay a commitment fee ranging from zero to a maximum rate of 0.25% per year on the unused portion of the credit line depending on the amount of cash investment retained with Comerica during each quarter. At June 30, 2009,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June 30, 2009, we did not have any outstanding import letters of credit and the available balance on the line of credit was $15 million. Furthermore, as of June 30, 2009, we were in compliance with all financial covenants required by the Credit Facility.</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As previously mentioned, we believe that cash generated from our operations and, so long as our Credit Facility is available, funds from our borrowing facility will be sufficient to fund our current business operations and anticipated growth at least over the next twelve months; however, there can be no assurance that such funds will be adequate for that purpose. In addition, our Credit Facility is set to expire on August 31, 2009 and we cannot make any assurances that our Credit Facility will be extended to us beyond its expiration date of August 31, 2009 under comparable terms or at all.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2008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6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failure of our markets or customers to continue growing and expanding in the manner we anticipated;</w:t>
      </w:r>
    </w:p>
    <w:p>
      <w:pPr>
        <w:spacing w:after="0" w:line="130" w:lineRule="exact"/>
        <w:rPr>
          <w:rFonts w:ascii="Arial" w:cs="Arial" w:eastAsia="Arial" w:hAnsi="Arial"/>
          <w:sz w:val="18"/>
          <w:szCs w:val="18"/>
          <w:b w:val="1"/>
          <w:bCs w:val="1"/>
          <w:color w:val="auto"/>
        </w:rPr>
      </w:pPr>
    </w:p>
    <w:p>
      <w:pPr>
        <w:ind w:left="900" w:right="260" w:hanging="446"/>
        <w:spacing w:after="0" w:line="277" w:lineRule="auto"/>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effects of natural or other events beyond our control, including the effects a war or terrorist activities may have on us, the economy or our customers;</w:t>
      </w:r>
    </w:p>
    <w:p>
      <w:pPr>
        <w:spacing w:after="0" w:line="75" w:lineRule="exact"/>
        <w:rPr>
          <w:rFonts w:ascii="Arial" w:cs="Arial" w:eastAsia="Arial" w:hAnsi="Arial"/>
          <w:sz w:val="18"/>
          <w:szCs w:val="18"/>
          <w:b w:val="1"/>
          <w:bCs w:val="1"/>
          <w:color w:val="auto"/>
        </w:rPr>
      </w:pPr>
    </w:p>
    <w:p>
      <w:pPr>
        <w:ind w:left="900" w:right="140" w:hanging="446"/>
        <w:spacing w:after="0" w:line="264" w:lineRule="auto"/>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obtain orders or maintain our order volume with new and existing customers;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add profitable complementary products which are accepted by the marketplace;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our inability to continue to obtain adequate quantities of component parts or secure adequate factory production capacity on a timely basis;</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successfully integrate any strategic business transaction;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home space, which will expand our business beyond the control of devices to the control of and access to content, such as digital media, to enrich the entertainment experience.</w:t>
      </w:r>
    </w:p>
    <w:p>
      <w:pPr>
        <w:spacing w:after="0" w:line="6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15"/>
          <w:szCs w:val="15"/>
          <w:color w:val="auto"/>
        </w:rPr>
        <w:t>®</w:t>
      </w:r>
      <w:r>
        <w:rPr>
          <w:rFonts w:ascii="Arial" w:cs="Arial" w:eastAsia="Arial" w:hAnsi="Arial"/>
          <w:sz w:val="18"/>
          <w:szCs w:val="18"/>
          <w:color w:val="auto"/>
        </w:rPr>
        <w:t xml:space="preserve"> branded products which include digital antennas, signal boosters, and other A/V accessories.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2009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2009,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have a Credit Facility expiring on August 31, 2009. We are currently in discussions with Comerica to renew our Credit Facility and we expect the extension to be completed prior to August 31, 2009. The interest payable under our revolving Credit Facility with our bank is variable and based on (i) the bank’s cost of funds or (ii) the 12-month LIBOR rate plus a fixed margin of 1.25%. The cost of the Credit Facility is affected by changes in market interest rates, credit risk spreads and credit availability. The interest rate in effect on the credit facility as of June 30, 2009 using the 12-month LIBOR Rate option plus a fixed margin of 1.25% was 1.57%.</w:t>
      </w:r>
    </w:p>
    <w:p>
      <w:pPr>
        <w:spacing w:after="0" w:line="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At June 30, 2009, we had no borrowings on our Credit Facility, however we cannot make any assurances that we will not need to borrow amounts under this facility or that this facility will be extended to us beyond its expiration date of August 31, 2009 under comparable terms or at all.</w:t>
      </w:r>
    </w:p>
    <w:p>
      <w:pPr>
        <w:spacing w:after="0" w:line="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June 30, 2009, we had wholly owned subsidiaries in the Argentina, Cayman Islands, France, Germany, Hong Kong, India, Italy, the Netherlands, Singapore, Spain, and the United Kingdom. On February 18, 2009, we acquired certain patents, intellectual property and other assets related to the universal remote control business from Zilog, Inc. (“Zilog” — NASDAQ: ZILG) for approximately $9.5 million in cash. In connection with this transaction, we formed our Cayman Islands subsidiary. Sales are typically denominated in local currencies, thereby creating exposure to changes in exchange rates. Changes in local currency exchange rates relative to the U.S. dollar and, in some cases, to each other, may positively or negatively affect our sales, gross margins, operating expenses and net income. The value of our net balance sheet positions held in foreign currencies may also be impacted by fluctuating exchange rates.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foreign currency exposures are primarily concentrated in the Euro, British Pound and Hong Kong Dollars. 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June 30, 2009, we believe that movements in foreign currency rates could have a material affect on our financial position. We estimate that if the exchange rates for the Euro and the British Pound relative to the U.S. Dollar fluctuate 10% from June 30, 2009, net income and cash flows in the third quarter of 2009 would fluctuate by approximately $0.5 million and $5.8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above under Note 15 contained in the “Notes to Consolidated Condensed Financial Statements”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9 through 16 of the Company’s 2008 Annual Report on Form 10-K incorporated herein by reference. These factors could cause our actual results to differ materially from those stated in forward-looking statements contained in this document and elsewhere.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2009, we did not sell any equity securities that were not registered under the Securities Act of 1933.</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our Credit Facility, we were authorized to acquire up to 2,000,000 shares of our common stock in the open market. Effective February 26, 2009, Comerica amended our Credit Facility by authorizing an additional 1,000,000 shares to be repurchased, capped at a maximum cost of $13.0 million. Given our closing stock price at June 30, 2009, we were authorized to repurchase 2,644,522 million shares. As of June 30, 2009, we have purchased 1,902,695 shares of our common stock, leaving 741,827 shares available for purchase under the Credit Facility. We repurchased 111,166 shares during the quarter ended June 30, 2009, and we may continue to repurchase shares of our common stock during the remainder of the year, if we believe conditions are favorable, or to manage dilution created by shares issued under our stock-based compensation plans. Repurchase information for the second quarter of 2009 is set forth by month in the following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440" w:type="dxa"/>
            <w:vAlign w:val="bottom"/>
          </w:tcPr>
          <w:p>
            <w:pPr>
              <w:spacing w:after="0"/>
              <w:rPr>
                <w:sz w:val="14"/>
                <w:szCs w:val="14"/>
                <w:color w:val="auto"/>
              </w:rPr>
            </w:pPr>
          </w:p>
        </w:tc>
        <w:tc>
          <w:tcPr>
            <w:tcW w:w="14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 Shares</w:t>
            </w: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680" w:type="dxa"/>
            <w:vAlign w:val="bottom"/>
            <w:gridSpan w:val="2"/>
            <w:vMerge w:val="continue"/>
          </w:tcPr>
          <w:p>
            <w:pPr>
              <w:spacing w:after="0"/>
              <w:rPr>
                <w:sz w:val="14"/>
                <w:szCs w:val="14"/>
                <w:color w:val="auto"/>
              </w:rPr>
            </w:pPr>
          </w:p>
        </w:tc>
        <w:tc>
          <w:tcPr>
            <w:tcW w:w="3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April 1, 2009 — April 30, 2009</w:t>
            </w:r>
          </w:p>
        </w:tc>
        <w:tc>
          <w:tcPr>
            <w:tcW w:w="440" w:type="dxa"/>
            <w:vAlign w:val="bottom"/>
            <w:shd w:val="clear" w:color="auto" w:fill="CCEEFF"/>
          </w:tcPr>
          <w:p>
            <w:pPr>
              <w:spacing w:after="0"/>
              <w:rPr>
                <w:sz w:val="18"/>
                <w:szCs w:val="18"/>
                <w:color w:val="auto"/>
              </w:rPr>
            </w:pPr>
          </w:p>
        </w:tc>
        <w:tc>
          <w:tcPr>
            <w:tcW w:w="1300" w:type="dxa"/>
            <w:vAlign w:val="bottom"/>
            <w:tcBorders>
              <w:top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5,893</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$17.84</w:t>
            </w:r>
          </w:p>
        </w:tc>
        <w:tc>
          <w:tcPr>
            <w:tcW w:w="4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May 1, 2009 — May 31, 2009</w:t>
            </w:r>
          </w:p>
        </w:tc>
        <w:tc>
          <w:tcPr>
            <w:tcW w:w="1740" w:type="dxa"/>
            <w:vAlign w:val="bottom"/>
            <w:gridSpan w:val="4"/>
          </w:tcPr>
          <w:p>
            <w:pPr>
              <w:jc w:val="right"/>
              <w:ind w:right="360"/>
              <w:spacing w:after="0"/>
              <w:rPr>
                <w:sz w:val="20"/>
                <w:szCs w:val="20"/>
                <w:color w:val="auto"/>
              </w:rPr>
            </w:pPr>
            <w:r>
              <w:rPr>
                <w:rFonts w:ascii="Arial" w:cs="Arial" w:eastAsia="Arial" w:hAnsi="Arial"/>
                <w:sz w:val="18"/>
                <w:szCs w:val="18"/>
                <w:color w:val="auto"/>
              </w:rPr>
              <w:t>87,500</w:t>
            </w:r>
          </w:p>
        </w:tc>
        <w:tc>
          <w:tcPr>
            <w:tcW w:w="1480" w:type="dxa"/>
            <w:vAlign w:val="bottom"/>
            <w:gridSpan w:val="2"/>
          </w:tcPr>
          <w:p>
            <w:pPr>
              <w:jc w:val="right"/>
              <w:ind w:right="244"/>
              <w:spacing w:after="0"/>
              <w:rPr>
                <w:sz w:val="20"/>
                <w:szCs w:val="20"/>
                <w:color w:val="auto"/>
              </w:rPr>
            </w:pPr>
            <w:r>
              <w:rPr>
                <w:rFonts w:ascii="Arial" w:cs="Arial" w:eastAsia="Arial" w:hAnsi="Arial"/>
                <w:sz w:val="18"/>
                <w:szCs w:val="18"/>
                <w:color w:val="auto"/>
              </w:rPr>
              <w:t>20.38</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2009 — June 30, 2009</w:t>
            </w:r>
          </w:p>
        </w:tc>
        <w:tc>
          <w:tcPr>
            <w:tcW w:w="17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17,773</w:t>
            </w:r>
          </w:p>
        </w:tc>
        <w:tc>
          <w:tcPr>
            <w:tcW w:w="14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Arial" w:cs="Arial" w:eastAsia="Arial" w:hAnsi="Arial"/>
                <w:sz w:val="18"/>
                <w:szCs w:val="18"/>
                <w:color w:val="auto"/>
              </w:rPr>
              <w:t>Total Q2 2009</w:t>
            </w:r>
          </w:p>
        </w:tc>
        <w:tc>
          <w:tcPr>
            <w:tcW w:w="80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111,166</w:t>
            </w:r>
          </w:p>
        </w:tc>
        <w:tc>
          <w:tcPr>
            <w:tcW w:w="360" w:type="dxa"/>
            <w:vAlign w:val="bottom"/>
          </w:tcPr>
          <w:p>
            <w:pPr>
              <w:spacing w:after="0"/>
              <w:rPr>
                <w:sz w:val="19"/>
                <w:szCs w:val="19"/>
                <w:color w:val="auto"/>
              </w:rPr>
            </w:pPr>
          </w:p>
        </w:tc>
        <w:tc>
          <w:tcPr>
            <w:tcW w:w="1480" w:type="dxa"/>
            <w:vAlign w:val="bottom"/>
            <w:gridSpan w:val="2"/>
          </w:tcPr>
          <w:p>
            <w:pPr>
              <w:jc w:val="right"/>
              <w:ind w:right="244"/>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6. EXHIBITS</w:t>
            </w: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gridSpan w:val="2"/>
          </w:tcPr>
          <w:p>
            <w:pPr>
              <w:spacing w:after="0"/>
              <w:rPr>
                <w:sz w:val="20"/>
                <w:szCs w:val="20"/>
                <w:color w:val="auto"/>
              </w:rPr>
            </w:pPr>
            <w:r>
              <w:rPr>
                <w:rFonts w:ascii="Arial" w:cs="Arial" w:eastAsia="Arial" w:hAnsi="Arial"/>
                <w:sz w:val="18"/>
                <w:szCs w:val="18"/>
                <w:color w:val="auto"/>
              </w:rPr>
              <w:t>31.1</w:t>
            </w:r>
          </w:p>
        </w:tc>
        <w:tc>
          <w:tcPr>
            <w:tcW w:w="10740" w:type="dxa"/>
            <w:vAlign w:val="bottom"/>
            <w:gridSpan w:val="15"/>
          </w:tcPr>
          <w:p>
            <w:pPr>
              <w:jc w:val="center"/>
              <w:ind w:right="860"/>
              <w:spacing w:after="0"/>
              <w:rPr>
                <w:sz w:val="20"/>
                <w:szCs w:val="20"/>
                <w:color w:val="auto"/>
              </w:rPr>
            </w:pPr>
            <w:r>
              <w:rPr>
                <w:rFonts w:ascii="Arial" w:cs="Arial" w:eastAsia="Arial" w:hAnsi="Arial"/>
                <w:sz w:val="18"/>
                <w:szCs w:val="18"/>
                <w:color w:val="auto"/>
                <w:w w:val="93"/>
              </w:rPr>
              <w:t>Rule 13a-14(a) Certifications of Paul D. Arling, Chief Executive Officer (principal executive officer) of Universal Electronics Inc.</w:t>
            </w:r>
          </w:p>
        </w:tc>
        <w:tc>
          <w:tcPr>
            <w:tcW w:w="0" w:type="dxa"/>
            <w:vAlign w:val="bottom"/>
          </w:tcPr>
          <w:p>
            <w:pPr>
              <w:spacing w:after="0"/>
              <w:rPr>
                <w:sz w:val="1"/>
                <w:szCs w:val="1"/>
                <w:color w:val="auto"/>
              </w:rPr>
            </w:pPr>
          </w:p>
        </w:tc>
      </w:tr>
      <w:tr>
        <w:trPr>
          <w:trHeight w:val="418"/>
        </w:trPr>
        <w:tc>
          <w:tcPr>
            <w:tcW w:w="680" w:type="dxa"/>
            <w:vAlign w:val="bottom"/>
            <w:gridSpan w:val="2"/>
          </w:tcPr>
          <w:p>
            <w:pPr>
              <w:spacing w:after="0"/>
              <w:rPr>
                <w:sz w:val="20"/>
                <w:szCs w:val="20"/>
                <w:color w:val="auto"/>
              </w:rPr>
            </w:pPr>
            <w:r>
              <w:rPr>
                <w:rFonts w:ascii="Arial" w:cs="Arial" w:eastAsia="Arial" w:hAnsi="Arial"/>
                <w:sz w:val="18"/>
                <w:szCs w:val="18"/>
                <w:color w:val="auto"/>
              </w:rPr>
              <w:t>31.2</w:t>
            </w:r>
          </w:p>
        </w:tc>
        <w:tc>
          <w:tcPr>
            <w:tcW w:w="10740" w:type="dxa"/>
            <w:vAlign w:val="bottom"/>
            <w:gridSpan w:val="15"/>
          </w:tcPr>
          <w:p>
            <w:pPr>
              <w:ind w:left="240"/>
              <w:spacing w:after="0"/>
              <w:rPr>
                <w:sz w:val="20"/>
                <w:szCs w:val="20"/>
                <w:color w:val="auto"/>
              </w:rPr>
            </w:pPr>
            <w:r>
              <w:rPr>
                <w:rFonts w:ascii="Arial" w:cs="Arial" w:eastAsia="Arial" w:hAnsi="Arial"/>
                <w:sz w:val="18"/>
                <w:szCs w:val="18"/>
                <w:color w:val="auto"/>
                <w:w w:val="98"/>
              </w:rPr>
              <w:t>Rule 13a-14(a) Certifications of Bryan Hackworth, Chief Financial Officer (principal financial officer and principal accounting officer)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Universal Electronics Inc.</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20" w:right="400" w:hanging="912"/>
        <w:spacing w:after="0" w:line="264"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August 10, 2009</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Bryan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0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1030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r>
      <w:tr>
        <w:trPr>
          <w:trHeight w:val="404"/>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740" w:type="dxa"/>
            <w:vAlign w:val="bottom"/>
            <w:gridSpan w:val="2"/>
          </w:tcPr>
          <w:p>
            <w:pPr>
              <w:ind w:left="440"/>
              <w:spacing w:after="0"/>
              <w:rPr>
                <w:sz w:val="20"/>
                <w:szCs w:val="20"/>
                <w:color w:val="auto"/>
              </w:rPr>
            </w:pPr>
            <w:r>
              <w:rPr>
                <w:rFonts w:ascii="Arial" w:cs="Arial" w:eastAsia="Arial" w:hAnsi="Arial"/>
                <w:sz w:val="18"/>
                <w:szCs w:val="18"/>
                <w:color w:val="auto"/>
                <w:w w:val="94"/>
              </w:rPr>
              <w:t>Rule 13a-14(a) Certifications of Bryan M. Hackworth, Chief Financial Officer (principal financial officer and principal accounting officer) of</w:t>
            </w:r>
          </w:p>
        </w:tc>
      </w:tr>
      <w:tr>
        <w:trPr>
          <w:trHeight w:val="230"/>
        </w:trPr>
        <w:tc>
          <w:tcPr>
            <w:tcW w:w="680" w:type="dxa"/>
            <w:vAlign w:val="bottom"/>
          </w:tcPr>
          <w:p>
            <w:pPr>
              <w:spacing w:after="0"/>
              <w:rPr>
                <w:sz w:val="20"/>
                <w:szCs w:val="20"/>
                <w:color w:val="auto"/>
              </w:rPr>
            </w:pPr>
          </w:p>
        </w:tc>
        <w:tc>
          <w:tcPr>
            <w:tcW w:w="10740" w:type="dxa"/>
            <w:vAlign w:val="bottom"/>
            <w:gridSpan w:val="2"/>
          </w:tcPr>
          <w:p>
            <w:pPr>
              <w:ind w:left="440"/>
              <w:spacing w:after="0"/>
              <w:rPr>
                <w:sz w:val="20"/>
                <w:szCs w:val="20"/>
                <w:color w:val="auto"/>
              </w:rPr>
            </w:pPr>
            <w:r>
              <w:rPr>
                <w:rFonts w:ascii="Arial" w:cs="Arial" w:eastAsia="Arial" w:hAnsi="Arial"/>
                <w:sz w:val="18"/>
                <w:szCs w:val="18"/>
                <w:color w:val="auto"/>
              </w:rPr>
              <w:t>Universal Electronics Inc.</w:t>
            </w:r>
          </w:p>
        </w:tc>
      </w:tr>
    </w:tbl>
    <w:p>
      <w:pPr>
        <w:spacing w:after="0" w:line="202" w:lineRule="exact"/>
        <w:rPr>
          <w:sz w:val="20"/>
          <w:szCs w:val="20"/>
          <w:color w:val="auto"/>
        </w:rPr>
      </w:pPr>
    </w:p>
    <w:p>
      <w:pPr>
        <w:jc w:val="both"/>
        <w:ind w:left="1120" w:right="180" w:hanging="1112"/>
        <w:spacing w:after="0" w:line="264"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1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900" w:right="260" w:hanging="446"/>
        <w:spacing w:after="0" w:line="308" w:lineRule="auto"/>
        <w:tabs>
          <w:tab w:leader="none" w:pos="9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900" w:right="260" w:hanging="446"/>
        <w:spacing w:after="0" w:line="308" w:lineRule="auto"/>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June 30, 2009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Dated: August 10, 2009</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Paul D. Arling</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540" w:type="dxa"/>
            <w:vAlign w:val="bottom"/>
          </w:tcPr>
          <w:p>
            <w:pPr>
              <w:spacing w:after="0"/>
              <w:rPr>
                <w:sz w:val="24"/>
                <w:szCs w:val="24"/>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Bryan M. Hackworth</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16"/>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and principal accounting officer)</w:t>
            </w: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32"/>
    </w:lvl>
  </w:abstractNum>
  <w:abstractNum w:abstractNumId="18">
    <w:nsid w:val="62BBD95A"/>
    <w:multiLevelType w:val="hybridMultilevel"/>
    <w:lvl w:ilvl="0">
      <w:lvlJc w:val="left"/>
      <w:lvlText w:val="%1"/>
      <w:numFmt w:val="decimal"/>
      <w:start w:val="3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2019-12-10T03:18:34Z</dcterms:created>
  <dcterms:modified xsi:type="dcterms:W3CDTF">2019-12-10T03:18:34Z</dcterms:modified>
</cp:coreProperties>
</file>