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5" w:lineRule="exact"/>
        <w:rPr>
          <w:sz w:val="24"/>
          <w:szCs w:val="24"/>
          <w:color w:val="auto"/>
        </w:rPr>
      </w:pPr>
    </w:p>
    <w:p>
      <w:pPr>
        <w:ind w:left="680" w:right="10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2024</w:t>
      </w:r>
    </w:p>
    <w:p>
      <w:pPr>
        <w:spacing w:after="0" w:line="58"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714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3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UNIVERSAL ELECTRONICS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6" w:lineRule="exact"/>
        <w:rPr>
          <w:sz w:val="24"/>
          <w:szCs w:val="24"/>
          <w:color w:val="auto"/>
        </w:rPr>
      </w:pPr>
    </w:p>
    <w:tbl>
      <w:tblPr>
        <w:tblLayout w:type="fixed"/>
        <w:tblInd w:w="2300" w:type="dxa"/>
        <w:tblCellMar>
          <w:top w:w="0" w:type="dxa"/>
          <w:left w:w="0" w:type="dxa"/>
          <w:bottom w:w="0" w:type="dxa"/>
          <w:right w:w="0" w:type="dxa"/>
        </w:tblCellMar>
      </w:tblPr>
      <w:tr>
        <w:trPr>
          <w:trHeight w:val="261"/>
        </w:trPr>
        <w:tc>
          <w:tcPr>
            <w:tcW w:w="36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600" w:type="dxa"/>
            <w:vAlign w:val="bottom"/>
          </w:tcPr>
          <w:p>
            <w:pPr>
              <w:jc w:val="center"/>
              <w:ind w:left="1087"/>
              <w:spacing w:after="0"/>
              <w:rPr>
                <w:sz w:val="20"/>
                <w:szCs w:val="20"/>
                <w:color w:val="auto"/>
              </w:rPr>
            </w:pPr>
            <w:r>
              <w:rPr>
                <w:rFonts w:ascii="Times New Roman" w:cs="Times New Roman" w:eastAsia="Times New Roman" w:hAnsi="Times New Roman"/>
                <w:sz w:val="20"/>
                <w:szCs w:val="20"/>
                <w:b w:val="1"/>
                <w:bCs w:val="1"/>
                <w:color w:val="auto"/>
                <w:w w:val="97"/>
              </w:rPr>
              <w:t>33-0204817</w:t>
            </w:r>
          </w:p>
        </w:tc>
      </w:tr>
      <w:tr>
        <w:trPr>
          <w:trHeight w:val="184"/>
        </w:trPr>
        <w:tc>
          <w:tcPr>
            <w:tcW w:w="3600" w:type="dxa"/>
            <w:vAlign w:val="bottom"/>
          </w:tcPr>
          <w:p>
            <w:pPr>
              <w:jc w:val="center"/>
              <w:ind w:right="1087"/>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600" w:type="dxa"/>
            <w:vAlign w:val="bottom"/>
          </w:tcPr>
          <w:p>
            <w:pPr>
              <w:jc w:val="center"/>
              <w:ind w:left="1087"/>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00" w:type="dxa"/>
            <w:vAlign w:val="bottom"/>
          </w:tcPr>
          <w:p>
            <w:pPr>
              <w:jc w:val="center"/>
              <w:ind w:right="1087"/>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600" w:type="dxa"/>
            <w:vAlign w:val="bottom"/>
          </w:tcPr>
          <w:p>
            <w:pPr>
              <w:jc w:val="center"/>
              <w:ind w:left="1087"/>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30"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12,890,716 shares of Common Stock, par value $0.01 per share, of the registrant were outstanding on 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80" w:type="dxa"/>
            <w:vAlign w:val="bottom"/>
            <w:gridSpan w:val="3"/>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20" w:type="dxa"/>
            <w:vAlign w:val="bottom"/>
            <w:gridSpan w:val="5"/>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5980" w:type="dxa"/>
            <w:vAlign w:val="bottom"/>
            <w:gridSpan w:val="8"/>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1. Consolidated Financial Statements (Unaudited)</w:t>
            </w:r>
          </w:p>
        </w:tc>
        <w:tc>
          <w:tcPr>
            <w:tcW w:w="5020" w:type="dxa"/>
            <w:vAlign w:val="bottom"/>
            <w:gridSpan w:val="5"/>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80" w:type="dxa"/>
            <w:vAlign w:val="bottom"/>
            <w:gridSpan w:val="6"/>
          </w:tcPr>
          <w:p>
            <w:pPr>
              <w:spacing w:after="0"/>
              <w:rPr>
                <w:sz w:val="18"/>
                <w:szCs w:val="18"/>
                <w:color w:val="auto"/>
              </w:rPr>
            </w:pPr>
          </w:p>
        </w:tc>
        <w:tc>
          <w:tcPr>
            <w:tcW w:w="5020" w:type="dxa"/>
            <w:vAlign w:val="bottom"/>
            <w:gridSpan w:val="5"/>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Comprehensive Income (Loss) Statements</w:t>
            </w:r>
          </w:p>
        </w:tc>
        <w:tc>
          <w:tcPr>
            <w:tcW w:w="4740" w:type="dxa"/>
            <w:vAlign w:val="bottom"/>
            <w:gridSpan w:val="4"/>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4740" w:type="dxa"/>
            <w:vAlign w:val="bottom"/>
            <w:gridSpan w:val="4"/>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700" w:type="dxa"/>
            <w:vAlign w:val="bottom"/>
            <w:gridSpan w:val="2"/>
          </w:tcPr>
          <w:p>
            <w:pPr>
              <w:spacing w:after="0"/>
              <w:rPr>
                <w:sz w:val="18"/>
                <w:szCs w:val="18"/>
                <w:color w:val="auto"/>
              </w:rPr>
            </w:pPr>
          </w:p>
        </w:tc>
        <w:tc>
          <w:tcPr>
            <w:tcW w:w="5280" w:type="dxa"/>
            <w:vAlign w:val="bottom"/>
            <w:gridSpan w:val="6"/>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640" w:type="dxa"/>
            <w:vAlign w:val="bottom"/>
            <w:gridSpan w:val="7"/>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0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080" w:type="dxa"/>
            <w:vAlign w:val="bottom"/>
            <w:gridSpan w:val="3"/>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6220" w:type="dxa"/>
            <w:vAlign w:val="bottom"/>
            <w:gridSpan w:val="9"/>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100" w:type="dxa"/>
            <w:vAlign w:val="bottom"/>
            <w:gridSpan w:val="12"/>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400" w:type="dxa"/>
            <w:vAlign w:val="bottom"/>
            <w:gridSpan w:val="14"/>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Use of Proceeds, and Issuer Purchases of Equity Securities</w:t>
            </w:r>
          </w:p>
        </w:tc>
        <w:tc>
          <w:tcPr>
            <w:tcW w:w="128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7120" w:type="dxa"/>
            <w:vAlign w:val="bottom"/>
            <w:gridSpan w:val="13"/>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40" w:type="dxa"/>
            <w:vAlign w:val="bottom"/>
            <w:gridSpan w:val="15"/>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 (Note 12)</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258,851</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355,872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Line of credit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21,181</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 shares authorized; 25,508,370 and 25,346,383 shares issued on</w:t>
            </w: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March 31, 2024 and December 31, 2023, respectively</w:t>
            </w: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336,938</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Treasury stock, at cost, 12,599,981 and 12,459,845 shares on March 31, 2024 and December 31, 2023,</w:t>
            </w: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(371,203)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(369,973)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178,920</w:t>
            </w:r>
          </w:p>
        </w:tc>
        <w:tc>
          <w:tcPr>
            <w:tcW w:w="0" w:type="dxa"/>
            <w:vAlign w:val="bottom"/>
          </w:tcPr>
          <w:p>
            <w:pPr>
              <w:spacing w:after="0"/>
              <w:rPr>
                <w:sz w:val="1"/>
                <w:szCs w:val="1"/>
                <w:color w:val="auto"/>
              </w:rPr>
            </w:pPr>
          </w:p>
        </w:tc>
      </w:tr>
      <w:tr>
        <w:trPr>
          <w:trHeight w:val="212"/>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322,941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355,872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108,377</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65,912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83,684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24,693</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Factory restructuring charges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49,075</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(59,524)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(60,713)</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in computing earnings (loss) per share: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80" w:type="dxa"/>
            <w:vAlign w:val="bottom"/>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(61,363)</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(59,447)</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total equity for the three months ended March 31,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620" w:type="dxa"/>
            <w:vAlign w:val="bottom"/>
          </w:tcPr>
          <w:p>
            <w:pPr>
              <w:spacing w:after="0"/>
              <w:rPr>
                <w:sz w:val="4"/>
                <w:szCs w:val="4"/>
                <w:color w:val="auto"/>
              </w:rPr>
            </w:pPr>
          </w:p>
        </w:tc>
        <w:tc>
          <w:tcPr>
            <w:tcW w:w="1080" w:type="dxa"/>
            <w:vAlign w:val="bottom"/>
            <w:gridSpan w:val="3"/>
            <w:vMerge w:val="restart"/>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3"/>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80" w:type="dxa"/>
            <w:vAlign w:val="bottom"/>
            <w:vMerge w:val="restart"/>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25,346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(369,973)</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336,938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  232,460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(371,203)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(22,349)</w:t>
            </w:r>
          </w:p>
        </w:tc>
        <w:tc>
          <w:tcPr>
            <w:tcW w:w="10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223,811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total equity for the three months ended March 31, 2023:</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3600" w:type="dxa"/>
            <w:vAlign w:val="bottom"/>
          </w:tcPr>
          <w:p>
            <w:pPr>
              <w:spacing w:after="0"/>
              <w:rPr>
                <w:sz w:val="7"/>
                <w:szCs w:val="7"/>
                <w:color w:val="auto"/>
              </w:rPr>
            </w:pPr>
          </w:p>
        </w:tc>
        <w:tc>
          <w:tcPr>
            <w:tcW w:w="1080" w:type="dxa"/>
            <w:vAlign w:val="bottom"/>
            <w:gridSpan w:val="3"/>
            <w:vMerge w:val="restart"/>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3"/>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80" w:type="dxa"/>
            <w:vAlign w:val="bottom"/>
            <w:vMerge w:val="restart"/>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60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40" w:type="dxa"/>
            <w:vAlign w:val="bottom"/>
            <w:gridSpan w:val="2"/>
            <w:vMerge w:val="restart"/>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restart"/>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line="20" w:lineRule="exact"/>
              <w:rPr>
                <w:sz w:val="1"/>
                <w:szCs w:val="1"/>
                <w:color w:val="auto"/>
              </w:rPr>
            </w:pPr>
          </w:p>
        </w:tc>
      </w:tr>
      <w:tr>
        <w:trPr>
          <w:trHeight w:val="196"/>
        </w:trPr>
        <w:tc>
          <w:tcPr>
            <w:tcW w:w="36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(12,295)</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(368,194)</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326,839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(21,187)</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  330,698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268,406</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1,916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25,197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(369,006)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(19,271)</w:t>
            </w:r>
          </w:p>
        </w:tc>
        <w:tc>
          <w:tcPr>
            <w:tcW w:w="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269,335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211,039</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(61,363)</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for)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Shares issued for employee benefit plan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goodwill</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49,075</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w:t>
            </w: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18,056</w:t>
            </w:r>
          </w:p>
        </w:tc>
      </w:tr>
      <w:tr>
        <w:trPr>
          <w:trHeight w:val="213"/>
        </w:trPr>
        <w:tc>
          <w:tcPr>
            <w:tcW w:w="82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(26,051)</w:t>
            </w:r>
          </w:p>
        </w:tc>
      </w:tr>
      <w:tr>
        <w:trPr>
          <w:trHeight w:val="213"/>
        </w:trPr>
        <w:tc>
          <w:tcPr>
            <w:tcW w:w="826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Accrued income taxes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2"/>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Acquisitions of intangible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12"/>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Borrowings under line of credit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purchased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07"/>
        </w:trPr>
        <w:tc>
          <w:tcPr>
            <w:tcW w:w="8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66,740</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56,906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impairment and restructuring charges, as described in notes 6 and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for the three months ended March 31, 2024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the exception of the following policy, our significant accounting policies are unchanged from those disclosed in Note 2 to the consolidated financial statements included in our Annual Report on Form 10-K for the year ended December 31, 2023</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grant date fair value of stock-based compensation awards as expense in proportion to vesting during the derived service period, which ranges from one to three years. Forfeitures of stock-based awards are accounted for as they occur. Upon the exercise of stock options, the vesting of restricted stock awards or the vesting of performance stock awards, newly issued shares of our common stock are issued. Our stock-based compensation awards are made at the discretion of the Compensation Committee and are not timed or coordinated with the release of material, non-public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fair value of restricted stock awards with a service condition utilizing the average of the high and low trading prices of our common shares on the date they were granted.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performance stock awards with a market condition is determined utilizing a Monte Carlo simulation model as of the grant date. The assumptions utilized in a Monte Carlo simulation model include the risk-free interest rate, expected volatility, term of the award and dividend yield. The risk-free interest rate over the expected term is equal to the prevailing U.S. Treasury note rate over the same period. Expected volatility is determined utilizing historical volatility. The dividend yield is assumed to be zero since we have not historically declared dividends and do not have any plans to declare dividends in the future.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yield is assumed to be zero since we have not historically declared dividends and do not have any plans to declare dividends in the future. See Note 14 for further information concerning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Updates Not Yet Effective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 Improvements to Reportable Segments Disclosures." The guidance enhances disclosures of significant segment expenses by requiring the disclosure of significant segment expenses regularly provided to the chief operating decision maker, extends certain annual disclosures to interim periods, and permits more than one measure of segment profit or loss to be reported under certain conditions. All disclosure requirements are also required for companies with a single reportable segment. The guidance is effective in fiscal years beginning after December 15, 2023, and interim periods within fiscal years beginning after December 15, 2024. Early adoption of the guidance is permitted, including adoption in any interim periods for which financial statements have not been issued. The Company is currently evaluating the guidance and its impact to the financial statements and related disclosures.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Tax Disclosures." The guidance expands disclosures in an entity’s income tax rate reconciliation table and regarding cash taxes paid both in the U.S. and foreign jurisdictions. The guidance will be effective for annual periods beginning after December 15, 2024. The Company is currently evaluating the guidance and its impact to the financial statements and related disclosures.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assessed all other ASUs issued but not yet adopted and concluded that those not disclosed are not relevant to the Company or are not expected to have a material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(excluding the PRC)</w:t>
            </w: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2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9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 Revenue and Accounts Receivable, Net</w:t>
            </w: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660" w:type="dxa"/>
            <w:vAlign w:val="bottom"/>
            <w:gridSpan w:val="2"/>
            <w:vMerge w:val="continue"/>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Details</w:t>
            </w: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pattern of revenue recognition was as follows:</w:t>
            </w: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tcBorders>
              <w:bottom w:val="single" w:sz="8" w:color="CCEEFF"/>
            </w:tcBorders>
            <w:vMerge w:val="continue"/>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316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2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316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customers totaled more than 10% of our net sales: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8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7"/>
                <w:szCs w:val="17"/>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12,109</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19,667</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Charter Communications</w:t>
            </w:r>
          </w:p>
        </w:tc>
        <w:tc>
          <w:tcPr>
            <w:tcW w:w="1300" w:type="dxa"/>
            <w:vAlign w:val="bottom"/>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10,194</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542"/>
              <w:spacing w:after="0"/>
              <w:rPr>
                <w:sz w:val="20"/>
                <w:szCs w:val="20"/>
                <w:color w:val="auto"/>
              </w:rPr>
            </w:pPr>
            <w:r>
              <w:rPr>
                <w:rFonts w:ascii="Times New Roman" w:cs="Times New Roman" w:eastAsia="Times New Roman" w:hAnsi="Times New Roman"/>
                <w:sz w:val="12"/>
                <w:szCs w:val="12"/>
                <w:color w:val="auto"/>
              </w:rPr>
              <w:t>(1)</w:t>
            </w:r>
          </w:p>
        </w:tc>
        <w:tc>
          <w:tcPr>
            <w:tcW w:w="1780" w:type="dxa"/>
            <w:vAlign w:val="bottom"/>
            <w:gridSpan w:val="2"/>
          </w:tcPr>
          <w:p>
            <w:pPr>
              <w:jc w:val="right"/>
              <w:ind w:right="579"/>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3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130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14,720</w:t>
            </w:r>
          </w:p>
        </w:tc>
        <w:tc>
          <w:tcPr>
            <w:tcW w:w="1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320" w:type="dxa"/>
            <w:vAlign w:val="bottom"/>
            <w:vMerge w:val="continue"/>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78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Sales associated with this customer did not total more than 10% of our net sales for the indicated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gross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106,182</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104,835</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112,596</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accounts receivable is primarily comprised of value added tax receivables, interest receivable and supplier rebate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tcBorders>
              <w:bottom w:val="single" w:sz="8" w:color="CCEEFF"/>
            </w:tcBorders>
            <w:vMerge w:val="continue"/>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3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customers that totaled more than 10% of our accounts receivable at March 31, 2024 or December 31,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current and non-current contract liability balances primarily relating to our firmware update provisioning and digital rights management validation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contract liabilities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were as follows: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22"/>
                <w:szCs w:val="22"/>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from suppliers that totaled more than 10% of our total inventory purchases for the three months ended March 31,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trade payable balances from suppliers that totaled more than 10% of our total accounts payable at March 31, 2024 and December 31, 2023.</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which include property, plant, and equipment, net and operating lease right-of-use assets,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63,312</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shown net of accumulated depreciation of $165.0 million and $163.3 million at March 31, 2024 and December 31,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$3.4 million and $4.6 million for the three months ended March 31, 2024 and 2023, respectively.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We determined that the implied control premium over our market capitalization to be substantial, therefore, we recorded an impairment charge of $49.1 million during the three months ended March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Amortization </w:t>
            </w:r>
            <w:r>
              <w:rPr>
                <w:rFonts w:ascii="Times New Roman" w:cs="Times New Roman" w:eastAsia="Times New Roman" w:hAnsi="Times New Roman"/>
                <w:sz w:val="18"/>
                <w:szCs w:val="18"/>
                <w:b w:val="1"/>
                <w:bCs w:val="1"/>
                <w:color w:val="auto"/>
                <w:w w:val="98"/>
                <w:vertAlign w:val="superscript"/>
              </w:rPr>
              <w:t>(1)</w:t>
            </w: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Amortization </w:t>
            </w:r>
            <w:r>
              <w:rPr>
                <w:rFonts w:ascii="Times New Roman" w:cs="Times New Roman" w:eastAsia="Times New Roman" w:hAnsi="Times New Roman"/>
                <w:sz w:val="18"/>
                <w:szCs w:val="18"/>
                <w:b w:val="1"/>
                <w:bCs w:val="1"/>
                <w:color w:val="auto"/>
                <w:w w:val="98"/>
                <w:vertAlign w:val="superscript"/>
              </w:rPr>
              <w:t>(1)</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$48.5 million and $45.0 million at March 31, 2024 and December 31, 2023, respectively.</w:t>
      </w:r>
    </w:p>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97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780" w:type="dxa"/>
            <w:vAlign w:val="bottom"/>
          </w:tcPr>
          <w:p>
            <w:pPr>
              <w:jc w:val="center"/>
              <w:ind w:left="139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97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annual amortization expense related to our intangible assets at March 31, 2024, was as follows: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48"/>
        </w:trPr>
        <w:tc>
          <w:tcPr>
            <w:tcW w:w="9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automobiles, offices and manufacturing facilities throughout the world. At March 31, 2024, our operating leases had remaining lease terms of up to 37 years, including any reasonably probable extensions.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balances within our consolidated balance sheet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0" w:type="dxa"/>
            <w:vAlign w:val="bottom"/>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17,239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18,693</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5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2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16,006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5"/>
        </w:trPr>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Operating lease expense, including variable and short-term lease costs which were insignificant to the total, operating lease cash</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flows and supplemental cash flow information were as follows:</w:t>
            </w: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r>
      <w:tr>
        <w:trPr>
          <w:trHeight w:val="23"/>
        </w:trPr>
        <w:tc>
          <w:tcPr>
            <w:tcW w:w="40" w:type="dxa"/>
            <w:vAlign w:val="bottom"/>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3"/>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06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1,745</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7"/>
                <w:szCs w:val="17"/>
                <w:color w:val="auto"/>
              </w:rPr>
            </w:pPr>
          </w:p>
        </w:tc>
      </w:tr>
      <w:tr>
        <w:trPr>
          <w:trHeight w:val="20"/>
        </w:trPr>
        <w:tc>
          <w:tcPr>
            <w:tcW w:w="7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weighted average remaining lease liability term and the weighted average discount rate were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4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22"/>
                <w:szCs w:val="22"/>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060" w:type="dxa"/>
            <w:vAlign w:val="bottom"/>
            <w:tcBorders>
              <w:bottom w:val="single" w:sz="8" w:color="CCEEFF"/>
            </w:tcBorders>
            <w:gridSpan w:val="2"/>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lease liability term (in years)</w:t>
            </w:r>
          </w:p>
        </w:tc>
        <w:tc>
          <w:tcPr>
            <w:tcW w:w="2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9"/>
                <w:szCs w:val="19"/>
                <w:color w:val="auto"/>
              </w:rPr>
            </w:pPr>
          </w:p>
        </w:tc>
      </w:tr>
      <w:tr>
        <w:trPr>
          <w:trHeight w:val="23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20" w:type="dxa"/>
            <w:vAlign w:val="bottom"/>
          </w:tcPr>
          <w:p>
            <w:pPr>
              <w:spacing w:after="0"/>
              <w:rPr>
                <w:sz w:val="20"/>
                <w:szCs w:val="20"/>
                <w:color w:val="auto"/>
              </w:rPr>
            </w:pPr>
          </w:p>
        </w:tc>
      </w:tr>
      <w:tr>
        <w:trPr>
          <w:trHeight w:val="900"/>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thereafter to the operating lease liabilities recognized in our consolidated balance sheet at March 31, 2024. The reconciliation excludes short-term leases that are not recorded on the balance sheet.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8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did not have any operating leases that had not yet commenced.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Line of Credit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2024, we executed an amendment to our Second Amended and Restated Credit Agreement ("Second Amended Credit Agreement") with U.S. Bank National Association ("U.S. Bank"), which provides for a revolving line of credit ("Credit Line") through April 30, 2025. We expect to renew our credit agreement with U.S. Bank prior to its expiration. The Credit Line may be used for working capital and other general corporate purposes including acquisitions, share repurchases and capital expenditures.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Line has a maximum availability up to $100.0 million, subject to meeting certain financial conditions, including an accounts receivable coverage ratio ("AR Ratio"). This AR Ratio is calculated monthly and adjusts the current Credit Line total availability. At March 31, 2024, the Credit Line total availability was $52.2 million based upon the AR Ratio. At April 3, 2024, the Credit Line total availability was $61.3 million based upon the AR Ratio.</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available for borrowing under the Credit Line are reduced by the balance of any outstanding letters of credit, of which there were none at March 31, 2024 and December 31,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Second Amended Credit Agreement, we may elect to pay interest on the Credit Line based on the Secured Overnight Financing Rate ("SOFR") plus a 3.00% margin. The amendment also introduces a facility fee of 0.25%. The interest rates in effect at March 31, 2024 and December 31, 2023 were 8.31% and 8.06%,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and contains other customary affirmative and negative covenants and events of default. From January 1, 2024, to September 30, 2024, our covenants are based upon EBITDA. From October 1, 2024 to December 31, 2024, our covenants are based upon a minimum fixed charge coverage ratio. Subsequent to December 31, 2024, our covenants are based upon a minimum fixed charge coverage ratio and a maximum cash flow leverage ratio. At March 31, 2024, we were in compliance with the covenants and conditions of the Second Amended Credit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we had $46.0 million and $55.0 million outstanding under the Credit Line, respectively. At March 31, 2024, our remaining availability under our Credit Line was $6.2 million. Our total interest expense on borrowings was $1.3 million and $1.4 million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income tax expense of $0.7 million and $0.7 million for the three months ended March 31, 2024 and 2023, respectively.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U.S. federal statutory rate for the three months ended March 31, 2024 primarily related to the mix of pre-tax income and loss among jurisdictions and permanent tax items including a tax on global intangible low-taxed income. The Company's income tax provision can be affected by other factors, including changes in the tax laws and regulations in the jurisdictions in which we operate, changes in the valuation allowances on deferred tax assets, and other discrete items.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At December 31, 2023, we had a three-year cumulative operating loss for our U.S. operations and, accordingly, have provided a full valuation allowance on our U.S. federal and state deferred tax assets. During the three months ended March 31, 2024, there was no change to our U.S. valuation allowance position.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we had gross unrecognized tax benefits of $3.4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U.S.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elected to classify interest and penalties as a component of tax expense. Accrued interest and penalties are immaterial at March 31, 2024 and December 31, 2023 and are included in the unrecognized tax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salary/wages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30"/>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3"/>
                <w:szCs w:val="23"/>
                <w:color w:val="auto"/>
                <w:vertAlign w:val="superscript"/>
              </w:rPr>
              <w:t>(1)(2)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vacation/holiday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2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$32 thousand and $0.1 million of accrued severance expenses at March 31, 2024 and December 31, 2023, respectively, related to our manufacturing footprint optimization efforts. See Note 12 for further information related to our restructuring activities.</w:t>
      </w:r>
    </w:p>
    <w:p>
      <w:pPr>
        <w:spacing w:after="0" w:line="225"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liabilities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associated with fulfilled performance obligations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claims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value added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29"/>
        </w:trPr>
        <w:tc>
          <w:tcPr>
            <w:tcW w:w="78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$0.4 million and $0.2 million at March 31, 2024 and December 31, 2023, respectively, associated with the purchase of property, plant and equipment.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claims costs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(in cash or in kind) during the period</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our plan to restructure and optimize our manufacturing footprint while reducing our concentration risk in the PRC, as of September 30, 2023, we have stopped all production activities and commenced the shutdown of our southwestern China factory. As a result, we incurred severance and other exit costs of $0.1 million and $0.1 million, respectively, during the three months ended March 31, 2024, which are included within factory restructuring charges on our consolidated statements of operations. We have recognized a total of $4.2 million in factory restructuring charges since September 2023. We expect this factory restructuring to be completed in the second quarter of 2024 and do not expect any further expenses associated with this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plan to restructure and optimize our factory footprint, we are working to downsize our factory in Mexico due to decreased demand in the U.S. market and our Vietnam facility's ability to supply our North American customers. We have leased a smaller facility and reduced our factory headcount during the three months ended March 31, 2024. As a result, we incurred severance and other exit costs of $0.5 million and $0.4 million, respectively, during the three months ended March 31,</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2024, which are included within factory restructuring charges on our consolidated statements of operations. We expect this factory restructuring to be completed in the second quarter of 2024 with total estimated restructuring charges of $1.8 million including $0.9 million expected to recognized subsequent to March 31,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liabilities are included in accrued compensation, accounts payable and other accrued liabilities on our consolidated balance sheets. Total restructuring activities for the three months ended March 31, 2024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1"/>
                <w:szCs w:val="11"/>
                <w:color w:val="auto"/>
              </w:rPr>
            </w:pPr>
          </w:p>
        </w:tc>
        <w:tc>
          <w:tcPr>
            <w:tcW w:w="110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Other Exit</w:t>
            </w:r>
          </w:p>
        </w:tc>
        <w:tc>
          <w:tcPr>
            <w:tcW w:w="0" w:type="dxa"/>
            <w:vAlign w:val="bottom"/>
          </w:tcPr>
          <w:p>
            <w:pPr>
              <w:spacing w:after="0"/>
              <w:rPr>
                <w:sz w:val="1"/>
                <w:szCs w:val="1"/>
                <w:color w:val="auto"/>
              </w:rPr>
            </w:pPr>
          </w:p>
        </w:tc>
      </w:tr>
      <w:tr>
        <w:trPr>
          <w:trHeight w:val="195"/>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incurred inception to date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expected expense to be incurred as of March 31, 2024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Roku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Lawsuit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(see discussion below). Now that the most of the PTAB matters have been concluded, we will ask the District Court to lift this stay.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Trade Commission Investigation of Roku, TCL, Hisense and Funai</w:t>
      </w:r>
    </w:p>
    <w:p>
      <w:pPr>
        <w:spacing w:after="0" w:line="3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In January 2022, Roku filed its appeal of the ITC ruling with the U.S. Court of Appeals for the Federal Circuit (the "USCAFC"). Oral argument for this appeal was held on September 5, 2023 and in January 2024 the USCAFC issued its decision affirming the ITC ruling in full. On March 4, 2024, Roku filed a petition for rehearing and rehearing en banc and on April 3, 2024, the USCAFC denied Roku’s petition.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Lawsuit</w:t>
      </w: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Now that the most of the PTAB matters have been concluded, we will ask the District Court to lift this stay.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 Partes Reviews</w:t>
      </w:r>
    </w:p>
    <w:p>
      <w:pPr>
        <w:spacing w:after="0" w:line="3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Most of these PTAB actions have been completed, so we will petition the District Court to lift the stay on the 2018 and 2020 cases.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Trade Commission Investigation Request Made by Roku against UEI and certain UEI Customers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an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In addition, Roku, along with the ITC, filed a joint motion to dismiss the '511 patent as moot as it recently expired. We are opposing this motion. Further, on October 23, 2023, the PTBA issued its Final Written Decision invalidating all of the claims Roku alleges we infringe. As a companion to its ITC request, Roku also filed a lawsuit against us in Federal District Court 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Roku's appeal of the ITC case.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of International Trade Action against the United States of America, et. al.</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Lead plaintiffs have appealed this decision. The parties have fully briefed their positions on this appeal and oral argument is expected to be set for later in 2024 and a decision sometime in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Tongshun Matters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23, 2024, Tongshun Company ("TS") filed suit against one of our subsidiaries, Gemstar Technology (Yangzhou) Co. Ltd. ("GTY"), claiming among other things, breach of an employment agency contract, and as is standard in Chinese litigation matters such as these, TS has also requested the court to order a hold on GTY's bank account for the total claimed amount of RMB 35 million. This asset protection order is a standard request and routinely granted. On February 5, 2024, we learned that the court accepted the lawsuit filed by TS. On February 8, 2024, we deposited RMB 35 million (approximately $4.9 million) with the court. This deposit is included in prepaid expenses and other current assets on our consolidated balance sheets. The hearing on this matter has been stayed pending settlement discussions between the parties.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Treasury Stock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October 26, 2023, our Board approved a share repurchase program with an effective date of November 7, 2023 (the "October 2023 Program"). Pursuant to the October 2023 Program, we are authorized to repurchase up to 1,000,000 shares of our common stock. At March 31, 2024, we had 805,244 shares available for repurchase under the October 2023 Program.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spacing w:after="0" w:line="2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also repurchase shares of our issued and outstanding common stock to satisfy the cost of stock option exercises and/or income tax withholding obligations relating to the stock-based compensation of our employees and directors. Repurchased shares of our common stock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open market shares repurchased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statement of operations caption as their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statement of operations caption and the related income tax benefit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employee and director stock-based compensation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4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expect to recognize $5.9 million of total unrecognized pre-tax stock-based compensation expense related to non-vested restricted stock awards over a weighted-average life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performance stock award activity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4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6"/>
        </w:trPr>
        <w:tc>
          <w:tcPr>
            <w:tcW w:w="73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4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assumptions we utilized in the Monte Carlo simulation model and the resulting weighted average fair value of performance stock grants were the following:</w:t>
      </w: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96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104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we expect to recognize $0.5 million of total unrecognized pre-tax stock-based compensation expense related to non-vested performance stock awards over a weighted-average life of 2.6 years.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394" w:lineRule="exact"/>
        <w:rPr>
          <w:sz w:val="20"/>
          <w:szCs w:val="20"/>
          <w:color w:val="auto"/>
        </w:rPr>
      </w:pPr>
    </w:p>
    <w:p>
      <w:pPr>
        <w:jc w:val="right"/>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Number of Options</w:t>
      </w:r>
      <w:r>
        <w:rPr>
          <w:sz w:val="20"/>
          <w:szCs w:val="20"/>
          <w:color w:val="auto"/>
        </w:rPr>
        <w:tab/>
      </w:r>
      <w:r>
        <w:rPr>
          <w:rFonts w:ascii="Times New Roman" w:cs="Times New Roman" w:eastAsia="Times New Roman" w:hAnsi="Times New Roman"/>
          <w:sz w:val="14"/>
          <w:szCs w:val="14"/>
          <w:b w:val="1"/>
          <w:bCs w:val="1"/>
          <w:color w:val="auto"/>
        </w:rPr>
        <w:t>Weighted-Average</w:t>
      </w:r>
    </w:p>
    <w:p>
      <w:pPr>
        <w:spacing w:after="0" w:line="6" w:lineRule="exact"/>
        <w:rPr>
          <w:sz w:val="20"/>
          <w:szCs w:val="20"/>
          <w:color w:val="auto"/>
        </w:rPr>
      </w:pPr>
    </w:p>
    <w:p>
      <w:pPr>
        <w:ind w:left="5640"/>
        <w:spacing w:after="0"/>
        <w:tabs>
          <w:tab w:leader="none" w:pos="710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3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12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2">
            <w:col w:w="8120" w:space="360"/>
            <w:col w:w="2760"/>
          </w:cols>
          <w:pgMar w:left="320" w:top="114"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Outstanding at March 31, 2024 </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Vested and expected to vest at March 31, 2024 </w:t>
            </w:r>
            <w:r>
              <w:rPr>
                <w:rFonts w:ascii="Times New Roman" w:cs="Times New Roman" w:eastAsia="Times New Roman" w:hAnsi="Times New Roman"/>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779</w:t>
            </w:r>
          </w:p>
        </w:tc>
        <w:tc>
          <w:tcPr>
            <w:tcW w:w="6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Exercisable at March 31, 2024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60" w:hanging="328"/>
        <w:spacing w:after="0" w:line="235"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the first quarter of 2024 and the exercise price, multiplied by the number of in-the-money options) that would have been received by the option holders had they all exercised their options on March 31, 2024. This amount will change based on the fair market value of our stock.</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5"/>
        </w:trPr>
        <w:tc>
          <w:tcPr>
            <w:tcW w:w="9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9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45.89 %</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expect to recognize $2.0 million of total unrecognized pre-tax stock-based compensation expense related to non-vested stock options over a remaining weighted-average life of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Other Income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Net gain (loss) on foreign currency exchange contracts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380" w:type="dxa"/>
            <w:vAlign w:val="bottom"/>
          </w:tcPr>
          <w:p>
            <w:pPr>
              <w:spacing w:after="0"/>
              <w:rPr>
                <w:sz w:val="19"/>
                <w:szCs w:val="19"/>
                <w:color w:val="auto"/>
              </w:rPr>
            </w:pPr>
          </w:p>
        </w:tc>
        <w:tc>
          <w:tcPr>
            <w:tcW w:w="1200" w:type="dxa"/>
            <w:vAlign w:val="bottom"/>
          </w:tcPr>
          <w:p>
            <w:pPr>
              <w:jc w:val="center"/>
              <w:ind w:left="776"/>
              <w:spacing w:after="0"/>
              <w:rPr>
                <w:sz w:val="20"/>
                <w:szCs w:val="20"/>
                <w:color w:val="auto"/>
              </w:rPr>
            </w:pPr>
            <w:r>
              <w:rPr>
                <w:rFonts w:ascii="Times New Roman" w:cs="Times New Roman" w:eastAsia="Times New Roman" w:hAnsi="Times New Roman"/>
                <w:sz w:val="18"/>
                <w:szCs w:val="18"/>
                <w:color w:val="auto"/>
                <w:w w:val="99"/>
              </w:rPr>
              <w:t>(84)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776"/>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17 for further details).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per share was calculated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restricted stock and performance stock</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stock options, shares of restricted stock and shares of performance stock were excluded from the computation of diluted earnings per common share as their inclusion would have been anti-dilutive: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awards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4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3"/>
                <w:szCs w:val="3"/>
                <w:color w:val="auto"/>
              </w:rPr>
            </w:pPr>
          </w:p>
        </w:tc>
        <w:tc>
          <w:tcPr>
            <w:tcW w:w="9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3"/>
                <w:szCs w:val="3"/>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3"/>
                <w:szCs w:val="3"/>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$20 thousand and pre-tax loss of $0.2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20" w:type="dxa"/>
            <w:vAlign w:val="bottom"/>
            <w:gridSpan w:val="3"/>
            <w:vMerge w:val="continue"/>
          </w:tcPr>
          <w:p>
            <w:pPr>
              <w:spacing w:after="0"/>
              <w:rPr>
                <w:sz w:val="12"/>
                <w:szCs w:val="12"/>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198"/>
        </w:trPr>
        <w:tc>
          <w:tcPr>
            <w:tcW w:w="198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9"/>
                <w:szCs w:val="9"/>
                <w:b w:val="1"/>
                <w:bCs w:val="1"/>
                <w:color w:val="auto"/>
              </w:rPr>
              <w:t>(1)</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8, 2024</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5, 2024</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r>
        <w:trPr>
          <w:trHeight w:val="23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continued availability of cash through borrowing under our revolving line of credit; the effects of natural or other events beyond our control, including the effects of political unrest, war, terrorist activities, other hostilities, or the outbreak of infectious diseases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2023 ("2023 Form 10-K"), Part II, Item 1A of this report, and other factors we describe from time to time in our periodic filings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climate control, security, home automation and home appliance markets. Our product and technology offerings include:</w:t>
      </w:r>
    </w:p>
    <w:p>
      <w:pPr>
        <w:spacing w:after="0" w:line="203" w:lineRule="exact"/>
        <w:rPr>
          <w:sz w:val="20"/>
          <w:szCs w:val="20"/>
          <w:color w:val="auto"/>
        </w:rPr>
      </w:pPr>
    </w:p>
    <w:p>
      <w:pPr>
        <w:jc w:val="both"/>
        <w:ind w:left="980" w:hanging="324"/>
        <w:spacing w:after="0" w:line="25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easy-to-use, voice-enabled, automatically-programmed universal,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wall-mount and handheld thermostat controllers and connected accessories for smart energy management systems, primarily to OEM customers, as well as hotels, hospitality and system integrators;</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standards-based RF sensors designed for residential security, safety and home automation applications;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technology solutions that can enable devices such as Smart TVs, hybrid set-top boxes, audio systems, smart speakers, game consoles and other consumer electronic and smart home devices to wirelessly connect and interoperate within home networks to enable control and delivery of home entertainment, smart home services and device or system information;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cloud-services that support our embedded software and hardware solutions (directly or indirectly) enabling real-time device identification and system control;</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that we license primarily to OEMs and video service providers;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and cloud-enabled software for reliable firmware update provisioning and digital rights management validation services to major consumer electronics brands; and</w:t>
      </w:r>
    </w:p>
    <w:p>
      <w:pPr>
        <w:ind w:left="980" w:hanging="324"/>
        <w:spacing w:after="0" w:line="26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accessories sold, directly and indirectly, to consumers including universal remote controls, television wall mounts and stands and digital television antennas.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key factor in creating products and software for control of entertainment devices is our proprietary device knowledge. Each year our device discovery and control libraries continue to grow across AV and smart home platforms, supporting many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smart home protocols, including IR, HDMI-CEC, Zigbee (Rf4CE), Z-Wave, IP, as well as Home Network and Cloud Control.</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one business segment. We have one domestic subsidiary and 24 international subsidiaries located in Brazil, British Virgin Islands, France, Germany, Hong Kong (3), India, Italy, Japan, Korea, Mexico (2), the Netherlands, People's Republic of China (the "PRC") (6), Singapore, Spain, United Kingdom and Vietnam.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the three months ended March 31, 2024:</w:t>
      </w:r>
    </w:p>
    <w:p>
      <w:pPr>
        <w:spacing w:after="0" w:line="252" w:lineRule="exact"/>
        <w:rPr>
          <w:sz w:val="20"/>
          <w:szCs w:val="20"/>
          <w:color w:val="auto"/>
        </w:rPr>
      </w:pPr>
    </w:p>
    <w:p>
      <w:pPr>
        <w:ind w:left="980" w:right="2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15.2% to $91.9 million for the three months ended March 31, 2024 from $108.4 million for the three months ended March 31, 2023.</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percentage increased to 28.3% for the three months ended March 31, 2024 from 22.8% for the three months ended March 31, 2023.</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percentage of net sales, decreased to 35.8% for the three months ended March 31, 2024 from 77.7% for the three months ended March 31, 2023.</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loss was $6.9 million for the three months ended March 31, 2024 compared to operating loss of $59.5 million for the three months ended March 31, 2023. Our operating loss percentage was 7.5% for the three months ended March 31, 2024, compared to an operating loss percentage of 54.9% for the three months ended March 31, 2023.</w:t>
      </w:r>
    </w:p>
    <w:p>
      <w:pPr>
        <w:spacing w:after="0" w:line="1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was $0.7 million for the three months ended March 31, 2024 compared to income tax expense of $0.7 million for the three months ended March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2024 include the following:</w:t>
      </w:r>
    </w:p>
    <w:p>
      <w:pPr>
        <w:spacing w:after="0" w:line="252" w:lineRule="exact"/>
        <w:rPr>
          <w:sz w:val="20"/>
          <w:szCs w:val="20"/>
          <w:color w:val="auto"/>
        </w:rPr>
      </w:pPr>
    </w:p>
    <w:p>
      <w:pPr>
        <w:ind w:left="980" w:hanging="324"/>
        <w:spacing w:after="0" w:line="26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new standard products, as well as custom variants, currently on our project development backlog, specifically in the climate control channel;</w:t>
      </w:r>
    </w:p>
    <w:p>
      <w:pPr>
        <w:ind w:left="980" w:right="2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home control and home automation product offerings with the aim of acquiring new customers that represent market share leaders in their respective channels and regions;</w:t>
      </w:r>
    </w:p>
    <w:p>
      <w:pPr>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software and service platform, QuickSet, to deliver new features that enhance the personalization and engagement of users on smart entertainment and smart home platforms;</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go-to-market strategies that help position our sustainable technology in our major verticals;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acquisitions or strategic partners that complement and strengthen our existing business;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 our long-term factory planning strategy to optimize our manufacturing footprint.</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negatively impacted and we expect to continue to be negatively impacted by adverse macroeconomic conditions, in particular reduced consumer spending. We have also been adversely impacted due to inflationary pressures, including increased component and logistics costs and increases in wages and costs of borrowing funds. To help offset these increased costs, we have been able to increase sales prices on certain products, however such increases may not fully offset the impact of these cost increases which would negatively impact our gross margins and overall financial results. In addition, we expect recessionary pressures in the global economy to continue which will ultimately negatively impact our sales demand. Management will continue to seek ways to lessen the impact these pressures may have on our margins and overall financial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by continuing to seek price increases where appropriate, executing on our plan to reduce our manufacturing overhead and to locate alternative and less expensive sources of component parts and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Footprint</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been evaluating our global manufacturing footprint based upon our long-term factory planning strategy to reduce our manufacturing capacity due to decreased demand and a change in mix of our products. As part of this evaluation, we are working to downsize and streamline the Mexico operations by moving to a smaller, more efficient facility. We expect to commence operations in this downsized facility in the second quarter of 2024. We continue to evaluate our global factory footprint to identify ways to operate more efficiently and decisions may result in charges that could have a material effect on the consolidated the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2024 to the items that we disclosed as our critical accounting policies and estimates in Item 7, "Management's Discussion and Analysis of Financial Condition and Results of Operations" contained in our 2023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contained in the "Notes to Consolidated Financial Statements" for a discussion of recent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reported results of operations expressed as a percentage of net sales for the periods indicated.</w:t>
      </w:r>
    </w:p>
    <w:p>
      <w:pPr>
        <w:spacing w:after="0" w:line="4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77.2</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Factory restructuring charges</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versus Three Months Ended March 31,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three months ended March 31, 2024 were $91.9 million compared to $108.4 million for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experienced lower customer demand in both our home entertainment and climate channels. Our home entertainment channel continues to be adversely affected by cord cutting while our climate control channel is experiencing a decrease in demand in Europe which we believe is a result of recent reductions in governmental subsidies for heat pump technology.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three months ended March 31, 2024 was $26.0 million compared to $24.7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Gross profit as a percentage of sales increased to 28.3% for the three months ended March 31, 2024 from 22.8% for the three months ended March 31, 2023. The execution of our factory footprint optimization plan has resulted in a significant reduction of excess manufacturing capacity, yielding</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gross margin rate improvement of approximately 460 basis points. In addition, a stronger U.S. dollar resulted in a 90 basis point improvement in our gross margin rate.</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decreased to $7.8 million for the three months ended March 31, 2024 from $8.4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due primarily to reduced incentive compensation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Factory restructuring charges. </w:t>
      </w:r>
      <w:r>
        <w:rPr>
          <w:rFonts w:ascii="Times New Roman" w:cs="Times New Roman" w:eastAsia="Times New Roman" w:hAnsi="Times New Roman"/>
          <w:sz w:val="18"/>
          <w:szCs w:val="18"/>
          <w:color w:val="auto"/>
        </w:rPr>
        <w:t>During the three months ended March 31, 2024, we recorded $1.1 million in expense, including severance and moving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closure of our southern China factory and the streamlining of our factory in Mexico.</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decreased to $24.0 million for the three months ended March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$26.8 million for the three months ended March 31, 2023, due to a decrease in outside legal expenses related to a specific legal matter and variable expenses associated with lower sales volume.</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During the three months ended March 31, 2023, we recorded a non-cash goodwill impairment charge of $49.1 million, due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capitalization being significantly less than the carrying value of our equity.</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net decreased to $0.9 million for the three months ended March 31, 2024 from $1.0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as a result of a lower average loan balance, partially offset by a higher interest rate.</w:t>
      </w:r>
    </w:p>
    <w:p>
      <w:pPr>
        <w:spacing w:after="0" w:line="19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was $0.1 million for the three months ended March 31, 2024, compared to other expense, net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2023. The improvement was due to a reduction in net foreign currency losses.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$0.7 million for the three months ended March 31, 2024, relative to a pre-tax loss of $7.9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$0.7 million for the three months ended March 31, 2023, relative to a pre-tax loss of $60.7 million. Consistent with 2023, we expect the U.S. to be in a pre-tax loss position without benefit for the full year 2024 resulting in an elevated effective tax rate. In the first quarter of 2023, we received the high technology exemption approval at our Yangzhou entity in China resulting in a lower tax rate. As a result, the deferred tax assets at our Yangzhou entity were remeasured resulting in an expense. Further, in the first quarter 2023, we also received a discrete benefit related to our goodwill impairment.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share repurchases and past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is subject to various risks including the risks discussed under "Item 3. Quantitative and Qualitative Disclosures about Market Risk."</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9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152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bl>
    <w:p>
      <w:pPr>
        <w:spacing w:after="0" w:line="3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On March 31, 2024, we had $3.3 million, $6.9 million, $2.2 million, $2.6 million and $11.9 million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Available Borrowing Resources </w:t>
      </w:r>
      <w:r>
        <w:rPr>
          <w:rFonts w:ascii="Times New Roman" w:cs="Times New Roman" w:eastAsia="Times New Roman" w:hAnsi="Times New Roman"/>
          <w:sz w:val="18"/>
          <w:szCs w:val="18"/>
          <w:color w:val="auto"/>
        </w:rPr>
        <w:t>– Our Second Amended and Restated Credit Agreement ("Second Amended Credit Agreement") with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("U.S. Bank") provides for a revolving line of credit ("Credit Line") that expires on April 30, 2025. We expect to renew our credit agreement with U.S. Bank prior to its expiration. The Credit Line has a maximum availability up to $100.0 million, subject to meeting certain financial conditions, including an accounts receivable coverage ratio ("AR Ratio"). This AR Ratio is calculated monthly and adjusts the current Credit Line total availability. At March 31, 2024, the Credit Line total availability was $52.2 million based upon the AR Ratio. At April 3, 2024, the Credit Line total availability was $61.3 million based upon the AR Ratio.</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March 31, 2024. At March 31, 2024, we had an outstanding balance of $46.0 million on our Credit Line and $6.2 million of availability.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contained in the "Notes to Consolidated Financial Statements" for further information regarding our Credit Line.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6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13"/>
                <w:szCs w:val="1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7"/>
                <w:szCs w:val="17"/>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7"/>
                <w:szCs w:val="17"/>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24"/>
                <w:szCs w:val="24"/>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used for operating activities </w:t>
      </w:r>
      <w:r>
        <w:rPr>
          <w:rFonts w:ascii="Times New Roman" w:cs="Times New Roman" w:eastAsia="Times New Roman" w:hAnsi="Times New Roman"/>
          <w:sz w:val="18"/>
          <w:szCs w:val="18"/>
          <w:color w:val="auto"/>
        </w:rPr>
        <w:t>was $2.8 million during the three months ended March 31, 2024 compared to $2.0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Net loss was $8.6 million for the three months ended March 31, 2024 compared to net loss of $61.4 million for the three months ended March 31, 2023, which includes the impairment of goodwill of $49.1 million. Inventories decreased by $4.1 million during the three months ended March 31, 2024 compared to a decrease of $18.1 million during the three months ended March 31, 2023. This significant decrease in inventories is primarily the result of cord cutting, as there is less demand for our video service products. In addition, lead times for components and raw materials have normalized, enabling more efficient production planning. Our inventory turns increased to 3.1 turns at March 31, 2024 from 2.7 turns at March 31, 2023. Changes in accounts receivable and contract assets resulted in cash inflows of $11.0 million during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three months ended March 31, 2024, largely as a result of a decrease in sales. Changes in accounts receivable and contract assets resulted in cash inflows of $7.7 million during the three months ended March 31, 2023, largely as a result of a decrease in sales offset partially by an increase in days sales outstanding. Days sales outstanding were 93 days at March 31, 2024 compared to 83 days at March 31, 2023. Changes in accounts payable and accrued liabilities resulted in cash outflows of $12.5 million during the three months ended March 31, 2024 due to a decrease in inventory purchases and timing of payments throughout the quarter. Changes in accounts payable and accrued liabilities resulted in cash outflows of $26.1 million during the three months ended March 31, 2023 due primarily to a decrease in inventory purchases.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the three months ended March 31, 2024 was $2.4 million, of which $1.4 million and $1.0 million was used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and the development of patents, respectively. Net cash used for investing activities during the three months ended March 31, 2023 was $4.8 million, of which $3.2 million and $1.6 million was used for capital expenditures and the development of patents, respectively.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flows used for investing activities are largely dependent on the timing and amount of capital expenditures. We estimate that we will incur between $7.0 million and $9.0 million during the remainder of 2024.</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for financing activities </w:t>
      </w:r>
      <w:r>
        <w:rPr>
          <w:rFonts w:ascii="Times New Roman" w:cs="Times New Roman" w:eastAsia="Times New Roman" w:hAnsi="Times New Roman"/>
          <w:sz w:val="18"/>
          <w:szCs w:val="18"/>
          <w:color w:val="auto"/>
        </w:rPr>
        <w:t>was $10.2 million during the three months ended March 31, 2024 compared to $3.8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The primary financing activities during the three months ended March 31, 2024 and 2023 were borrowings and repayments on our Credit Line and repurchases of shares of our common stock. Net repayments on our Credit Line were $9.0 million during the three months ended March 31, 2024 compared to net repayments on our Credit Line of $3.0 million during the three months ended March 31, 2023. During the three months ended March 31, 2024, we repurchased 140,136 shares of our common stock at a cost of $1.2 million compared to our repurchase of 53,186 shares at a cost of $0.8 million during the three months ended March 31, 2023.</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Cash Commitments </w:t>
      </w:r>
      <w:r>
        <w:rPr>
          <w:rFonts w:ascii="Times New Roman" w:cs="Times New Roman" w:eastAsia="Times New Roman" w:hAnsi="Times New Roman"/>
          <w:sz w:val="18"/>
          <w:szCs w:val="18"/>
          <w:color w:val="auto"/>
        </w:rPr>
        <w:t>– The following table summarizes our material cash commitments and the effect these commitments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 our cash flows in future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Line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purchases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material cash commitments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anticipate meeting our material cash commitments with our cash generated from operations and available borrowing resources, including our Credit 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the Secured Overnight Financing Rate ("SOFR")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$0.3 million annual impact on net income based on our outstanding Credit Line balance at March 31,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from the existing Credit Line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March 31, 2024,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Vietnamese Dong, Indian Rupee, Hong Kong Dollar, Brazilian Real, Japanese Yen and Korean Won. Our most significant foreign currency exposure is to the Chinese Yuan Renminbi as this is the functional currency of our China-based factories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2024,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March 31, 2024, net income in the second quarter of 2024 would fluctuate by approximately $4.9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reader should carefully consider, in connection with the other information in this report, the risk factors discussed in "Part I, Item 1A: Risk Factors" of the Company's 2023 Form 10-K and in the periodic reports we have filed since then. These factors may cause our actual results to differ materially from those stated in forward-looking statements contained in this document and elsewhere.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months ended March 31, 2024, our total stock repurchases, average price paid per share and the maximum number of shares that may yet be purchased on the open market under our plans or programs: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203"/>
        </w:trPr>
        <w:tc>
          <w:tcPr>
            <w:tcW w:w="4180" w:type="dxa"/>
            <w:vAlign w:val="bottom"/>
            <w:gridSpan w:val="2"/>
            <w:vMerge w:val="continue"/>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Under the Plans or Programs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 February 28,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21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871,492</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21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805,244</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94,756</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repurchases in February, 45,380 shares represent common shares of the Company that were owned and tendered by employees to satisfy tax withholding obligations in connection with the vesting of restricted shares.</w:t>
      </w:r>
    </w:p>
    <w:p>
      <w:pPr>
        <w:spacing w:after="0" w:line="225"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October 26, 2023, our Board approved a share repurchase program with an effective date of November 7, 2023 (the "October 2023 Program"). Pursuant to the October 2023 Program, we are authorized to repurchase up to 1,000,000 shares of our common stock.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(as defined in Rule 16a-1(f) promulgated under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31.1</w:t>
            </w:r>
          </w:p>
        </w:tc>
        <w:tc>
          <w:tcPr>
            <w:tcW w:w="9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 Certifications of Paul D. Arling, Chief Executive Officer (principal executive officer) of Universal Electronics Inc.</w:t>
            </w:r>
          </w:p>
        </w:tc>
        <w:tc>
          <w:tcPr>
            <w:tcW w:w="280" w:type="dxa"/>
            <w:vAlign w:val="bottom"/>
            <w:gridSpan w:val="2"/>
          </w:tcPr>
          <w:p>
            <w:pPr>
              <w:spacing w:after="0"/>
              <w:rPr>
                <w:sz w:val="24"/>
                <w:szCs w:val="24"/>
                <w:color w:val="auto"/>
              </w:rPr>
            </w:pPr>
          </w:p>
        </w:tc>
      </w:tr>
      <w:tr>
        <w:trPr>
          <w:trHeight w:val="263"/>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31.2</w:t>
            </w:r>
          </w:p>
        </w:tc>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 Certifications of Bryan M. Hackworth, Chief Financial Officer (principal financial officer and principal accounting</w:t>
            </w:r>
          </w:p>
        </w:tc>
      </w:tr>
      <w:tr>
        <w:trPr>
          <w:trHeight w:val="156"/>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officer) of Universal Electronics Inc.</w:t>
            </w:r>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90" w:lineRule="exact"/>
        <w:rPr>
          <w:sz w:val="20"/>
          <w:szCs w:val="20"/>
          <w:color w:val="auto"/>
        </w:rPr>
      </w:pPr>
    </w:p>
    <w:p>
      <w:pPr>
        <w:jc w:val="both"/>
        <w:ind w:left="1540" w:hanging="1372"/>
        <w:spacing w:after="0" w:line="231"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49" w:lineRule="exact"/>
        <w:rPr>
          <w:sz w:val="20"/>
          <w:szCs w:val="20"/>
          <w:color w:val="auto"/>
        </w:rPr>
      </w:pPr>
    </w:p>
    <w:p>
      <w:pPr>
        <w:ind w:left="1540" w:hanging="1372"/>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2024</w:t>
            </w: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r>
      <w:tr>
        <w:trPr>
          <w:trHeight w:val="283"/>
        </w:trPr>
        <w:tc>
          <w:tcPr>
            <w:tcW w:w="3520" w:type="dxa"/>
            <w:vAlign w:val="bottom"/>
          </w:tcPr>
          <w:p>
            <w:pPr>
              <w:spacing w:after="0"/>
              <w:rPr>
                <w:sz w:val="24"/>
                <w:szCs w:val="24"/>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Bryan M. Hackworth</w:t>
            </w:r>
          </w:p>
        </w:tc>
      </w:tr>
      <w:tr>
        <w:trPr>
          <w:trHeight w:val="218"/>
        </w:trPr>
        <w:tc>
          <w:tcPr>
            <w:tcW w:w="3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29"/>
        </w:trPr>
        <w:tc>
          <w:tcPr>
            <w:tcW w:w="3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1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firstLine="154"/>
        <w:spacing w:after="0" w:line="282" w:lineRule="auto"/>
        <w:tabs>
          <w:tab w:leader="none" w:pos="74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firstLine="154"/>
        <w:spacing w:after="0" w:line="282" w:lineRule="auto"/>
        <w:tabs>
          <w:tab w:leader="none" w:pos="71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26" w:lineRule="exact"/>
        <w:rPr>
          <w:rFonts w:ascii="Times New Roman" w:cs="Times New Roman" w:eastAsia="Times New Roman" w:hAnsi="Times New Roman"/>
          <w:sz w:val="18"/>
          <w:szCs w:val="18"/>
          <w:color w:val="auto"/>
        </w:rPr>
      </w:pPr>
    </w:p>
    <w:p>
      <w:pPr>
        <w:ind w:left="340" w:firstLine="154"/>
        <w:spacing w:after="0" w:line="282" w:lineRule="auto"/>
        <w:tabs>
          <w:tab w:leader="none" w:pos="7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22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1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firstLine="154"/>
        <w:spacing w:after="0" w:line="282" w:lineRule="auto"/>
        <w:tabs>
          <w:tab w:leader="none" w:pos="7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0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22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line="203" w:lineRule="auto"/>
        <w:rPr>
          <w:sz w:val="20"/>
          <w:szCs w:val="20"/>
          <w:color w:val="auto"/>
        </w:rPr>
      </w:pPr>
      <w:r>
        <w:rPr>
          <w:rFonts w:ascii="Times New Roman" w:cs="Times New Roman" w:eastAsia="Times New Roman" w:hAnsi="Times New Roman"/>
          <w:sz w:val="18"/>
          <w:szCs w:val="18"/>
          <w:color w:val="auto"/>
        </w:rPr>
        <w:t>(principal financial officer</w:t>
      </w:r>
    </w:p>
    <w:p>
      <w:pPr>
        <w:ind w:left="20"/>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2024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2024</w:t>
            </w:r>
          </w:p>
        </w:tc>
        <w:tc>
          <w:tcPr>
            <w:tcW w:w="628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Paul D. Arling</w:t>
            </w:r>
          </w:p>
        </w:tc>
      </w:tr>
      <w:tr>
        <w:trPr>
          <w:trHeight w:val="218"/>
        </w:trPr>
        <w:tc>
          <w:tcPr>
            <w:tcW w:w="4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D. Arling</w:t>
            </w:r>
          </w:p>
        </w:tc>
      </w:tr>
      <w:tr>
        <w:trPr>
          <w:trHeight w:val="229"/>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760" w:type="dxa"/>
            <w:vAlign w:val="bottom"/>
          </w:tcPr>
          <w:p>
            <w:pPr>
              <w:spacing w:after="0"/>
              <w:rPr>
                <w:sz w:val="24"/>
                <w:szCs w:val="24"/>
                <w:color w:val="auto"/>
              </w:rPr>
            </w:pPr>
          </w:p>
        </w:tc>
        <w:tc>
          <w:tcPr>
            <w:tcW w:w="628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M. Hackworth</w:t>
            </w:r>
          </w:p>
        </w:tc>
      </w:tr>
      <w:tr>
        <w:trPr>
          <w:trHeight w:val="218"/>
        </w:trPr>
        <w:tc>
          <w:tcPr>
            <w:tcW w:w="4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29"/>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4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2"/>
    </w:lvl>
  </w:abstractNum>
  <w:abstractNum w:abstractNumId="15">
    <w:nsid w:val="25E45D32"/>
    <w:multiLevelType w:val="hybridMultilevel"/>
    <w:lvl w:ilvl="0">
      <w:lvlJc w:val="left"/>
      <w:lvlText w:val="%1"/>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2024-05-06T15:58:32Z</dcterms:created>
  <dcterms:modified xsi:type="dcterms:W3CDTF">2024-05-06T15:58:32Z</dcterms:modified>
</cp:coreProperties>
</file>