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20"/>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25" w:lineRule="exact"/>
        <w:rPr>
          <w:sz w:val="24"/>
          <w:szCs w:val="24"/>
          <w:color w:val="auto"/>
        </w:rPr>
      </w:pPr>
    </w:p>
    <w:p>
      <w:pPr>
        <w:ind w:left="680" w:right="10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2025</w:t>
      </w:r>
    </w:p>
    <w:p>
      <w:pPr>
        <w:spacing w:after="0" w:line="58"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9" w:lineRule="exact"/>
        <w:rPr>
          <w:sz w:val="24"/>
          <w:szCs w:val="24"/>
          <w:color w:val="auto"/>
        </w:rPr>
      </w:pPr>
    </w:p>
    <w:p>
      <w:pPr>
        <w:ind w:left="3720"/>
        <w:spacing w:after="0"/>
        <w:tabs>
          <w:tab w:leader="none" w:pos="714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Commission File Number: 0-21044</w:t>
      </w:r>
    </w:p>
    <w:p>
      <w:pPr>
        <w:spacing w:after="0" w:line="3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UNIVERSAL ELECTRONICS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6" w:lineRule="exact"/>
        <w:rPr>
          <w:sz w:val="24"/>
          <w:szCs w:val="24"/>
          <w:color w:val="auto"/>
        </w:rPr>
      </w:pPr>
    </w:p>
    <w:tbl>
      <w:tblPr>
        <w:tblLayout w:type="fixed"/>
        <w:tblInd w:w="2300" w:type="dxa"/>
        <w:tblCellMar>
          <w:top w:w="0" w:type="dxa"/>
          <w:left w:w="0" w:type="dxa"/>
          <w:bottom w:w="0" w:type="dxa"/>
          <w:right w:w="0" w:type="dxa"/>
        </w:tblCellMar>
      </w:tblPr>
      <w:tr>
        <w:trPr>
          <w:trHeight w:val="261"/>
        </w:trPr>
        <w:tc>
          <w:tcPr>
            <w:tcW w:w="3600" w:type="dxa"/>
            <w:vAlign w:val="bottom"/>
          </w:tcPr>
          <w:p>
            <w:pPr>
              <w:jc w:val="center"/>
              <w:ind w:right="1067"/>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600" w:type="dxa"/>
            <w:vAlign w:val="bottom"/>
          </w:tcPr>
          <w:p>
            <w:pPr>
              <w:jc w:val="center"/>
              <w:ind w:left="1087"/>
              <w:spacing w:after="0"/>
              <w:rPr>
                <w:sz w:val="20"/>
                <w:szCs w:val="20"/>
                <w:color w:val="auto"/>
              </w:rPr>
            </w:pPr>
            <w:r>
              <w:rPr>
                <w:rFonts w:ascii="Times New Roman" w:cs="Times New Roman" w:eastAsia="Times New Roman" w:hAnsi="Times New Roman"/>
                <w:sz w:val="20"/>
                <w:szCs w:val="20"/>
                <w:b w:val="1"/>
                <w:bCs w:val="1"/>
                <w:color w:val="auto"/>
                <w:w w:val="97"/>
              </w:rPr>
              <w:t>33-0204817</w:t>
            </w:r>
          </w:p>
        </w:tc>
      </w:tr>
      <w:tr>
        <w:trPr>
          <w:trHeight w:val="184"/>
        </w:trPr>
        <w:tc>
          <w:tcPr>
            <w:tcW w:w="3600" w:type="dxa"/>
            <w:vAlign w:val="bottom"/>
          </w:tcPr>
          <w:p>
            <w:pPr>
              <w:jc w:val="center"/>
              <w:ind w:right="1087"/>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600" w:type="dxa"/>
            <w:vAlign w:val="bottom"/>
          </w:tcPr>
          <w:p>
            <w:pPr>
              <w:jc w:val="center"/>
              <w:ind w:left="1087"/>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00" w:type="dxa"/>
            <w:vAlign w:val="bottom"/>
          </w:tcPr>
          <w:p>
            <w:pPr>
              <w:jc w:val="center"/>
              <w:ind w:right="1087"/>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600" w:type="dxa"/>
            <w:vAlign w:val="bottom"/>
          </w:tcPr>
          <w:p>
            <w:pPr>
              <w:jc w:val="center"/>
              <w:ind w:left="1087"/>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30"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13,336,969 shares of Common Stock, par value $0.01 per share, of the registrant were outstanding on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580" w:type="dxa"/>
            <w:vAlign w:val="bottom"/>
            <w:gridSpan w:val="5"/>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56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Item 1. Consolidated Financial Statements (Unaudited)</w:t>
            </w: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80" w:type="dxa"/>
            <w:vAlign w:val="bottom"/>
            <w:gridSpan w:val="6"/>
          </w:tcPr>
          <w:p>
            <w:pPr>
              <w:spacing w:after="0"/>
              <w:rPr>
                <w:sz w:val="18"/>
                <w:szCs w:val="18"/>
                <w:color w:val="auto"/>
              </w:rPr>
            </w:pP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4180" w:type="dxa"/>
            <w:vAlign w:val="bottom"/>
            <w:gridSpan w:val="4"/>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4180" w:type="dxa"/>
            <w:vAlign w:val="bottom"/>
            <w:gridSpan w:val="4"/>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Consolidated Statements of Cash Flows</w:t>
            </w:r>
          </w:p>
        </w:tc>
        <w:tc>
          <w:tcPr>
            <w:tcW w:w="700" w:type="dxa"/>
            <w:vAlign w:val="bottom"/>
            <w:gridSpan w:val="2"/>
          </w:tcPr>
          <w:p>
            <w:pPr>
              <w:spacing w:after="0"/>
              <w:rPr>
                <w:sz w:val="18"/>
                <w:szCs w:val="18"/>
                <w:color w:val="auto"/>
              </w:rPr>
            </w:pPr>
          </w:p>
        </w:tc>
        <w:tc>
          <w:tcPr>
            <w:tcW w:w="4920" w:type="dxa"/>
            <w:vAlign w:val="bottom"/>
            <w:gridSpan w:val="6"/>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280" w:type="dxa"/>
            <w:vAlign w:val="bottom"/>
            <w:gridSpan w:val="7"/>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64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37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860" w:type="dxa"/>
            <w:vAlign w:val="bottom"/>
            <w:gridSpan w:val="9"/>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740" w:type="dxa"/>
            <w:vAlign w:val="bottom"/>
            <w:gridSpan w:val="1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040" w:type="dxa"/>
            <w:vAlign w:val="bottom"/>
            <w:gridSpan w:val="14"/>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3020" w:type="dxa"/>
            <w:vAlign w:val="bottom"/>
            <w:tcBorders>
              <w:top w:val="single" w:sz="8" w:color="0000FF"/>
            </w:tcBorders>
            <w:gridSpan w:val="10"/>
          </w:tcPr>
          <w:p>
            <w:pPr>
              <w:spacing w:after="0"/>
              <w:rPr>
                <w:sz w:val="18"/>
                <w:szCs w:val="18"/>
                <w:color w:val="auto"/>
              </w:rPr>
            </w:pPr>
          </w:p>
        </w:tc>
        <w:tc>
          <w:tcPr>
            <w:tcW w:w="3740" w:type="dxa"/>
            <w:vAlign w:val="bottom"/>
            <w:gridSpan w:val="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80" w:type="dxa"/>
            <w:vAlign w:val="bottom"/>
            <w:gridSpan w:val="15"/>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114,182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242,494</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24,038</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323,354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65,735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72,031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Lines of credit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21,008</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158,291</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payable</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4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 shares authorized; 26,085,690 and 25,712,940 shares issued on</w:t>
            </w:r>
          </w:p>
        </w:tc>
        <w:tc>
          <w:tcPr>
            <w:tcW w:w="3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June 30, 2025 and December 31, 2024, respectively</w:t>
            </w:r>
          </w:p>
        </w:tc>
        <w:tc>
          <w:tcPr>
            <w:tcW w:w="3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344,697</w:t>
            </w:r>
          </w:p>
        </w:tc>
        <w:tc>
          <w:tcPr>
            <w:tcW w:w="0" w:type="dxa"/>
            <w:vAlign w:val="bottom"/>
          </w:tcPr>
          <w:p>
            <w:pPr>
              <w:spacing w:after="0"/>
              <w:rPr>
                <w:sz w:val="1"/>
                <w:szCs w:val="1"/>
                <w:color w:val="auto"/>
              </w:rPr>
            </w:pPr>
          </w:p>
        </w:tc>
      </w:tr>
      <w:tr>
        <w:trPr>
          <w:trHeight w:val="162"/>
        </w:trPr>
        <w:tc>
          <w:tcPr>
            <w:tcW w:w="74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Treasury stock, at cost, 12,767,292 and 12,666,443 shares on June 30, 2025 and December 31, 2024,</w:t>
            </w:r>
          </w:p>
        </w:tc>
        <w:tc>
          <w:tcPr>
            <w:tcW w:w="3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(372,678)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(371,930)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(28,350)</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208,431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153,105</w:t>
            </w:r>
          </w:p>
        </w:tc>
        <w:tc>
          <w:tcPr>
            <w:tcW w:w="0" w:type="dxa"/>
            <w:vAlign w:val="bottom"/>
          </w:tcPr>
          <w:p>
            <w:pPr>
              <w:spacing w:after="0"/>
              <w:rPr>
                <w:sz w:val="1"/>
                <w:szCs w:val="1"/>
                <w:color w:val="auto"/>
              </w:rPr>
            </w:pPr>
          </w:p>
        </w:tc>
      </w:tr>
      <w:tr>
        <w:trPr>
          <w:trHeight w:val="212"/>
        </w:trPr>
        <w:tc>
          <w:tcPr>
            <w:tcW w:w="74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304,139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323,354</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780" w:type="dxa"/>
            <w:vAlign w:val="bottom"/>
            <w:gridSpan w:val="4"/>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97,665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90,452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182,352</w:t>
            </w:r>
          </w:p>
        </w:tc>
      </w:tr>
      <w:tr>
        <w:trPr>
          <w:trHeight w:val="21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68,469</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64,500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130,412</w:t>
            </w:r>
          </w:p>
        </w:tc>
      </w:tr>
      <w:tr>
        <w:trPr>
          <w:trHeight w:val="21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51,940</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15,341</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45,341</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Factory restructuring charges (Note 12)</w:t>
            </w:r>
          </w:p>
        </w:tc>
        <w:tc>
          <w:tcPr>
            <w:tcW w:w="10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(11,361)</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(13,295)</w:t>
            </w: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r>
      <w:tr>
        <w:trPr>
          <w:trHeight w:val="212"/>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(16,842)</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4"/>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4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earnings (loss) per share: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12,917</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12,909</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5"/>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12,917</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740" w:type="dxa"/>
            <w:vAlign w:val="bottom"/>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3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rPr>
              <w:t>(9,186)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(16,842)</w:t>
            </w: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4,245</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83"/>
              <w:spacing w:after="0"/>
              <w:rPr>
                <w:sz w:val="20"/>
                <w:szCs w:val="20"/>
                <w:color w:val="auto"/>
              </w:rPr>
            </w:pPr>
            <w:r>
              <w:rPr>
                <w:rFonts w:ascii="Times New Roman" w:cs="Times New Roman" w:eastAsia="Times New Roman" w:hAnsi="Times New Roman"/>
                <w:sz w:val="16"/>
                <w:szCs w:val="16"/>
                <w:color w:val="auto"/>
                <w:w w:val="99"/>
              </w:rPr>
              <w:t>5,823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w:t>
            </w:r>
          </w:p>
        </w:tc>
      </w:tr>
      <w:tr>
        <w:trPr>
          <w:trHeight w:val="212"/>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1,333</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(11,095)</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643"/>
              <w:spacing w:after="0"/>
              <w:rPr>
                <w:sz w:val="20"/>
                <w:szCs w:val="20"/>
                <w:color w:val="auto"/>
              </w:rPr>
            </w:pPr>
            <w:r>
              <w:rPr>
                <w:rFonts w:ascii="Times New Roman" w:cs="Times New Roman" w:eastAsia="Times New Roman" w:hAnsi="Times New Roman"/>
                <w:sz w:val="16"/>
                <w:szCs w:val="16"/>
                <w:color w:val="auto"/>
              </w:rPr>
              <w:t>(3,363)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(21,335)</w:t>
            </w:r>
          </w:p>
        </w:tc>
      </w:tr>
      <w:tr>
        <w:trPr>
          <w:trHeight w:val="20"/>
        </w:trPr>
        <w:tc>
          <w:tcPr>
            <w:tcW w:w="4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changes in total equity for the six months ended June 30, 2025: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620" w:type="dxa"/>
            <w:vAlign w:val="bottom"/>
          </w:tcPr>
          <w:p>
            <w:pPr>
              <w:spacing w:after="0"/>
              <w:rPr>
                <w:sz w:val="4"/>
                <w:szCs w:val="4"/>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gridSpan w:val="4"/>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8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620" w:type="dxa"/>
            <w:vAlign w:val="bottom"/>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25,713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(371,930)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344,697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208,431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153,105</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25,845</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(372,313)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346,639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202,157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149,969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26,086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(372,678)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348,458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199,245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changes in total equity for the six months ended June 30, 2024:</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3600" w:type="dxa"/>
            <w:vAlign w:val="bottom"/>
          </w:tcPr>
          <w:p>
            <w:pPr>
              <w:spacing w:after="0"/>
              <w:rPr>
                <w:sz w:val="8"/>
                <w:szCs w:val="8"/>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gridSpan w:val="4"/>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8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600" w:type="dxa"/>
            <w:vAlign w:val="bottom"/>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line="20" w:lineRule="exact"/>
              <w:rPr>
                <w:sz w:val="1"/>
                <w:szCs w:val="1"/>
                <w:color w:val="auto"/>
              </w:rPr>
            </w:pPr>
          </w:p>
        </w:tc>
      </w:tr>
      <w:tr>
        <w:trPr>
          <w:trHeight w:val="198"/>
        </w:trPr>
        <w:tc>
          <w:tcPr>
            <w:tcW w:w="36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25,346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(369,973)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232,460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178,920</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25,508</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(371,203)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339,141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223,811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169,655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Shares issued for employee benefit plan and</w:t>
            </w: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25,627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(371,814)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340,962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215,618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159,771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(16,842)</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for)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9,143</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Shares issued for employee benefit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w:t>
            </w:r>
          </w:p>
        </w:tc>
      </w:tr>
      <w:tr>
        <w:trPr>
          <w:trHeight w:val="219"/>
        </w:trPr>
        <w:tc>
          <w:tcPr>
            <w:tcW w:w="8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3"/>
        </w:trPr>
        <w:tc>
          <w:tcPr>
            <w:tcW w:w="82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w:t>
            </w:r>
          </w:p>
        </w:tc>
      </w:tr>
      <w:tr>
        <w:trPr>
          <w:trHeight w:val="213"/>
        </w:trPr>
        <w:tc>
          <w:tcPr>
            <w:tcW w:w="82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219"/>
        </w:trPr>
        <w:tc>
          <w:tcPr>
            <w:tcW w:w="82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r>
      <w:tr>
        <w:trPr>
          <w:trHeight w:val="213"/>
        </w:trPr>
        <w:tc>
          <w:tcPr>
            <w:tcW w:w="82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w:t>
            </w:r>
          </w:p>
        </w:tc>
      </w:tr>
      <w:tr>
        <w:trPr>
          <w:trHeight w:val="219"/>
        </w:trPr>
        <w:tc>
          <w:tcPr>
            <w:tcW w:w="82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Accrued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r>
      <w:tr>
        <w:trPr>
          <w:trHeight w:val="207"/>
        </w:trPr>
        <w:tc>
          <w:tcPr>
            <w:tcW w:w="8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Blue Chip Swap securities (Note 15)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 of Blue Chip Swap securities (Note 15)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207"/>
        </w:trPr>
        <w:tc>
          <w:tcPr>
            <w:tcW w:w="82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Borrowings under lines of credit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on lines of credit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(49,000)</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Treasury stock purchased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w:t>
            </w:r>
          </w:p>
        </w:tc>
      </w:tr>
      <w:tr>
        <w:trPr>
          <w:trHeight w:val="212"/>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(19,623)</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42,751</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restructuring charges, as described in Note 12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"UEI," "we," "us," and "our" refer to Universal Electronics Inc. and its subsidiaries, unless the context indicates to the contrary.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for the three and six months ended June 30, 2025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and intangible assets, business combinations, income taxes and related valuation allowances and stock-based compensation expense. Actual results may differ from these assumptions and estimates, and they may be adjusted as more information becomes available. Any adjustment may be 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included in our Annual Report on Form 10-K for the year ended December 31, 2024 for a summary of our significant accounting policies</w:t>
      </w:r>
      <w:r>
        <w:rPr>
          <w:rFonts w:ascii="Times New Roman" w:cs="Times New Roman" w:eastAsia="Times New Roman" w:hAnsi="Times New Roman"/>
          <w:sz w:val="18"/>
          <w:szCs w:val="18"/>
          <w:b w:val="1"/>
          <w:bCs w:val="1"/>
          <w:i w:val="1"/>
          <w:i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Effective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Tax Disclosures." The guidance expands income tax disclosures by requiring public business entities, on an annual basis, to disclose specific categories in the rate reconciliation and provide additional information for reconciling items that meet a quantitative threshold. Additionally, this guidance requires that all entities disaggregate disclosures by jurisdiction on the amount of income taxes paid (net of refunds received), income or loss from continuing operations before income tax expense (or benefit) and income tax expense (or benefit) from continuing operations. This guidance is effective for annual periods beginning after December 15, 2024, and therefore will be effective beginning with our financial statements issued for the year ending December 31, 2025. We are currently evaluating the impact of adopting this guidance on our consolidated financial statements and disclosures.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assessed all other ASUs issued but not yet adopted and concluded that those not disclosed are not relevant to the Company or are not expected to have a material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Cash Equivalents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held in the following geographic regions: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Republic of China ("PRC")</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the PRC)</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34,261</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 Revenue and Accounts Receivable, Net</w:t>
            </w: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4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Details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The pattern of revenue recognition was as follows: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00" w:type="dxa"/>
            <w:vAlign w:val="bottom"/>
          </w:tcPr>
          <w:p>
            <w:pPr>
              <w:spacing w:after="0"/>
              <w:rPr>
                <w:sz w:val="17"/>
                <w:szCs w:val="17"/>
                <w:color w:val="auto"/>
              </w:rPr>
            </w:pPr>
          </w:p>
        </w:tc>
        <w:tc>
          <w:tcPr>
            <w:tcW w:w="27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6"/>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149,047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rPr>
              <w:t>40,944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189,991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to external customers by channel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5"/>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Connected home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47,462</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Home entertainment </w:t>
            </w:r>
            <w:r>
              <w:rPr>
                <w:rFonts w:ascii="Times New Roman" w:cs="Times New Roman" w:eastAsia="Times New Roman" w:hAnsi="Times New Roman"/>
                <w:sz w:val="23"/>
                <w:szCs w:val="23"/>
                <w:color w:val="auto"/>
                <w:vertAlign w:val="superscript"/>
              </w:rPr>
              <w:t>(2)</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63,566</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134,890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189,991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hanging="328"/>
        <w:spacing w:after="0" w:line="22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connected home channel represents climate control, smart home and security product sales sold primarily to HVAC, security, home automation and home appliance customers.</w:t>
      </w:r>
    </w:p>
    <w:p>
      <w:pPr>
        <w:spacing w:after="0" w:line="76" w:lineRule="exact"/>
        <w:rPr>
          <w:rFonts w:ascii="Times New Roman" w:cs="Times New Roman" w:eastAsia="Times New Roman" w:hAnsi="Times New Roman"/>
          <w:sz w:val="23"/>
          <w:szCs w:val="23"/>
          <w:color w:val="auto"/>
          <w:vertAlign w:val="superscript"/>
        </w:rPr>
      </w:pPr>
    </w:p>
    <w:p>
      <w:pPr>
        <w:jc w:val="both"/>
        <w:ind w:left="660" w:hanging="328"/>
        <w:spacing w:after="0" w:line="235"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home entertainment channel represents entertainment-related product sales sold primarily to video service providers, consumer electronics original equipment manufacturers ("OEMs") and retailers. It also includes sales associated with intellectual property licensing and our cloud-based software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to external customers by geographic area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PRC)</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38,254</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189,991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182,352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the customer billing location was the basis used for attributing revenues from external customers to geographic areas.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gross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93,773</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91,527</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r>
      <w:tr>
        <w:trPr>
          <w:trHeight w:val="223"/>
        </w:trPr>
        <w:tc>
          <w:tcPr>
            <w:tcW w:w="760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114,182</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accounts receivable is primarily comprised of supplier, supplier rebate and interest receivables.</w:t>
      </w:r>
    </w:p>
    <w:p>
      <w:pPr>
        <w:spacing w:after="0" w:line="68" w:lineRule="exact"/>
        <w:rPr>
          <w:rFonts w:ascii="Times New Roman" w:cs="Times New Roman" w:eastAsia="Times New Roman" w:hAnsi="Times New Roman"/>
          <w:sz w:val="23"/>
          <w:szCs w:val="23"/>
          <w:color w:val="auto"/>
          <w:vertAlign w:val="superscript"/>
        </w:rPr>
      </w:pPr>
    </w:p>
    <w:p>
      <w:pPr>
        <w:ind w:left="640" w:hanging="308"/>
        <w:spacing w:after="0" w:line="219" w:lineRule="auto"/>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Accounts receivable, net at December 31, 2023 was $112.6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to costs and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receipts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were $7.6 million and $10.3 million at June 30, 2025 and December 31, 2024, respectively. The change in balances between periods is due to the fluctuation of custom product inventory balances for which we have an enforceable right to payment for performance completed to date.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current and non-current contract liability balances primarily consisting of cash received in advance of providing our cloud-based software services. Contract liabilities are included within other accrued liabilities and other long-term liabilities in our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contract liabilities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9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received</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effects</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the following customers totaled more than 10% of our net sales:</w:t>
      </w:r>
    </w:p>
    <w:p>
      <w:pPr>
        <w:spacing w:after="0" w:line="43" w:lineRule="exact"/>
        <w:rPr>
          <w:sz w:val="20"/>
          <w:szCs w:val="20"/>
          <w:color w:val="auto"/>
        </w:rPr>
      </w:pPr>
    </w:p>
    <w:tbl>
      <w:tblPr>
        <w:tblLayout w:type="fixed"/>
        <w:tblInd w:w="432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356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120" w:type="dxa"/>
            <w:vAlign w:val="bottom"/>
          </w:tcPr>
          <w:p>
            <w:pPr>
              <w:spacing w:after="0"/>
              <w:rPr>
                <w:sz w:val="16"/>
                <w:szCs w:val="16"/>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0"/>
        </w:trPr>
        <w:tc>
          <w:tcPr>
            <w:tcW w:w="1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34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 of Net Sales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Daikin Industries Ltd.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18,230</w:t>
            </w:r>
          </w:p>
        </w:tc>
        <w:tc>
          <w:tcPr>
            <w:tcW w:w="3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3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12,930</w:t>
            </w:r>
          </w:p>
        </w:tc>
        <w:tc>
          <w:tcPr>
            <w:tcW w:w="3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3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Comcast Communications</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11,942</w:t>
            </w:r>
          </w:p>
        </w:tc>
        <w:tc>
          <w:tcPr>
            <w:tcW w:w="3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541"/>
              <w:spacing w:after="0"/>
              <w:rPr>
                <w:sz w:val="20"/>
                <w:szCs w:val="20"/>
                <w:color w:val="auto"/>
              </w:rPr>
            </w:pPr>
            <w:r>
              <w:rPr>
                <w:rFonts w:ascii="Times New Roman" w:cs="Times New Roman" w:eastAsia="Times New Roman" w:hAnsi="Times New Roman"/>
                <w:sz w:val="12"/>
                <w:szCs w:val="12"/>
                <w:color w:val="auto"/>
              </w:rPr>
              <w:t>(1)</w:t>
            </w:r>
          </w:p>
        </w:tc>
        <w:tc>
          <w:tcPr>
            <w:tcW w:w="320" w:type="dxa"/>
            <w:vAlign w:val="bottom"/>
          </w:tcPr>
          <w:p>
            <w:pPr>
              <w:spacing w:after="0"/>
              <w:rPr>
                <w:sz w:val="13"/>
                <w:szCs w:val="13"/>
                <w:color w:val="auto"/>
              </w:rPr>
            </w:pPr>
          </w:p>
        </w:tc>
        <w:tc>
          <w:tcPr>
            <w:tcW w:w="1460" w:type="dxa"/>
            <w:vAlign w:val="bottom"/>
          </w:tcPr>
          <w:p>
            <w:pPr>
              <w:jc w:val="right"/>
              <w:ind w:right="581"/>
              <w:spacing w:after="0"/>
              <w:rPr>
                <w:sz w:val="20"/>
                <w:szCs w:val="20"/>
                <w:color w:val="auto"/>
              </w:rPr>
            </w:pPr>
            <w:r>
              <w:rPr>
                <w:rFonts w:ascii="Times New Roman" w:cs="Times New Roman" w:eastAsia="Times New Roman" w:hAnsi="Times New Roman"/>
                <w:sz w:val="12"/>
                <w:szCs w:val="12"/>
                <w:color w:val="auto"/>
              </w:rPr>
              <w:t>(1)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3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Sony Corporation</w:t>
            </w: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2"/>
                <w:szCs w:val="12"/>
                <w:color w:val="auto"/>
              </w:rPr>
              <w:t>(1)</w:t>
            </w: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9,577</w:t>
            </w:r>
          </w:p>
        </w:tc>
        <w:tc>
          <w:tcPr>
            <w:tcW w:w="32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32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Sales associated with this customer did not total more than 10% of our net sales for the indicated period.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4"/>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r>
      <w:tr>
        <w:trPr>
          <w:trHeight w:val="196"/>
        </w:trPr>
        <w:tc>
          <w:tcPr>
            <w:tcW w:w="43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20" w:type="dxa"/>
            <w:vAlign w:val="bottom"/>
          </w:tcPr>
          <w:p>
            <w:pPr>
              <w:spacing w:after="0"/>
              <w:rPr>
                <w:sz w:val="17"/>
                <w:szCs w:val="17"/>
                <w:color w:val="auto"/>
              </w:rPr>
            </w:pPr>
          </w:p>
        </w:tc>
        <w:tc>
          <w:tcPr>
            <w:tcW w:w="15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2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Daikin Industries Ltd.</w:t>
            </w: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34,594</w:t>
            </w:r>
          </w:p>
        </w:tc>
        <w:tc>
          <w:tcPr>
            <w:tcW w:w="3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25,039</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320" w:type="dxa"/>
            <w:vAlign w:val="bottom"/>
            <w:tcBorders>
              <w:top w:val="single" w:sz="8" w:color="CCEEFF"/>
            </w:tcBorders>
            <w:shd w:val="clear" w:color="auto" w:fill="CCEEFF"/>
          </w:tcPr>
          <w:p>
            <w:pPr>
              <w:spacing w:after="0"/>
              <w:rPr>
                <w:sz w:val="19"/>
                <w:szCs w:val="19"/>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 Communications</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547"/>
              <w:spacing w:after="0"/>
              <w:rPr>
                <w:sz w:val="20"/>
                <w:szCs w:val="20"/>
                <w:color w:val="auto"/>
              </w:rPr>
            </w:pPr>
            <w:r>
              <w:rPr>
                <w:rFonts w:ascii="Times New Roman" w:cs="Times New Roman" w:eastAsia="Times New Roman" w:hAnsi="Times New Roman"/>
                <w:sz w:val="12"/>
                <w:szCs w:val="12"/>
                <w:color w:val="auto"/>
              </w:rPr>
              <w:t>(1)</w:t>
            </w:r>
          </w:p>
        </w:tc>
        <w:tc>
          <w:tcPr>
            <w:tcW w:w="1780" w:type="dxa"/>
            <w:vAlign w:val="bottom"/>
            <w:gridSpan w:val="2"/>
          </w:tcPr>
          <w:p>
            <w:pPr>
              <w:jc w:val="right"/>
              <w:ind w:right="579"/>
              <w:spacing w:after="0"/>
              <w:rPr>
                <w:sz w:val="20"/>
                <w:szCs w:val="20"/>
                <w:color w:val="auto"/>
              </w:rPr>
            </w:pPr>
            <w:r>
              <w:rPr>
                <w:rFonts w:ascii="Times New Roman" w:cs="Times New Roman" w:eastAsia="Times New Roman" w:hAnsi="Times New Roman"/>
                <w:sz w:val="12"/>
                <w:szCs w:val="12"/>
                <w:color w:val="auto"/>
              </w:rPr>
              <w:t>(1)</w:t>
            </w:r>
          </w:p>
        </w:tc>
        <w:tc>
          <w:tcPr>
            <w:tcW w:w="320" w:type="dxa"/>
            <w:vAlign w:val="bottom"/>
          </w:tcPr>
          <w:p>
            <w:pPr>
              <w:spacing w:after="0"/>
              <w:rPr>
                <w:sz w:val="20"/>
                <w:szCs w:val="20"/>
                <w:color w:val="auto"/>
              </w:rPr>
            </w:pPr>
          </w:p>
        </w:tc>
      </w:tr>
    </w:tbl>
    <w:p>
      <w:pPr>
        <w:spacing w:after="0" w:line="136"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Sales associated with this customer did not total more than 10% of our net sales for the indicated period.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 associated with this significant customer that totaled more than 10% of our accounts receivable, net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4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5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Accounts</w:t>
            </w:r>
          </w:p>
        </w:tc>
        <w:tc>
          <w:tcPr>
            <w:tcW w:w="340" w:type="dxa"/>
            <w:vAlign w:val="bottom"/>
          </w:tcPr>
          <w:p>
            <w:pPr>
              <w:spacing w:after="0"/>
              <w:rPr>
                <w:sz w:val="11"/>
                <w:szCs w:val="11"/>
                <w:color w:val="auto"/>
              </w:rPr>
            </w:pPr>
          </w:p>
        </w:tc>
        <w:tc>
          <w:tcPr>
            <w:tcW w:w="15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Accounts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1520" w:type="dxa"/>
            <w:vAlign w:val="bottom"/>
            <w:gridSpan w:val="2"/>
            <w:vMerge w:val="continue"/>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0" w:type="dxa"/>
            <w:vAlign w:val="bottom"/>
          </w:tcPr>
          <w:p>
            <w:pPr>
              <w:spacing w:after="0"/>
              <w:rPr>
                <w:sz w:val="1"/>
                <w:szCs w:val="1"/>
                <w:color w:val="auto"/>
              </w:rPr>
            </w:pPr>
          </w:p>
        </w:tc>
      </w:tr>
      <w:tr>
        <w:trPr>
          <w:trHeight w:val="149"/>
        </w:trPr>
        <w:tc>
          <w:tcPr>
            <w:tcW w:w="478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Daikin Industries Ltd.</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478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6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20" w:hanging="188"/>
        <w:spacing w:after="0"/>
        <w:tabs>
          <w:tab w:leader="none" w:pos="5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Trade receivables associated with this customer did not total more than 10% of our accounts receivable, net for the indicated period.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45,394</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Supplier</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purchases from suppliers that totaled more than 10% of our total inventory purchases for the three and six months ended June 30,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trade payable balances to suppliers that totaled more than 10% of our total accounts payable at June 30, 2025 and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Long-lived Tangible Assets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Long-lived tangible assets by geographic area, which include property, plant, and equipment, net ("PP&amp;E") and operating lease right-of-use assets,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22,139</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48,529</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PP&amp;E are shown net of accumulated depreciation of $163.6 million and $156.8 million at June 30, 2025 and December 31, 2024,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$2.4 million and $3.3 million for the three months ended June 30, 2025 and 2024, respectively. Depreciation expense was $5.1 million and $6.7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Amortization </w:t>
            </w:r>
            <w:r>
              <w:rPr>
                <w:rFonts w:ascii="Times New Roman" w:cs="Times New Roman" w:eastAsia="Times New Roman" w:hAnsi="Times New Roman"/>
                <w:sz w:val="18"/>
                <w:szCs w:val="18"/>
                <w:b w:val="1"/>
                <w:bCs w:val="1"/>
                <w:color w:val="auto"/>
                <w:w w:val="98"/>
                <w:vertAlign w:val="superscript"/>
              </w:rPr>
              <w:t>(1)</w:t>
            </w:r>
          </w:p>
        </w:tc>
        <w:tc>
          <w:tcPr>
            <w:tcW w:w="3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Amortization </w:t>
            </w:r>
            <w:r>
              <w:rPr>
                <w:rFonts w:ascii="Times New Roman" w:cs="Times New Roman" w:eastAsia="Times New Roman" w:hAnsi="Times New Roman"/>
                <w:sz w:val="18"/>
                <w:szCs w:val="18"/>
                <w:b w:val="1"/>
                <w:bCs w:val="1"/>
                <w:color w:val="auto"/>
                <w:w w:val="98"/>
                <w:vertAlign w:val="superscript"/>
              </w:rPr>
              <w:t>(1)</w:t>
            </w: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right="20" w:hanging="328"/>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table excludes the gross value of fully amortized intangible assets totaling $51.8 million and $49.3 million at June 30, 2025 and December 31, 2024,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4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36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80" w:type="dxa"/>
            <w:vAlign w:val="bottom"/>
            <w:vMerge w:val="continue"/>
          </w:tcPr>
          <w:p>
            <w:pPr>
              <w:spacing w:after="0"/>
              <w:rPr>
                <w:sz w:val="15"/>
                <w:szCs w:val="15"/>
                <w:color w:val="auto"/>
              </w:rPr>
            </w:pPr>
          </w:p>
        </w:tc>
        <w:tc>
          <w:tcPr>
            <w:tcW w:w="170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Borders>
              <w:top w:val="single" w:sz="8" w:color="auto"/>
            </w:tcBorders>
            <w:shd w:val="clear" w:color="auto" w:fill="CCEEFF"/>
          </w:tcPr>
          <w:p>
            <w:pPr>
              <w:spacing w:after="0"/>
              <w:rPr>
                <w:sz w:val="20"/>
                <w:szCs w:val="20"/>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 w:type="dxa"/>
            <w:vAlign w:val="bottom"/>
            <w:tcBorders>
              <w:bottom w:val="single" w:sz="8" w:color="auto"/>
            </w:tcBorders>
          </w:tcPr>
          <w:p>
            <w:pPr>
              <w:spacing w:after="0"/>
              <w:rPr>
                <w:sz w:val="19"/>
                <w:szCs w:val="19"/>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74"/>
        </w:trPr>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Estimated future annual amortization expense related to our intangible assets at June 30, 2025, was as follows: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
        </w:trPr>
        <w:tc>
          <w:tcPr>
            <w:tcW w:w="4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6 months)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0" w:type="dxa"/>
            <w:vAlign w:val="bottom"/>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2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 w:type="dxa"/>
            <w:vAlign w:val="bottom"/>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0" w:type="dxa"/>
            <w:vAlign w:val="bottom"/>
          </w:tcPr>
          <w:p>
            <w:pPr>
              <w:spacing w:after="0"/>
              <w:rPr>
                <w:sz w:val="19"/>
                <w:szCs w:val="19"/>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20" w:type="dxa"/>
            <w:vAlign w:val="bottom"/>
          </w:tcPr>
          <w:p>
            <w:pPr>
              <w:spacing w:after="0"/>
              <w:rPr>
                <w:sz w:val="19"/>
                <w:szCs w:val="19"/>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20" w:type="dxa"/>
            <w:vAlign w:val="bottom"/>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operating lease agreements for automobiles, offices and manufacturing facilities throughout the world. At June 30, 2025, our operating leases had remaining lease terms of up to 35 years, including any reasonably probable extensions.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balances within our consolidated balance sheets were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3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r>
      <w:tr>
        <w:trPr>
          <w:trHeight w:val="223"/>
        </w:trPr>
        <w:tc>
          <w:tcPr>
            <w:tcW w:w="77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operating lease cash flows and supplemental cash flow information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2060" w:type="dxa"/>
            <w:vAlign w:val="bottom"/>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3"/>
        </w:trPr>
        <w:tc>
          <w:tcPr>
            <w:tcW w:w="1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
        </w:trPr>
        <w:tc>
          <w:tcPr>
            <w:tcW w:w="10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10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Pr>
          <w:p>
            <w:pPr>
              <w:spacing w:after="0"/>
              <w:rPr>
                <w:sz w:val="19"/>
                <w:szCs w:val="19"/>
                <w:color w:val="auto"/>
              </w:rPr>
            </w:pPr>
          </w:p>
        </w:tc>
      </w:tr>
      <w:tr>
        <w:trPr>
          <w:trHeight w:val="248"/>
        </w:trPr>
        <w:tc>
          <w:tcPr>
            <w:tcW w:w="10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80" w:type="dxa"/>
            <w:vAlign w:val="bottom"/>
          </w:tcPr>
          <w:p>
            <w:pPr>
              <w:spacing w:after="0"/>
              <w:rPr>
                <w:sz w:val="21"/>
                <w:szCs w:val="21"/>
                <w:color w:val="auto"/>
              </w:rPr>
            </w:pPr>
          </w:p>
        </w:tc>
      </w:tr>
      <w:tr>
        <w:trPr>
          <w:trHeight w:val="20"/>
        </w:trPr>
        <w:tc>
          <w:tcPr>
            <w:tcW w:w="10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100" w:type="dxa"/>
            <w:vAlign w:val="bottom"/>
          </w:tcPr>
          <w:p>
            <w:pPr>
              <w:spacing w:after="0"/>
              <w:rPr>
                <w:sz w:val="15"/>
                <w:szCs w:val="15"/>
                <w:color w:val="auto"/>
              </w:rPr>
            </w:pPr>
          </w:p>
        </w:tc>
        <w:tc>
          <w:tcPr>
            <w:tcW w:w="4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expenses from variable and short-term</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21"/>
                <w:szCs w:val="21"/>
                <w:color w:val="auto"/>
              </w:rPr>
            </w:pPr>
          </w:p>
        </w:tc>
      </w:tr>
      <w:tr>
        <w:trPr>
          <w:trHeight w:val="230"/>
        </w:trPr>
        <w:tc>
          <w:tcPr>
            <w:tcW w:w="1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tcPr>
          <w:p>
            <w:pPr>
              <w:spacing w:after="0"/>
              <w:rPr>
                <w:sz w:val="19"/>
                <w:szCs w:val="19"/>
                <w:color w:val="auto"/>
              </w:rPr>
            </w:pP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4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right-of-use assets obtained in exchange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lease obligations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r>
      <w:tr>
        <w:trPr>
          <w:trHeight w:val="540"/>
        </w:trPr>
        <w:tc>
          <w:tcPr>
            <w:tcW w:w="7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weighted average remaining lease liability term and the weighted average discount rate were as follows: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0"/>
        </w:trPr>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44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lease liability term (in years)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5.45 %</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thereafter to the operating lease liabilities recognized in our consolidated balance sheets at June 30, 2025. The reconciliation excludes short-term leases that are not recorded in our 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80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9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6 months)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23"/>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we did not have any operating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Lines of Credit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Line of Credit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2024, we executed an amendment to our Second Amended and Restated Credit Agreement ("Second Amended Credit Agreement") with U.S. Bank National Association, which provides for a revolving line of credit ("U.S. Credit Line") through April 30, 2026. We expect to renew the U.S. Credit Line prior to its expiration; however, no assurance can be given that future financing will be available or, if available, that we will be offered terms satisfactory to us. The U.S. Credit Line may be used for working capital and other general corporate purposes including acquisitions, share repurchases and capital expenditures.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Credit Line has a maximum availability up to $75.0 million, subject to meeting certain financial conditions, including an accounts receivable coverage ratio ("AR Ratio"). This AR Ratio is calculated monthly and adjusts the current U.S. Credit Line total availability. At June 30, 2025, the U.S. Credit Line total availability was $53.6 million based upon the AR Ratio. At July 15, 2025, the U.S. Credit Line total availability was $57.1 million based upon the AR Ratio.</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available for borrowing under the U.S. Credit Line are reduced by the balance of any outstanding letters of credit, of which there were none at June 30, 2025 and December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U.S. Credit Line are secured by substantially all of our U.S. personal property and tangible and intangible assets, as well as a guaranty of the U.S. Credit Line by our wholly-owned subsidiary, Universal Electronics BV.</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Second Amended Credit Agreement, we pay interest on the U.S. Credit Line based on the Secured Overnight Financing Rate ("SOFR") plus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margin. The amendment also contains a facility fee of 0.25%. The interest rate in effect at June 30, 2025 and December 31, 2024 were 7.29%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7.31%, respectively.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Amended Credit Agreement includes financial covenants and contains other customary affirmative and negative covenants and events of default. Subsequent to December 31, 2024, our covenants are based upon a minimum fixed charge coverage ratio and a maximum cash flow leverage ratio. We were in compliance with the covenants and conditions of the Second Amended Credit Agreement at June 30, 2025.</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2025 and December 31, 2024, we had $19.0 million and $26.0 million outstanding under the U.S. Credit Line, respectively. At June 30, 2025, our remaining availability under our U.S. Credit Line was $34.6 million. Our total interest expense on borrowings under the U.S. Credit Line was $0.5 million and $1.1 million during the three months ended June 30, 2025 and 2024, respectively. Our total interest expense on borrowings under the U.S. Credit Line was $1.1 million and $2.4 million during the six months ended June 30, 2025 and 2024, respectively. Our total facility fee expense under the U.S. Credit Line was $47.4 thousand and $63.2 thousand during the three months ended June 30, 2025 and 2024, respectively. Our total facility fee expense under the U.S. Credit Line was $94.3 thousand and $76.4 thousand during the six months ended June 30, 2025 and 2024,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Line of Credit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our subsidiary, Gemstar Technology (Yangzhou) Co. Ltd. ("GTY"), executed a Line of Credit Agreement (the "Line of Credit Agreement") with the Bank of China, which provides for a revolving line of credit ("China Credit Line"). As a continuation of the agreement, on July 30, 2025, we executed an amendment to the Line of Credit Agreement, which extends the term of the China Credit Line to July 16, 2026. We expect to renew our China Credit Line prior to its expiration; however, no assurance can be given that future financing will be available or, if available, that we will be offered terms satisfactory to us. The China Credit Line may be used for working capital purposes.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China Credit Line had a maximum availability up to RMB 80.0 million (approximately $11.2 million), subject to meeting certain financial conditions. At July 30, 2025, as part of the executed amendment, the China Credit Line maximum availability increased to RMB 130.0 million (approximately $18.1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available for borrowing under the China Credit Line are reduced by the balance of any outstanding letters of credit, of which there were none at June 30, 2025 and December 31, 2024.</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obligations under the China Credit Line are secured by GTY's buildings and land use rights.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Line of Credit Agreement, we pay interest on the China Credit Line based on the one-year rate from the National Interbank Funding Center less a 0.1% margin. There are no associated commitment fees on the China Credit Line. The interest rate in effect at June 30, 2025 and December 31, 2024 was 3.07%.</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six months ended June 30,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and December 31, 2024, we had RMB 80.0 million (approximately $11.2 million) outstanding under the China Credit Line. At June 30, 2025, we had no remaining availability under our China Credit Line. Our total interest expense on borrowings under the China Credit Line was RMB 0.6 million (approximately $0.1 million) during the three months ended June 30, 2025. Our total interest expense on borrowings under the China Credit Line was RMB $1.2 million (approximately $0.2 million) during the six months ended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$1.8 million and $2.8 million for the three months ended June 30, 2025 and 2024, respectively. We recorded income tax expense of $4.0 million and $3.5 million for the six months ended June 30, 2025 and 2024, respectively. The income tax expense recorded for the six months ended June 30, 2025 and June 30, 2024 is primarily attributable to the mix of pre-tax income among jurisdictions, including losses not benefited as a result of a valuation allowance.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 and the 21.0% U.S. federal statutory rate for the three months ended June 30, 2025 primarily related to the mix of pre-tax income and loss among jurisdictions and permanent tax items, including a tax on global intangible low-taxed income. The Company's income tax provision can be affected by other factors, including changes in the tax laws and regulations in the jurisdictions in which we operate, changes in the valuation allowances on deferred tax assets, and other discrete items.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At December 31, 2024, we had a three-year cumulative operating loss for our U.S. operations and have accordingly provided a valuation allowance on our U.S. federal and state deferred tax assets. During the three months ended June 30, 2025, there was no change to our U.S. valuation allowance position.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2025, we had gross unrecognized tax benefits of $3.8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U.S.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classify interest and penalties as a component of tax expense. Accrued interest and penalties are immaterial at June 30, 2025 and December 31, 2024 and are included in the unrecognized tax benefits.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H.R. 1, commonly referred to as the One Big Beautiful Bill Act, was enacted in the United States H.R. 1 includes significant provisions, including the permanent extension of certain expiring provisions of the Tax Cuts and Jobs Act of 2017, modifications to the U.S. international tax framework, and the restoration of favorable tax treatment for certain business provisions. This legislation has multiple effective dates, with certain provisions becoming effective beginning in 2025 and others implemented through 2027. We are currently assessing its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Accrued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compensation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salary/wages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29"/>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social insurance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vacation/holiday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hanging="328"/>
        <w:spacing w:after="0" w:line="235"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$0.2 million of accrued severance expenses at June 30, 2025 related to our Mexico manufacturing footprint optimization efforts. Includes $0.8 million and $0.1 million of accrued severance expenses at December 31, 2024 related to our Mexico and Asia manufacturing footprint optimization efforts, respectively. See Note 12 for further information related to our restructuring activities.</w:t>
      </w:r>
    </w:p>
    <w:p>
      <w:pPr>
        <w:spacing w:after="0" w:line="37" w:lineRule="exact"/>
        <w:rPr>
          <w:rFonts w:ascii="Times New Roman" w:cs="Times New Roman" w:eastAsia="Times New Roman" w:hAnsi="Times New Roman"/>
          <w:sz w:val="23"/>
          <w:szCs w:val="23"/>
          <w:color w:val="auto"/>
          <w:vertAlign w:val="superscript"/>
        </w:rPr>
      </w:pPr>
    </w:p>
    <w:p>
      <w:pPr>
        <w:jc w:val="both"/>
        <w:ind w:left="660" w:hanging="328"/>
        <w:spacing w:after="0" w:line="239"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2025 and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accrued liabilities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associated with fulfilled performance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 and handling fees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judgment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claims costs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21,008</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hanging="328"/>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amount relates to the judgment of a lawsuit with an employment agency in the PRC. See Note 12 for further information related to this matter.</w:t>
      </w:r>
    </w:p>
    <w:p>
      <w:pPr>
        <w:spacing w:after="0" w:line="63"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$0.3 million and $0.1 million at June 30, 2025 and December 31, 2024, respectively, associated with the purchase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inventory and property, plant and equipment related purchase agreements with suppliers. Certain of these agreements have provisions for a binding forecast (inventory) or non-cancellable purchase orders (inventory and PP&amp;E).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non-cancellable purchase commitments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PP&amp;E purchase commitments</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These amounts are expected to be paid within the next twelve months.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liability for product warranty claims costs were as follows: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6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6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to costs and expenses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(in cash or in kind)</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our plan to restructure and optimize our manufacturing footprint while reducing our concentration risk in the PRC, we stopped all production activities and began to shut down our southwestern China factory beginning in the third quarter of 2023. In addition, during the fourth quarter of 2024, we stopped production activities and shut down one of our eastern PRC factories. We incurred no severance or other exit costs during the six months ended June 30, 2025 and $0.1 million of severance and $0.1 million of other exit costs for the six months ended June 30, 2024. These costs are included within factory restructuring charges on our consolidated statements of operations. We have recognized a total of $4.6 million in factory restructuring charges since September 2023. This factory restructuring was completed in the fourth quarter of 2024 and we do not expect to incur any further expenses associated with this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Mexico</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plan to restructure and optimize our factory footprint, we have worked to downsize our factory in Mexico due to decreased demand in the U.S. market and our Vietnam facility's ability to supply our North American customers. We have leased a smaller facility and reduced our factory headcount during the three months ended June 30, 2024. We incurred no severance or other exit costs during the three months ended June 30, 2025 and $0.9 million of severance and $0.6 million of other exit costs during the three months ended June 30, 2024. We incurred no severance or other exit costs during the six months ended June 30, 2025 and $1.4 million of severance and $1.0 million of other exit costs during the six months ended June 30, 2024. These costs are included within factory restructuring charges on our consolidated statements of operations. We have recognized a total of $3.0 million in factory restructuring charges since January 2024.</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liabilities are included in accrued compensation, accounts payable and other accrued liabilities on our consolidated balance sheets. Total restructuring activities for the three months ended June 30, 2025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20" w:type="dxa"/>
            <w:vAlign w:val="bottom"/>
          </w:tcPr>
          <w:p>
            <w:pPr>
              <w:spacing w:after="0"/>
              <w:rPr>
                <w:sz w:val="11"/>
                <w:szCs w:val="11"/>
                <w:color w:val="auto"/>
              </w:rPr>
            </w:pPr>
          </w:p>
        </w:tc>
        <w:tc>
          <w:tcPr>
            <w:tcW w:w="110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Other Exit</w:t>
            </w:r>
          </w:p>
        </w:tc>
        <w:tc>
          <w:tcPr>
            <w:tcW w:w="0" w:type="dxa"/>
            <w:vAlign w:val="bottom"/>
          </w:tcPr>
          <w:p>
            <w:pPr>
              <w:spacing w:after="0"/>
              <w:rPr>
                <w:sz w:val="1"/>
                <w:szCs w:val="1"/>
                <w:color w:val="auto"/>
              </w:rPr>
            </w:pPr>
          </w:p>
        </w:tc>
      </w:tr>
      <w:tr>
        <w:trPr>
          <w:trHeight w:val="195"/>
        </w:trPr>
        <w:tc>
          <w:tcPr>
            <w:tcW w:w="7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20" w:type="dxa"/>
            <w:vAlign w:val="bottom"/>
          </w:tcPr>
          <w:p>
            <w:pPr>
              <w:spacing w:after="0"/>
              <w:rPr>
                <w:sz w:val="16"/>
                <w:szCs w:val="16"/>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costs incurred inception to date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7,600</w:t>
            </w:r>
          </w:p>
        </w:tc>
        <w:tc>
          <w:tcPr>
            <w:tcW w:w="100" w:type="dxa"/>
            <w:vAlign w:val="bottom"/>
          </w:tcPr>
          <w:p>
            <w:pPr>
              <w:spacing w:after="0"/>
              <w:rPr>
                <w:sz w:val="17"/>
                <w:szCs w:val="17"/>
                <w:color w:val="auto"/>
              </w:rPr>
            </w:pPr>
          </w:p>
        </w:tc>
        <w:tc>
          <w:tcPr>
            <w:tcW w:w="240" w:type="dxa"/>
            <w:vAlign w:val="bottom"/>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5,433</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expected expense to be incurred as of June 30, 2025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continued to evaluate our global manufacturing footprint as part of our overall cost optimization and return to profitability strategy. In late July 2025, our Board approved a plan to shut down our Mexico manufacturing facility. We expect this shutdown to be completed by the end of 2025 with material shutdown-related expenses recorded throughout the remainder of the year. No amounts associated with this shutdown have been accrued at June 30,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Roku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UEI and Roku Inc. ("Roku") and certain of its customers have been in litigation in various forums since 2018 — 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reexams) and the Patent and Trademark Appeals Board ("PTAB"). The CDCA cases have all been stayed on various grounds since 2019. The 2018 case was stayed in November 2019 pending resolution of Roku initiated PTO and PTAB matters, all of which have since been resolved.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2020 case was also immediately stayed due to UEI's related ITC action against Roku, in which UEI ultimately prevailed when on July 9, 2021, the Administrative Law Judge ("ALJ") issued an initial determination finding Roku in violation of Section 337. The Commission issued a final determination on November 10, 2021, affirming the ALJ’s finding. The Commission then issued a limited exclusion order and cease and desist order against Roku, which went into effect following the expiration of the Presidential Review Period on January 9, 2022. The Federal Circuit affirmed on January 19, 2024. Following UEI's win and affirmance by the Federal Circuit, Roku sought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and sought cert from the Supreme Court on a domestic industry question. On January 13, 2025, the Supreme Court denied cert.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While this ITC matter has been finally resolved and Roku has no more ability to appeal, we have agreed to continue the stay of the CDCA cases pending the outcome of one final PTAB action involving one of our patents. UEI and Roku participated in a hearing on July 28, 2025 regarding the consolidation of the 2018 and 2020 cases, the stay of the cases, and amending the claims that UEI would be allowed to move forward with a consolidated case by the court if unstayed. On July 29, 2025 the Judge issued an order lifting the stay, consolidating the cases and allowing UEI to move forward on 25 claims in the case. </w:t>
      </w:r>
      <w:r>
        <w:rPr>
          <w:rFonts w:ascii="Times New Roman" w:cs="Times New Roman" w:eastAsia="Times New Roman" w:hAnsi="Times New Roman"/>
          <w:sz w:val="18"/>
          <w:szCs w:val="18"/>
          <w:color w:val="212121"/>
        </w:rPr>
        <w:t>The Court set a scheduling conference for the consolidated district court case on September 29, 2025.</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Roku also filed its own retaliatory ITC action against UEI and certain of our customers on two patents it purchased for this purpose. Roku’s action failed when on June 24, 2022, the ALJ found one of Roku’s patents to be invalid as indefinite. Thereafter, on June 28, 2022, the ALJ issued its initial determination ("ID") fully exonerating us and our customers finding Roku’s second patent invalid and that Roku failed to establish the requisite domestic industry and thus no violation of the Tariff Act. Roku and UEI filed petitions to appeal certain portions of the ID. On October 28, 2022, the full ITC issued its final determination affirming the ID, ruling there was no violation of the Tariff Act and terminated the investigation. In December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2022, Roku filed an appeal. Further, on October 23, 2023, the PTAB issued its Final Written Decision invalidating all of Roku's infringement claims. Roku also filed an appeal of this decision. Oral argument occurred May 9, 2025. On June 17, 2025, the Federal Circuit affirmed the PTAB decision that invalidated the Roku patent and also remanded the case to the PTAB with respect to one remaining claim. We expect a decision with respect to the one remaining claim from the PTAB in late 2025 or early 2026. As a companion to its ITC request, on April 8, 2021, Roku also filed a lawsuit against us in Federal CDCA alleging that we are infringing the same two patents they alleged were infringed in the ITC investigation explained above. This District Court case has been stayed pending their ITC case, and will likely continue to be stayed pending the conclusion of Roku's appeal of their ITC case.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of International Trade Action against the United States of America, et. 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the PRC under Lists 3 and 4A.</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8, 2025, the U.S. Court of Appeals for the Federal Circuit ("USCAFC") heard oral arguments on the appeal by the lead plaintiff from the CIT March 17, 2023 decision in which the CIT sustained the List 3 and List 4 tariffs, concluding that USTR's rationale in support of the tariffs was not impermissibly post hoc. A decision from the USCAFC is expected by the end of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Tongshun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23, 2024, Tongshun Company ("TS") filed suit against one of our subsidiaries, Gemstar Technology (Yangzhou) Co. Ltd. ("GTY"), claiming among other things, breach of an employment agency, and as is standard in Chinese litigation matters such as these, TS requested the Court to order a hold on GTY's bank account for the total claimed amount. On February 8, 2024, we deposited RMB 35.0 million (approximately $4.9 million) with the court. On July 12, 2024, we were refunded RMB 10.0 million (approximately $1.4 million) of the original deposit. This deposit was included in prepaid expenses and other current assets on our consolidated balance sheets at December 31, 2024. On December 20, 2024, the Jiangsu Province Baoying People’s Court rendered a decision in favor of TS and ordered a judgment of RMB 27.4 million (approximately $3.8 million) plus interest and costs totaling approximately RMB 30.4 million (approximately $4.2 million). We recorded an accrual of RMB 30.4 million (approximately $4.2 million) for this judgment during the fourth quarter of 2024. This accrual is included in other accrued expenses on our consolidated balance sheets at December 31, 2024. We filed an appeal of this judgment and on May 20, 2025, the Jiangsu Province Yangzhou Intermediate People's Court affirmed the lower court’s decision in its entirety. The full judgment amount of RMB 30.4 million (approximately $4.2 million) was paid to TS during the second quarter of 2025. Both the deposit and accrual have been released from our consolidated balance sheets at June 30, 2025. GTY has the right to make a further and final appeal to the highest court of the province. GTY has not yet determined whether it will pursue an appeal.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Convergence, Inc.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mid-2024, an arbitration proceeding commenced between UEI and IT Convergence, Inc. ("IT Convergence"). IT Convergence has alleged misappropriation of confidential information and theft of trade secrets. We have denied these claims and have filed a counterclaim asserting breach of contract. Fact discovery, including document production and depositions, has been completed. Opening briefs and a pre-hearing conference have been completed in July 2025. The arbitration hearing is scheduled to take place in early August 2025, and a decision from the arbitrator is expected in early September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Treasury Stock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On October 26, 2023, our Board of Directors approved a share repurchase program with an effective date of November 7, 2023 (the "Share Repurchase Program"). Pursuant to the Share Repurchase Program, we are authorized to repurchase up to 1,000,000 shares of our common stock and to date, we have repurchased 221,638 shares of our common stock. On May 6, 2025, our Board of Directors authorized management to continue to execute under the Share Repurchase Program. As a result, pursuant to this authorization, we may, from time to time, until August 6, 2025, repurchase up to the lesser of $4.0 million worth of our common stock or 778,362 shares (the total remaining number shares available for repurchase under the Share Repurchase Program) in privately negotiated and/or open-market transactions, including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repurchase shares of our issued and outstanding common stock to satisfy income tax withholding obligations relating to the stock-based compensation of our employees and directors and/or the cost of stock option exercises.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of our common stock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repurchased</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open market shares repurchased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shares repurchased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Repurchased shares are recorded as shares held in treasury at cost. We hold these shares for future use as management and the Board of Directors deem appropriate.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for each employee and director is presented in the same statement of operations caption as their cash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by statement of operations caption and the related income tax benefit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55"/>
        </w:trPr>
        <w:tc>
          <w:tcPr>
            <w:tcW w:w="46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employee and director stock-based compensation</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21"/>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restricted stock award activity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4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6"/>
        </w:trPr>
        <w:tc>
          <w:tcPr>
            <w:tcW w:w="73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we expect to recognize $3.7 million of total unrecognized pre-tax stock-based compensation expense related to non-vested restricted stock awards over a weighted-average life of 2.1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performance stock award activity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4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73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2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4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assumptions we utilized in the Monte Carlo simulation model and the resulting weighted average fair value of performance stock grants were the following:</w:t>
      </w: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8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3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57.00 %</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bl>
    <w:p>
      <w:pPr>
        <w:spacing w:after="0" w:line="3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we expect to recognize $0.8 million of total unrecognized pre-tax stock-based compensation expense related to non-vested performance stock awards over a weighted-average period of 2.1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7"/>
                <w:szCs w:val="17"/>
                <w:color w:val="auto"/>
              </w:rPr>
            </w:pPr>
          </w:p>
        </w:tc>
        <w:tc>
          <w:tcPr>
            <w:tcW w:w="12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Outstanding at June 30, 2025 </w:t>
            </w:r>
            <w:r>
              <w:rPr>
                <w:rFonts w:ascii="Times New Roman" w:cs="Times New Roman" w:eastAsia="Times New Roman" w:hAnsi="Times New Roman"/>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Vested and expected to vest at June 30, 2025 </w:t>
            </w:r>
            <w:r>
              <w:rPr>
                <w:rFonts w:ascii="Times New Roman" w:cs="Times New Roman" w:eastAsia="Times New Roman" w:hAnsi="Times New Roman"/>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vMerge w:val="restart"/>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691</w:t>
            </w:r>
          </w:p>
        </w:tc>
        <w:tc>
          <w:tcPr>
            <w:tcW w:w="22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Exercisable at June 30, 2025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60" w:hanging="328"/>
        <w:spacing w:after="0" w:line="235"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represents the total pre-tax value (the difference between our closing stock price on the last trading day of the first quarter of 2025 and the exercise price, multiplied by the number of in-the-money options) that would have been received by the option holders had they all exercised their options on June 30, 2025. This amount will change based on the fair market value of our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expect to recognize $0.2 million of total unrecognized pre-tax stock-based compensation expense related to non-vested stock options over a remaining weighted-average life of 0.6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Other Income (Expense), Net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Central Bank of Argentina maintains certain currency controls that limit the amount of U.S. Dollars that may be remitted from Argentine entities, including certain of our customers. As a result of these controls, an indirect foreign exchange mechanism known as a Blue Chip Swap ("BCS") emerged in Argentina, which allows entities to remit U.S. Dollars from Argentina through the purchase and sale of BCS securities. During the three and six months ended June 30, 2025, in order to collect an open accounts receivable balance with an Argentine customer, we purchased $1.3 million and $2.5 million, respectively, and sold BCS securities of and $1.2 million and $2.3 million, respectively, and incurred a loss on the transactions of $0.1 million and $0.2 million, respectively, which is recorded in other income (expense) on our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consisted of the following:</w:t>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8" w:lineRule="exact"/>
        <w:rPr>
          <w:sz w:val="20"/>
          <w:szCs w:val="20"/>
          <w:color w:val="auto"/>
        </w:rPr>
      </w:pPr>
    </w:p>
    <w:p>
      <w:pPr>
        <w:ind w:left="20" w:right="740"/>
        <w:spacing w:after="0" w:line="264" w:lineRule="auto"/>
        <w:rPr>
          <w:sz w:val="20"/>
          <w:szCs w:val="20"/>
          <w:color w:val="auto"/>
        </w:rPr>
      </w:pPr>
      <w:r>
        <w:rPr>
          <w:rFonts w:ascii="Times New Roman" w:cs="Times New Roman" w:eastAsia="Times New Roman" w:hAnsi="Times New Roman"/>
          <w:sz w:val="17"/>
          <w:szCs w:val="17"/>
          <w:color w:val="auto"/>
        </w:rPr>
        <w:t xml:space="preserve">Net gain (loss) on foreign currency exchange contracts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Net gain (loss) on foreign currency exchange transactions</w:t>
      </w:r>
    </w:p>
    <w:p>
      <w:pPr>
        <w:ind w:left="20"/>
        <w:spacing w:after="0" w:line="222" w:lineRule="auto"/>
        <w:rPr>
          <w:sz w:val="20"/>
          <w:szCs w:val="20"/>
          <w:color w:val="auto"/>
        </w:rPr>
      </w:pPr>
      <w:r>
        <w:rPr>
          <w:rFonts w:ascii="Times New Roman" w:cs="Times New Roman" w:eastAsia="Times New Roman" w:hAnsi="Times New Roman"/>
          <w:sz w:val="18"/>
          <w:szCs w:val="18"/>
          <w:color w:val="auto"/>
        </w:rPr>
        <w:t xml:space="preserve">Other income (expense) </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1"/>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rPr>
              <w:t>(243)</w:t>
            </w:r>
          </w:p>
        </w:tc>
      </w:tr>
      <w:tr>
        <w:trPr>
          <w:trHeight w:val="234"/>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8"/>
                <w:szCs w:val="18"/>
                <w:color w:val="auto"/>
                <w:w w:val="96"/>
              </w:rPr>
              <w:t>289</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8"/>
                <w:szCs w:val="18"/>
                <w:color w:val="auto"/>
              </w:rPr>
              <w:t>(169)</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-650875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-334010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4920" w:space="720"/>
            <w:col w:w="5600"/>
          </w:cols>
          <w:pgMar w:left="320" w:top="114" w:right="339" w:bottom="1440" w:gutter="0" w:footer="0" w:header="0"/>
          <w:type w:val="continuous"/>
        </w:sectPr>
      </w:pPr>
    </w:p>
    <w:p>
      <w:pPr>
        <w:ind w:left="640" w:hanging="308"/>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represents the gains (losses) incurred on foreign currency hedging derivatives (see Note 17 for further details).</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this amount is $0.1 million and $0.2 million of loss related to BCS security transactions during the three and six months ended June 30,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(loss) per share was calculated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13,200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13,141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12,909</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effect of restricted stock, performance stock awards and stock</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on a diluted basis</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number of stock options, shares of restricted stock and shares of performance stock were excluded from the computation of diluted earnings per common share as their inclusion would have been anti-dilutive: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3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awards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total net fair value of derivatives: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7"/>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42"/>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3"/>
                <w:szCs w:val="3"/>
                <w:color w:val="auto"/>
              </w:rPr>
            </w:pPr>
          </w:p>
        </w:tc>
        <w:tc>
          <w:tcPr>
            <w:tcW w:w="9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3"/>
                <w:szCs w:val="3"/>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3"/>
                <w:szCs w:val="3"/>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held foreign currency exchange contracts, which resulted in a net pre-tax loss of $0.4 million and $0.2 million for the three months ended June 30, 2025 and 2024, respectively. For the six months ended June 30, 2025 and 2024, we had a pre-tax loss of $0.6 million and $0.2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foreign currency exchange contracts held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Gain/(Loss)</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Recorded at Balance Sheet</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Date Held</w:t>
            </w: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Forward Rate</w:t>
            </w:r>
          </w:p>
        </w:tc>
        <w:tc>
          <w:tcPr>
            <w:tcW w:w="120" w:type="dxa"/>
            <w:vAlign w:val="bottom"/>
          </w:tcPr>
          <w:p>
            <w:pPr>
              <w:spacing w:after="0"/>
              <w:rPr>
                <w:sz w:val="12"/>
                <w:szCs w:val="12"/>
                <w:color w:val="auto"/>
              </w:rPr>
            </w:pPr>
          </w:p>
        </w:tc>
        <w:tc>
          <w:tcPr>
            <w:tcW w:w="1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0" w:type="dxa"/>
            <w:vAlign w:val="bottom"/>
          </w:tcPr>
          <w:p>
            <w:pPr>
              <w:spacing w:after="0"/>
              <w:rPr>
                <w:sz w:val="1"/>
                <w:szCs w:val="1"/>
                <w:color w:val="auto"/>
              </w:rPr>
            </w:pPr>
          </w:p>
        </w:tc>
      </w:tr>
      <w:tr>
        <w:trPr>
          <w:trHeight w:val="203"/>
        </w:trPr>
        <w:tc>
          <w:tcPr>
            <w:tcW w:w="20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(in thousands)</w:t>
            </w:r>
            <w:r>
              <w:rPr>
                <w:rFonts w:ascii="Times New Roman" w:cs="Times New Roman" w:eastAsia="Times New Roman" w:hAnsi="Times New Roman"/>
                <w:sz w:val="18"/>
                <w:szCs w:val="18"/>
                <w:b w:val="1"/>
                <w:bCs w:val="1"/>
                <w:color w:val="auto"/>
                <w:w w:val="98"/>
                <w:vertAlign w:val="superscript"/>
              </w:rPr>
              <w:t>(1)</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USD/CNY</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31, 2025</w:t>
            </w: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2025</w:t>
            </w: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USD/CNY</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10, 2025</w:t>
            </w:r>
          </w:p>
        </w:tc>
        <w:tc>
          <w:tcPr>
            <w:tcW w:w="0" w:type="dxa"/>
            <w:vAlign w:val="bottom"/>
          </w:tcPr>
          <w:p>
            <w:pPr>
              <w:spacing w:after="0"/>
              <w:rPr>
                <w:sz w:val="1"/>
                <w:szCs w:val="1"/>
                <w:color w:val="auto"/>
              </w:rPr>
            </w:pPr>
          </w:p>
        </w:tc>
      </w:tr>
      <w:tr>
        <w:trPr>
          <w:trHeight w:val="23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USD/EUR</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10, 2025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right="20" w:hanging="328"/>
        <w:spacing w:after="0" w:line="229" w:lineRule="auto"/>
        <w:tabs>
          <w:tab w:leader="none" w:pos="64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Reportable Segment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our Office of CEO,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reported segment revenue, segment profit or loss, and significant segment expenses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182,352</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130,365</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research and development expenses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Adjusted operating expenses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114" w:right="339" w:bottom="1440" w:gutter="0" w:footer="0" w:header="0"/>
        </w:sectPr>
      </w:pPr>
    </w:p>
    <w:p>
      <w:pPr>
        <w:ind w:left="340"/>
        <w:spacing w:after="0"/>
        <w:rPr>
          <w:sz w:val="20"/>
          <w:szCs w:val="20"/>
          <w:color w:val="auto"/>
        </w:rPr>
      </w:pPr>
      <w:r>
        <w:rPr>
          <w:rFonts w:ascii="Times New Roman" w:cs="Times New Roman" w:eastAsia="Times New Roman" w:hAnsi="Times New Roman"/>
          <w:sz w:val="9"/>
          <w:szCs w:val="9"/>
          <w:color w:val="auto"/>
        </w:rPr>
        <w:t>(1)</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Cost of sales from the consolidated statements of operations, adjusted to exclude stock-based compensation expense.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R&amp;D expenses from the consolidated statements of operations, adjusted to exclude stock-based compensation expense.</w:t>
      </w:r>
    </w:p>
    <w:p>
      <w:pPr>
        <w:spacing w:after="0" w:line="75" w:lineRule="exact"/>
        <w:rPr>
          <w:sz w:val="20"/>
          <w:szCs w:val="20"/>
          <w:color w:val="auto"/>
        </w:rPr>
      </w:pPr>
    </w:p>
    <w:p>
      <w:pPr>
        <w:sectPr>
          <w:pgSz w:w="11900" w:h="16838" w:orient="portrait"/>
          <w:cols w:equalWidth="0" w:num="2">
            <w:col w:w="460" w:space="180"/>
            <w:col w:w="10600"/>
          </w:cols>
          <w:pgMar w:left="320" w:top="114" w:right="339" w:bottom="1440" w:gutter="0" w:footer="0" w:header="0"/>
          <w:type w:val="continuous"/>
        </w:sectPr>
      </w:pPr>
    </w:p>
    <w:p>
      <w:pPr>
        <w:ind w:left="660" w:hanging="328"/>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Operating expenses less R&amp;D expenses from the consolidated statements of operations, adjusted to exclude stock-based compensation, amortization of acquired intangible assets, costs associated with our Roku litigation, factory restructuring charges and severance.</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include the adjustments described in the notes above; as well as interest income (expense), net; other income (expense), net; and provision for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our consolidated balance sheets as consolidated total assets. Long-lived assets by geographic area are disclosed in Note 5. The measure of revenues from external customers is reported on the consolidated statements of operations as net sales. Revenues by sales channel, geographic region and information about major customers are disclosed in Note 3. Depreciation expense is disclosed in Note 5. Amortization expense is disclosed in Note 6. Interest expense is disclosed in Note 8 and income taxes are disclosed in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the related notes that appear elsewhere in this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supply chain issues; other future demand and recovery trends and expectations; the delay by or failure of our customers to order products from us; plans to shut down our Mexico manufacturing facility, including the timing thereof; continued availability of cash through borrowing under our revolving lines of credit; the effects of natural or other events beyond our control, including the effects of political unrest, war, terrorist activities, other hostilities, or the outbreak of infectious diseases may have on us or the economy; the economic environments, including increases in interest rates and recessionary effects on us or our customers; the effects of doing business internationally, including expanded use of tariffs, pertaining to the importation of our products, particularly in light of the recent U.S. presidential administrative actions and the responsive retaliatory actions of foreign governments; our expectations regarding our ability to meet our liquidity requirements; our capital expenditures and other investment spending expectations; our expectations with respect to the impact of changes in tax laws;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2024 ("2024 Form 10-K"), Part II, Item 1A of this report, and other factors we describe from time to time in our periodic filings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develop, manufacture, ship and support climate control solutions, wireless sensor and smart home control products, home entertainment control products, technology and software solutions and audio-video ("AV") accessories, that are used by the world's leading brands in the climate control, security, home automation, home appliance, home entertainment and consumer electronics markets. Our channel offerings include: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Connected home:</w:t>
      </w:r>
    </w:p>
    <w:p>
      <w:pPr>
        <w:spacing w:after="0" w:line="115" w:lineRule="exact"/>
        <w:rPr>
          <w:sz w:val="20"/>
          <w:szCs w:val="20"/>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Climate Control Solutions: </w:t>
      </w:r>
      <w:r>
        <w:rPr>
          <w:rFonts w:ascii="Times New Roman" w:cs="Times New Roman" w:eastAsia="Times New Roman" w:hAnsi="Times New Roman"/>
          <w:sz w:val="18"/>
          <w:szCs w:val="18"/>
          <w:color w:val="auto"/>
        </w:rPr>
        <w:t>Our innovative climate control solutions include wireless and wired controllers, smart thermostats and connected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peripherals for sensing and smart energy management. These products are primarily sold to original equipment manufacturer ("OEM") customers, as well as hotels, utilities and system integrators. Our UEI TIDE Family of Climate Control solutions feature advanced technologies such as Wi-Fi, BLE, Zigbee and Matter, and connect to sensors for temperature, humidity, proximity, occupancy and carbon dioxide sensing.</w:t>
      </w:r>
    </w:p>
    <w:p>
      <w:pPr>
        <w:spacing w:after="0" w:line="14"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Home and Security Products: </w:t>
      </w:r>
      <w:r>
        <w:rPr>
          <w:rFonts w:ascii="Times New Roman" w:cs="Times New Roman" w:eastAsia="Times New Roman" w:hAnsi="Times New Roman"/>
          <w:sz w:val="18"/>
          <w:szCs w:val="18"/>
          <w:color w:val="auto"/>
        </w:rPr>
        <w:t>We offer proprietary and standards-based radio frequency ("RF") wireless remote controls and sensors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for residential security, safety and a broad variety of home automation applications, such as smart lighting and motorized shades.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entertainment:</w:t>
      </w:r>
    </w:p>
    <w:p>
      <w:pPr>
        <w:spacing w:after="0" w:line="115" w:lineRule="exact"/>
        <w:rPr>
          <w:sz w:val="20"/>
          <w:szCs w:val="20"/>
          <w:color w:val="auto"/>
        </w:rPr>
      </w:pPr>
    </w:p>
    <w:p>
      <w:pPr>
        <w:jc w:val="both"/>
        <w:ind w:left="660" w:hanging="328"/>
        <w:spacing w:after="0" w:line="25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Home Entertainment Products: </w:t>
      </w:r>
      <w:r>
        <w:rPr>
          <w:rFonts w:ascii="Times New Roman" w:cs="Times New Roman" w:eastAsia="Times New Roman" w:hAnsi="Times New Roman"/>
          <w:sz w:val="18"/>
          <w:szCs w:val="18"/>
          <w:color w:val="auto"/>
        </w:rPr>
        <w:t>Our industry-leading portfolio includes RF-capable, voice-enabled universal remote control products; low-power RF and energy-harvesting 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5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Software and Cloud Services: </w:t>
      </w:r>
      <w:r>
        <w:rPr>
          <w:rFonts w:ascii="Times New Roman" w:cs="Times New Roman" w:eastAsia="Times New Roman" w:hAnsi="Times New Roman"/>
          <w:sz w:val="18"/>
          <w:szCs w:val="18"/>
          <w:color w:val="auto"/>
        </w:rPr>
        <w:t>Our software, firmware and technology solutions enable devices such as smart TVs, hybrid set-top boxes, game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consoles and other consumer electronic and smart home devices to wirelessly connect and interoperate on the home network. These solutions support control and delivery of home entertainment application services and content, smart home services and device or system information. New features include private, on-premise user presence and occupancy detection to enhance user experiences and extend user engagement on connected devices.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Intellectual Property and Licensing: </w:t>
      </w:r>
      <w:r>
        <w:rPr>
          <w:rFonts w:ascii="Times New Roman" w:cs="Times New Roman" w:eastAsia="Times New Roman" w:hAnsi="Times New Roman"/>
          <w:sz w:val="18"/>
          <w:szCs w:val="18"/>
          <w:color w:val="auto"/>
        </w:rPr>
        <w:t>We license our intellectual property primarily to OEMs and video service providers. Our cloud-enabled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 Our integrated circuits, on which our software and universal control database is embedded, are sold primarily to OEMs, video service providers, smart home dealers and private label customers.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operate as one business segment. We have 24 international subsidiaries located in Brazil, British Virgin Islands, France, Germany, Hong Kong (3), India, Italy, Japan, Korea, Mexico (2), the Netherlands, People's Republic of China (the "PRC") (6), Singapore, Spain, United Kingdom and Vietnam.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recap our results for the three months ended June 30, 2025:</w:t>
      </w:r>
    </w:p>
    <w:p>
      <w:pPr>
        <w:spacing w:after="0" w:line="252" w:lineRule="exact"/>
        <w:rPr>
          <w:sz w:val="20"/>
          <w:szCs w:val="20"/>
          <w:color w:val="auto"/>
        </w:rPr>
      </w:pPr>
    </w:p>
    <w:p>
      <w:pPr>
        <w:ind w:left="980" w:right="20" w:hanging="324"/>
        <w:spacing w:after="0" w:line="28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8.0% to $97.7 million for the three months ended June 30, 2025 from $90.5 million for the three months ended June 30, 2024.</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 percentage increased to 29.9% for the three months ended June 30, 2025 from 28.7% for the three months ended June 30, 2024.</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percentage of net sales, decreased to 28.9% for the three months ended June 30, 2025 from 33.6% for the three months ended June 30, 2024.</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income was $1.0 million for the three months ended June 30, 2025 compared to operating loss of $4.5 million for the three months ended June 30, 2024. Our operating income percentage was 1.0% for the three months ended June 30, 2025 compared to our operating loss percentage of 4.9% for the three months ended June 30, 2024.</w:t>
      </w:r>
    </w:p>
    <w:p>
      <w:pPr>
        <w:spacing w:after="0" w:line="1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was $1.8 million for the three months ended June 30, 2025 compared to $2.8 million for the three months ended June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strategic business objectives for 2025 include the following:</w:t>
      </w:r>
    </w:p>
    <w:p>
      <w:pPr>
        <w:spacing w:after="0" w:line="252" w:lineRule="exact"/>
        <w:rPr>
          <w:sz w:val="20"/>
          <w:szCs w:val="20"/>
          <w:color w:val="auto"/>
        </w:rPr>
      </w:pPr>
    </w:p>
    <w:p>
      <w:pPr>
        <w:ind w:left="980" w:right="20" w:hanging="324"/>
        <w:spacing w:after="0" w:line="26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long-term (3-5 year) revenue pipeline by engaging with industry leading brands and securing new and continued product design wins with major HVAC OEMs in North America, Europe and Asia Pacific;</w:t>
      </w:r>
    </w:p>
    <w:p>
      <w:pPr>
        <w:ind w:left="98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deploy the UEI TIDE family of products in multiple dwelling unit and utility channels and leverage initial deployments to validate, and promote, turnkey solutions to address industry need;</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footprint in broadband gateway platforms with expanded QuickSet Cloud software offerings;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QuickSet Cloud software penetration in the TV OS market through development and commercial deployment of QuickSet features such as content personalization, privacy-first presence detection and monitoring;</w:t>
      </w:r>
    </w:p>
    <w:p>
      <w:pPr>
        <w:ind w:left="980" w:right="2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AI-powered cloud services, and on-device AI developments to generate opportunities for recurring revenue streams in software licensing;</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UEI as the development partner of choice in smart thermostat control through innovation and next generation products;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new product categories in direct-to-consumer channel and build a growth revenue business with sustainable gross margins;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technology offerings and development capabilities in new standards such as WiFi6, Thread, Matter and Z-Wave Long Range;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potential acquisitions or strategic partners that complement and strengthen our existing commercial footprint, add new capabilities, and offer strong synergies; and</w:t>
      </w:r>
    </w:p>
    <w:p>
      <w:pPr>
        <w:ind w:left="980" w:hanging="324"/>
        <w:spacing w:after="0" w:line="26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long-term global manufacturing footprint by optimizing internal investments and seeking external manufacturing partnerships where appropriate.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negatively impacted and we expect to continue to be negatively impacted by adverse macroeconomic conditions, including new tariffs imposed or to be imposed on goods manufactured in Vietnam, Taiwan, the PRC, and Mexico, and reduced consumer spending on durable goods. Economic tensions and changes in international trade policies, including the recent widespread tariffs announced by the U.S. on its major trading partners, higher tariffs on imported goods, actions taken in response (such as retaliatory tariffs or other trade protectionist measures or the renegotiation of free trade agreements), could also further impact the global market for our products. The full impact of these governmental actions on macroeconomic conditions and on our business is uncertain and difficult to predict and may result in lower sales and/or cost increases, which would negatively impact our gross margins and overall financial results. Management will continue to seek ways to lessen the impact these pressures may have on our margins and financial results; however, these mitigation efforts may not be successful and these pressures may have a material adverse effect on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Footprint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continued to evaluate our global manufacturing footprint as part of our overall cost optimization and return to profitability strategy. In late July 2025, our Board approved a plan to shut down our Mexico manufacturing facility based upon strong productivity at our Vietnam factory and decreased demand in our home entertainment channel. We expect this shut down to be completed by the end of 2025 with material shutdown-related expenses recorded throughout the remainder of the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six months ended June 30, 2025 to the items that we disclosed as our critical accounting policies and estimates in Item 7, "Management's Discussion and Analysis of Financial Condition and Results of Operations" contained in our 2024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reported results of operations expressed as a percentage of net sales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40" w:type="dxa"/>
            <w:vAlign w:val="bottom"/>
            <w:gridSpan w:val="3"/>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0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71.5</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Factory restructuring charges</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(9.2)%</w:t>
            </w:r>
          </w:p>
        </w:tc>
      </w:tr>
      <w:tr>
        <w:trPr>
          <w:trHeight w:val="21"/>
        </w:trPr>
        <w:tc>
          <w:tcPr>
            <w:tcW w:w="5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versus Three Months Ended June 30, 2024</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three months ended June 30, 2025 were $97.7 million compared to $90.5 million for the three months ended June 30, 2024.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by channel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Connected home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entertainment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connected home were $34.1 million for the three months ended June 30, 2025 compared to $23.3 million for the three months ended June 30, 2024. This growth is driven primarily by shipments to large climate control and home automation customers relating to projects won over the past couple of years.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home entertainment were $63.6 million for the three months ended June 30, 2025 compared to $67.2 million for the three months ended June 30, 2024. The sales decrease in the home entertainment channel is due to lower demand for subscription broadcasting products in Latin America, specifically basic remote controls with low price points. In addition, certain customers in the consumer electronics industry experienced lower demand for televisions, resulting in a decrease in remote control sales in this market.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three months ended June 30, 2025 was $29.2 million compared to $26.0 million for the three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profit as a percentage of sales increased to 29.9% for the three months ended June 30, 2025 from 28.7% for the three months ended June 30, 2024. A stronger U.S. Dollar versus the functional currencies at our manufacturing facilities in Vietnam and Mexico coupled by a weaker U.S. Dollar compared to the Euro and British Pound resulted in a 100 basis point improvement to our gross margin rate. Operational efficiencies, primarily in our Vietnam facility, offset partially by unfavorable sales mix, yielded an additional 20 basis points of rate improvement.</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decreased to $7.0 million for the three months ended June 30, 2025 from $7.5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due to headcount reductions.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decreased slightly to $21.2 million for the three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$21.3 million for the three months ended June 30, 2024.</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Factory restructuring charges. </w:t>
      </w:r>
      <w:r>
        <w:rPr>
          <w:rFonts w:ascii="Times New Roman" w:cs="Times New Roman" w:eastAsia="Times New Roman" w:hAnsi="Times New Roman"/>
          <w:sz w:val="18"/>
          <w:szCs w:val="18"/>
          <w:color w:val="auto"/>
        </w:rPr>
        <w:t>During the three months ended June 30, 2024, we recorded $1.6 million in expense, which included severance and moving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the streamlining of our factory in Mexico.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net decreased to $0.4 million for the three months ended June 30, 2025 from $0.8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as a result of a lower average loan balance and lower interest rates.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expense, net was $1.8 million for the three months ended June 30, 2025 compared to $0.1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This was due to an increase in foreign currency losses resulting from the significant weakening of the U.S. Dollar in the second quarter of 2025.</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was $1.8 million for the three months ended June 30, 2025, relative to a pre-tax loss of $1.1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expense of $2.8 million for the three months ended June 30, 2024, relative to a pre-tax loss of $5.4 million. Consistent with 2024, we expect the U.S. to be in a pre-tax loss position without benefit for the full year 2025, resulting in an elevated effective tax 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versus Six Months Ended June 30, 2024</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six months ended June 30, 2025 were $190.0 million compared to $182.4 million for the six months ended June 30, 2024.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by channel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Connected home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entertainment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134,890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182,352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connected home were $65.8 million for the six months ended June 30, 2025 compared to $47.5 million for the six months ended June 30, 2024. This growth is driven primarily by shipments to large climate control and home automation customers relating to projects won over the past couple of years.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home entertainment were $124.2 million for the six months ended June 30, 2025 compared to $134.9 million for the six months ended June 30, 2024. The sales decrease in the home entertainment channel is due primarily to lower demand for subscription broadcasting and consumer electronic products. Sales in the Latin American market have declined because we typically sell remote controls with basic features in this market, resulting in us having to compete on price with low-cost providers. In addition, certain customers in the consumer electronics industry experienced lower demand for televisions, resulting in a decrease in remote control sales in this market.</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six months ended June 30, 2025 was $55.3 million compared to $51.9 million for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profit as a percentage of sales increased to 29.1% for the six months ended June 30, 2025 from 28.5% for the six months ended June 30, 2024. A stronger U.S. Dollar versus the functional currencies at our manufacturing facilities in Vietnam and Mexico coupled by a weaker U.S. Dollar compared to the Euro and British Pound resulted in a 90 basis point improvement to our gross margin rate. Unfavorable sales mix, offset partially by additional operational efficiencies at our Vietnam facility, resulted in a 30 basis point reduction in our gross margin rate.</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R&amp;D expenses. </w:t>
      </w:r>
      <w:r>
        <w:rPr>
          <w:rFonts w:ascii="Times New Roman" w:cs="Times New Roman" w:eastAsia="Times New Roman" w:hAnsi="Times New Roman"/>
          <w:sz w:val="18"/>
          <w:szCs w:val="18"/>
          <w:color w:val="auto"/>
        </w:rPr>
        <w:t>R&amp;D expenses decreased to $14.2 million for the six months ended June 30, 2025 from $15.3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due primarily to headcount reductions.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SG&amp;A expenses. </w:t>
      </w:r>
      <w:r>
        <w:rPr>
          <w:rFonts w:ascii="Times New Roman" w:cs="Times New Roman" w:eastAsia="Times New Roman" w:hAnsi="Times New Roman"/>
          <w:sz w:val="18"/>
          <w:szCs w:val="18"/>
          <w:color w:val="auto"/>
        </w:rPr>
        <w:t>SG&amp;A expenses decreased to $43.8 million for the six months ended June 30, 2025 from $45.3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This decrease was driven by our continued cost control efforts including a reduction in headcount and related expenses as well as a decrease in professional services costs.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Factory restructuring charges. </w:t>
      </w:r>
      <w:r>
        <w:rPr>
          <w:rFonts w:ascii="Times New Roman" w:cs="Times New Roman" w:eastAsia="Times New Roman" w:hAnsi="Times New Roman"/>
          <w:sz w:val="18"/>
          <w:szCs w:val="18"/>
          <w:color w:val="auto"/>
        </w:rPr>
        <w:t>During the six months ended June 30, 2024, we recorded $2.6 million in expense, which included severance and moving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the closure of our southern China factory and the streamlining of our factory in Mexico.</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net decreased to $0.7 million for the six months ended June 30, 2025 from $1.8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as a result of a lower average loan balance and lower interest rates.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expense, net was $1.7 million for the six months ended June 30, 2025 compared to $0.2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This was due to an increase in foreign currency losses resulting from the significant weakening of the U.S. Dollar in the second quarter of 2025.</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expense was $4.0 million for the six months ended June 30, 2025, relative to a pre-tax loss of $5.2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expense of $3.5 million for the six months ended June 30, 2024, relative to a pre-tax loss of $13.3 million. Consistent with 2024, we expect the U.S. to be in a pre-tax loss position without benefit for the full year 2025, resulting in an elevated effective tax 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is subject to various risks including the risks discussed under "Item 3. Quantitative and Qualitative Disclosures about Market Risk."</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borrowing resources</w:t>
            </w:r>
          </w:p>
        </w:tc>
        <w:tc>
          <w:tcPr>
            <w:tcW w:w="1500" w:type="dxa"/>
            <w:vAlign w:val="bottom"/>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w:t>
            </w:r>
          </w:p>
        </w:tc>
      </w:tr>
    </w:tbl>
    <w:p>
      <w:pPr>
        <w:spacing w:after="0" w:line="3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On June 30, 2025, we had $1.9 million, $13.4 million, $4.1 million, $7.6 million and $7.3 million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Available Borrowing Resources </w:t>
      </w:r>
      <w:r>
        <w:rPr>
          <w:rFonts w:ascii="Times New Roman" w:cs="Times New Roman" w:eastAsia="Times New Roman" w:hAnsi="Times New Roman"/>
          <w:sz w:val="18"/>
          <w:szCs w:val="18"/>
          <w:color w:val="auto"/>
        </w:rPr>
        <w:t>– Our Second Amended and Restated Credit Agreement ("Second Amended Credit Agreement") with U.S.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provides for a revolving line of credit ("U.S. Credit Line") that expires on April 30, 2026. We expect to renew the U.S. Credit Line prior to its expiration; however, no assurance can be given that future financing will be available or, if available, that we will be offered terms satisfactory to us.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Credit Line has a maximum availability up to $75.0 million, subject to meeting certain financial conditions, including an accounts receivable coverage ratio ("AR Ratio"). This AR Ratio is calculated monthly and adjusts the current U.S. Credit Line total availability. At June 30, 2025, the U.S. Credit Line total availability was $53.6 million based upon the AR Ratio. At July 15, 2025, the U.S. Credit Line total availability was $57.1 million based upon the AR Ratio.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Credit Line may be used for working capital and other general corporate purposes including acquisitions, share repurchases and capital expenditures. Amounts available for borrowing under the U.S. Credit Line are reduced by the balance of any outstanding letters of credit, of which there were none at June 30, 2025. At June 30, 2025, we had an outstanding balance of $19.0 million on our U.S. Credit Line and $34.6 million of availability.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subsidiary, Gemstar Technology (Yangzhou) Co. Ltd. ("GTY"), has a Line of Credit Agreement ("Line of Credit Agreement") with the Bank of China, which provides for a revolving line of credit ("China Credit Line" and, together with the U.S. Credit Line, "Credit Lines"). As a continuation of the agreement, on July 30, 2025, we executed an amendment to the Line of Credit Agreement, which extends the term of the China Credit Line to July 16, 2026. We expect to renew our China Credit</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Line prior to its expiration; however, no assurance can be given that future financing will be available or, if available, that we will be offered terms satisfactory to us.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China Credit Line had a maximum availability up to RMB 80.0 million (approximately $11.2 million), subject to meeting certain financial conditions. At July 30, 2025, as part of the executed amendment, the China Credit Line maximum availability increased to RMB 130.0 million (approximately $18.1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China Credit Line may be used for working capital purposes. Amounts available for borrowing under the China Credit Line are reduced by the balance of any outstanding letters of credit, of which there were none at June 30, 2025. At June 30, 2025, we had an outstanding balance of RMB 80.0 million (approximately $11.2 million) on our China Credit Line and no remaining availability.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contained in the "Notes to Consolidated Financial Statements" for further information regarding our Credit Lines.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300" w:type="dxa"/>
            <w:vAlign w:val="bottom"/>
          </w:tcPr>
          <w:p>
            <w:pPr>
              <w:spacing w:after="0"/>
              <w:rPr>
                <w:sz w:val="13"/>
                <w:szCs w:val="13"/>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6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Pr>
          <w:p>
            <w:pPr>
              <w:spacing w:after="0"/>
              <w:rPr>
                <w:sz w:val="24"/>
                <w:szCs w:val="24"/>
                <w:color w:val="auto"/>
              </w:rPr>
            </w:pPr>
          </w:p>
        </w:tc>
        <w:tc>
          <w:tcPr>
            <w:tcW w:w="148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0" w:type="dxa"/>
            <w:vAlign w:val="bottom"/>
          </w:tcPr>
          <w:p>
            <w:pPr>
              <w:spacing w:after="0"/>
              <w:rPr>
                <w:sz w:val="1"/>
                <w:szCs w:val="1"/>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84,203</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was $17.7 million during the six months ended June 30, 2025 compared to net cash provided by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$2.7 million during the six months ended June 30, 2024. Net loss was $9.2 million for the six months ended June 30, 2025 compared to net loss of $16.8 million for the six months ended June 30, 2024. Depreciation and amortization was $7.6 million for the six months ended June 30, 2025 compared to $9.1 million for the six months ended June 30, 2024, resulting from fewer purchases of property, plant and equipment over recent years, commensurate with production volume declines. Inventories decreased by $1.7 million during the six months ended June 30, 2025 compared to an increase of $0.9 million during the six months ended June 30, 2024. The decrease in inventories is primarily the result of improved inventory management. A decrease in accounts receivable and contract assets caused mainly by a decrease in sales outstanding resulted in cash inflows of $23.3 million and $13.1 million during the six months ended June 30, 2025 and June 30, 2024, respectively. Days sales outstanding were 75 days at June 30, 2025 compared to 91 days at June 30, 2024. A decrease in accounts payable and accrued liabilities caused mainly by a decrease in inventory purchases and timing of payments throughout the quarter resulted in cash outflows of $15.4 million and $5.5 million during the six months ended June 30, 2025 and June 30, 2024, respectively. A decrease in prepaid expenses and other assets caused mainly by the release of the deposit associated with our litigation with Tongshun Company resulted in cash inflows of $3.7 million during the six months ended June 30, 2025 compared to cash outflows of $1.6 million during the six months ended June 30, 2024.</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for investing activities </w:t>
      </w:r>
      <w:r>
        <w:rPr>
          <w:rFonts w:ascii="Times New Roman" w:cs="Times New Roman" w:eastAsia="Times New Roman" w:hAnsi="Times New Roman"/>
          <w:sz w:val="18"/>
          <w:szCs w:val="18"/>
          <w:color w:val="auto"/>
        </w:rPr>
        <w:t>during the six months ended June 30, 2025 was $4.0 million, of which $2.5 million, $2.3 million and $1.5 million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the purchase of Blue Chip Swap securities, capital expenditures and the development of patents, respectively. Offsetting these amounts was $2.3 million received upon the sale of Blue Chip Swap securities. Net cash used for investing activities during the six months ended June 30, 2024 was $5.0 million, of which $2.7 million and $2.3 million was used for capital expenditures and the development of patents, respectively.</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Future cash flows used for investing activities are largely dependent on the timing and amount of capital expenditures and the development of patents, respectively. We estimate that we will incur between $5.0 million and $7.0 million during the remainder of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for financing activities </w:t>
      </w:r>
      <w:r>
        <w:rPr>
          <w:rFonts w:ascii="Times New Roman" w:cs="Times New Roman" w:eastAsia="Times New Roman" w:hAnsi="Times New Roman"/>
          <w:sz w:val="18"/>
          <w:szCs w:val="18"/>
          <w:color w:val="auto"/>
        </w:rPr>
        <w:t>was $7.7 million during the six months ended June 30, 2025 compared to $15.8 million during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The primary financing activities during the six months ended June 30, 2025 and 2024 were borrowings and repayments on our Credit Lines and repurchases of shares of our common stock. Net repayments on our Credit Lines were $7.0 million during the six months ended June 30, 2025 compared to $14.0 million during the six months ended June 30, 2024. During the six months ended June 30, 2025, we repurchased 101,000 shares of our common stock at a cost of $0.7 million compared to our repurchase of 195,000 shares at a cost of $1.8 million during the six months ended June 30, 2024.</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the "Notes to Consolidated Financial Statements" for further information regarding our share repurchase programs.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Cash Commitments </w:t>
      </w:r>
      <w:r>
        <w:rPr>
          <w:rFonts w:ascii="Times New Roman" w:cs="Times New Roman" w:eastAsia="Times New Roman" w:hAnsi="Times New Roman"/>
          <w:sz w:val="18"/>
          <w:szCs w:val="18"/>
          <w:color w:val="auto"/>
        </w:rPr>
        <w:t>– The following table summarizes our material cash commitments and the effect these commitments are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on our cash flows in future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Lines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5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purchases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material cash commitments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meeting our material cash commitments with our cash generated from operations and available borrowing on our Credit Lines.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related to our debt. From time to time, we borrow amounts on our Credit Lines for working capital and other liquidity needs. Under the Second Amended Credit Agreement, we pay interest on outstanding borrowings on our U.S. Credit Line based on the Secured Overnight Financing Rate ("SOFR") plus an applicable margin as defined in the Second Amended Credit Agreement. Under our Line of Credit Agreement, we pay interest on outstanding borrowings on our China Credit Line based on the one-year rate from the National Interbank Funding Center, less a 0.1% margin. Accordingly, changes in interest rates would impact our results of operations in future periods. A 100 basis point increase in interest rates would have an approximately $0.2 million annual impact on net income based on our outstanding Credit Lines balance at June 30, 2025.</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make any assurances that we will not need to borrow additional amounts in the future or that funds from the existing Credit Lines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expenses, assets and liabilities denominated in currencies other than the U.S. Dollar. The most significant foreign currencies to our operations are the Chinese Yuan Renminbi, Euro, British Pound, Mexican Peso, Vietnamese Dong, Indian Rupee, Hong Kong Dollar, Brazilian Real, Japanese Yen and Korean Won. Our most significant foreign currency exposure is to the Chinese Yuan Renminbi as this is the functional currency of our PRC-based factory where the majority of our products originate. If the Chinese Yuan Renminbi were to strengthen against the U.S. Dollar, our manufacturing costs would increase. We are generally a net payor of the Chinese Yuan Renminbi, Mexican Peso, Vietnamese Dong,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2025,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June 30, 2025, net income in the third quarter of 2025 would fluctuate by approximately $3.5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Quarterly Report on Form 10-Q.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The discussion of our litigation matters contained in Note 12 to the "Notes to Consolidated Financial Statements"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reader should carefully consider, in connection with the other information in this report, the risk factors discussed in "Part I, Item 1A: Risk Factors" of the 2024 Form 10-K and in the periodic reports we have filed since then. These factors may cause our actual results to differ materially from those stated in forward-looking statements contained in this Quarterly Report on Form 10-Q and elsewhere.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three months ended June 30, 2025, our total stock repurchases, average price paid per share and the maximum number of shares that may yet be purchased on the open market under our plans or programs: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203"/>
        </w:trPr>
        <w:tc>
          <w:tcPr>
            <w:tcW w:w="4180" w:type="dxa"/>
            <w:vAlign w:val="bottom"/>
            <w:gridSpan w:val="2"/>
            <w:vMerge w:val="continue"/>
          </w:tcPr>
          <w:p>
            <w:pPr>
              <w:spacing w:after="0"/>
              <w:rPr>
                <w:sz w:val="17"/>
                <w:szCs w:val="17"/>
                <w:color w:val="auto"/>
              </w:rPr>
            </w:pPr>
          </w:p>
        </w:tc>
        <w:tc>
          <w:tcPr>
            <w:tcW w:w="1440" w:type="dxa"/>
            <w:vAlign w:val="bottom"/>
          </w:tcPr>
          <w:p>
            <w:pPr>
              <w:jc w:val="right"/>
              <w:ind w:right="1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Under the Plans or Programs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778,362</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1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778,362</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778,362</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9"/>
                <w:szCs w:val="19"/>
                <w:color w:val="auto"/>
              </w:rPr>
            </w:pPr>
          </w:p>
        </w:tc>
        <w:tc>
          <w:tcPr>
            <w:tcW w:w="18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660" w:right="20" w:hanging="328"/>
        <w:spacing w:after="0" w:line="229"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repurchases in April, May and June, 17,929, 24,588 and 17,622 shares, respectively, represent shares of common stock of the Company that were owned and tendered by employees to satisfy tax withholding obligations in connection with the vesting of restricted shares.</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45"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October 26, 2023, our Board of Directors approved a share repurchase program with an effective date of November 7, 2023 (the "Share Repurchase Program"). Pursuant to this Share Repurchase Program, we are authorized to repurchase up to 1,000,000 shares of our common stock and to date, we have repurchased 221,638 shares of our common stock. On May 6, 2025, our Board of Directors authorized management to continue to execute under the Share Repurchase Program. As a result, pursuant to this authorization, we may, from time to time, until August 6, 2025, repurchase up to the lesser of $4.0 million worth of our common stock or 778,362 shares (the total remaining number shares available for repurchase under the Share Repurchase Program) in privately negotiated and/or open-market transactions, including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4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1"/>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00" w:type="dxa"/>
            <w:vAlign w:val="bottom"/>
            <w:gridSpan w:val="16"/>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Cooperation Agreement, dated May 2, 2025, by and among Universal Electronics Inc., Kent Lake Partners LP, Kent Lake PR LLC,</w:t>
              </w:r>
            </w:hyperlink>
          </w:p>
        </w:tc>
      </w:tr>
      <w:tr>
        <w:trPr>
          <w:trHeight w:val="155"/>
        </w:trPr>
        <w:tc>
          <w:tcPr>
            <w:tcW w:w="1380" w:type="dxa"/>
            <w:vAlign w:val="bottom"/>
          </w:tcPr>
          <w:p>
            <w:pPr>
              <w:spacing w:after="0"/>
              <w:rPr>
                <w:sz w:val="13"/>
                <w:szCs w:val="13"/>
                <w:color w:val="auto"/>
              </w:rPr>
            </w:pPr>
          </w:p>
        </w:tc>
        <w:tc>
          <w:tcPr>
            <w:tcW w:w="97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and Benjamin Natter (incorporated by reference to Exhibit 10.1 to the Company's Current Report on Form 8-K filed on May 5, 2025</w:t>
              </w:r>
            </w:hyperlink>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(File No.0-21044))</w:t>
              </w:r>
            </w:hyperlink>
          </w:p>
        </w:tc>
        <w:tc>
          <w:tcPr>
            <w:tcW w:w="83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7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00" w:type="dxa"/>
            <w:vAlign w:val="bottom"/>
            <w:gridSpan w:val="16"/>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Tenth Amendment to Second Amended and Restated Credit Agreement signed July 25, 2025 (incorporated by reference to Exhibit</w:t>
              </w:r>
            </w:hyperlink>
          </w:p>
        </w:tc>
      </w:tr>
      <w:tr>
        <w:trPr>
          <w:trHeight w:val="156"/>
        </w:trPr>
        <w:tc>
          <w:tcPr>
            <w:tcW w:w="1380" w:type="dxa"/>
            <w:vAlign w:val="bottom"/>
          </w:tcPr>
          <w:p>
            <w:pPr>
              <w:spacing w:after="0"/>
              <w:rPr>
                <w:sz w:val="13"/>
                <w:szCs w:val="13"/>
                <w:color w:val="auto"/>
              </w:rPr>
            </w:pPr>
          </w:p>
        </w:tc>
        <w:tc>
          <w:tcPr>
            <w:tcW w:w="96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July 31, 2025 (File No. 0-21044))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00" w:type="dxa"/>
            <w:vAlign w:val="bottom"/>
            <w:gridSpan w:val="16"/>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Line of Credit Agreement signed July 30, 2025 (incorporated by reference to Exhibit 10.2 to the Company's Current Report on Form</w:t>
              </w:r>
            </w:hyperlink>
          </w:p>
        </w:tc>
      </w:tr>
      <w:tr>
        <w:trPr>
          <w:trHeight w:val="156"/>
        </w:trPr>
        <w:tc>
          <w:tcPr>
            <w:tcW w:w="1380" w:type="dxa"/>
            <w:vAlign w:val="bottom"/>
          </w:tcPr>
          <w:p>
            <w:pPr>
              <w:spacing w:after="0"/>
              <w:rPr>
                <w:sz w:val="13"/>
                <w:szCs w:val="13"/>
                <w:color w:val="auto"/>
              </w:rPr>
            </w:pPr>
          </w:p>
        </w:tc>
        <w:tc>
          <w:tcPr>
            <w:tcW w:w="97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8-K filed on July 31, 2025 (File No. 0-21044))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gridSpan w:val="16"/>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Form of Working Capital Loan Contract (incorporated by reference to Exhibit 10.3 to the Company's Current Report on Form 8-K</w:t>
              </w:r>
            </w:hyperlink>
          </w:p>
        </w:tc>
      </w:tr>
      <w:tr>
        <w:trPr>
          <w:trHeight w:val="156"/>
        </w:trPr>
        <w:tc>
          <w:tcPr>
            <w:tcW w:w="138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filed on July 31, 2025 (File No. 0-21044))</w:t>
              </w:r>
            </w:hyperlink>
          </w:p>
        </w:tc>
        <w:tc>
          <w:tcPr>
            <w:tcW w:w="67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Rule 13a-14(a) Certification of Richard K. Carnifax, Interim Chief Executive Officer (principal executive officer) of Universal</w:t>
            </w:r>
          </w:p>
        </w:tc>
      </w:tr>
      <w:tr>
        <w:trPr>
          <w:trHeight w:val="156"/>
        </w:trPr>
        <w:tc>
          <w:tcPr>
            <w:tcW w:w="1380" w:type="dxa"/>
            <w:vAlign w:val="bottom"/>
          </w:tcPr>
          <w:p>
            <w:pPr>
              <w:spacing w:after="0"/>
              <w:rPr>
                <w:sz w:val="13"/>
                <w:szCs w:val="13"/>
                <w:color w:val="auto"/>
              </w:rPr>
            </w:pPr>
          </w:p>
        </w:tc>
        <w:tc>
          <w:tcPr>
            <w:tcW w:w="11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Electronics Inc.</w:t>
            </w:r>
          </w:p>
        </w:tc>
        <w:tc>
          <w:tcPr>
            <w:tcW w:w="85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Rule 13a-14(a) Certification of Bryan M. Hackworth, Chief Financial Officer (principal financial officer and principal accounting</w:t>
            </w:r>
          </w:p>
        </w:tc>
      </w:tr>
      <w:tr>
        <w:trPr>
          <w:trHeight w:val="156"/>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officer) of Universal Electronics Inc.</w:t>
            </w:r>
          </w:p>
        </w:tc>
        <w:tc>
          <w:tcPr>
            <w:tcW w:w="706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 **</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Section 1350 Certifications of Richard K. Carnifax, Interim Chief Executive Officer (principal executive officer) of Universal</w:t>
            </w:r>
          </w:p>
        </w:tc>
      </w:tr>
      <w:tr>
        <w:trPr>
          <w:trHeight w:val="156"/>
        </w:trPr>
        <w:tc>
          <w:tcPr>
            <w:tcW w:w="1380" w:type="dxa"/>
            <w:vAlign w:val="bottom"/>
          </w:tcPr>
          <w:p>
            <w:pPr>
              <w:spacing w:after="0"/>
              <w:rPr>
                <w:sz w:val="13"/>
                <w:szCs w:val="13"/>
                <w:color w:val="auto"/>
              </w:rPr>
            </w:pPr>
          </w:p>
        </w:tc>
        <w:tc>
          <w:tcPr>
            <w:tcW w:w="97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Electronics Inc., and Bryan M. Hackworth, Chief Financial Officer (principal financial officer and principal accounting officer) of</w:t>
            </w:r>
          </w:p>
        </w:tc>
        <w:tc>
          <w:tcPr>
            <w:tcW w:w="40" w:type="dxa"/>
            <w:vAlign w:val="bottom"/>
            <w:gridSpan w:val="2"/>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966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Universal Electronics Inc., pursuant to 18 U.S.C. Section 1350.</w:t>
            </w:r>
          </w:p>
        </w:tc>
        <w:tc>
          <w:tcPr>
            <w:tcW w:w="140" w:type="dxa"/>
            <w:vAlign w:val="bottom"/>
            <w:gridSpan w:val="7"/>
          </w:tcPr>
          <w:p>
            <w:pPr>
              <w:spacing w:after="0"/>
              <w:rPr>
                <w:sz w:val="14"/>
                <w:szCs w:val="14"/>
                <w:color w:val="auto"/>
              </w:rPr>
            </w:pPr>
          </w:p>
        </w:tc>
      </w:tr>
      <w:tr>
        <w:trPr>
          <w:trHeight w:val="30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240" w:type="dxa"/>
            <w:vAlign w:val="bottom"/>
            <w:gridSpan w:val="10"/>
          </w:tcPr>
          <w:p>
            <w:pPr>
              <w:spacing w:after="0"/>
              <w:rPr>
                <w:sz w:val="24"/>
                <w:szCs w:val="24"/>
                <w:color w:val="auto"/>
              </w:rPr>
            </w:pPr>
          </w:p>
        </w:tc>
      </w:tr>
      <w:tr>
        <w:trPr>
          <w:trHeight w:val="28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540" w:hanging="1372"/>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46" w:lineRule="exact"/>
        <w:rPr>
          <w:rFonts w:ascii="Times New Roman" w:cs="Times New Roman" w:eastAsia="Times New Roman" w:hAnsi="Times New Roman"/>
          <w:sz w:val="18"/>
          <w:szCs w:val="18"/>
          <w:color w:val="auto"/>
        </w:rPr>
      </w:pPr>
    </w:p>
    <w:p>
      <w:pPr>
        <w:jc w:val="both"/>
        <w:ind w:firstLine="8"/>
        <w:spacing w:after="0" w:line="266"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 hereto are deemed to accompany this Quarterly Report on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75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r>
      <w:tr>
        <w:trPr>
          <w:trHeight w:val="283"/>
        </w:trPr>
        <w:tc>
          <w:tcPr>
            <w:tcW w:w="3600" w:type="dxa"/>
            <w:vAlign w:val="bottom"/>
          </w:tcPr>
          <w:p>
            <w:pPr>
              <w:spacing w:after="0"/>
              <w:rPr>
                <w:sz w:val="24"/>
                <w:szCs w:val="24"/>
                <w:color w:val="auto"/>
              </w:rPr>
            </w:pP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Bryan M. Hackworth</w:t>
            </w:r>
          </w:p>
        </w:tc>
      </w:tr>
      <w:tr>
        <w:trPr>
          <w:trHeight w:val="21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29"/>
        </w:trPr>
        <w:tc>
          <w:tcPr>
            <w:tcW w:w="3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34"/>
        </w:trPr>
        <w:tc>
          <w:tcPr>
            <w:tcW w:w="3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K. Carnifax,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1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firstLine="154"/>
        <w:spacing w:after="0" w:line="282" w:lineRule="auto"/>
        <w:tabs>
          <w:tab w:leader="none" w:pos="7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firstLine="154"/>
        <w:spacing w:after="0" w:line="282" w:lineRule="auto"/>
        <w:tabs>
          <w:tab w:leader="none" w:pos="7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340" w:firstLine="154"/>
        <w:spacing w:after="0" w:line="282" w:lineRule="auto"/>
        <w:tabs>
          <w:tab w:leader="none" w:pos="7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0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Richard K. Carnifax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22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K. Carnifax</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1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340" w:firstLine="154"/>
        <w:spacing w:after="0" w:line="266" w:lineRule="auto"/>
        <w:tabs>
          <w:tab w:leader="none" w:pos="73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40" w:firstLine="154"/>
        <w:spacing w:after="0" w:line="282" w:lineRule="auto"/>
        <w:tabs>
          <w:tab w:leader="none" w:pos="7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1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firstLine="154"/>
        <w:spacing w:after="0" w:line="282" w:lineRule="auto"/>
        <w:tabs>
          <w:tab w:leader="none" w:pos="7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229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line="203" w:lineRule="auto"/>
        <w:rPr>
          <w:sz w:val="20"/>
          <w:szCs w:val="20"/>
          <w:color w:val="auto"/>
        </w:rPr>
      </w:pPr>
      <w:r>
        <w:rPr>
          <w:rFonts w:ascii="Times New Roman" w:cs="Times New Roman" w:eastAsia="Times New Roman" w:hAnsi="Times New Roman"/>
          <w:sz w:val="18"/>
          <w:szCs w:val="18"/>
          <w:color w:val="auto"/>
        </w:rPr>
        <w:t>(principal financial officer</w:t>
      </w:r>
    </w:p>
    <w:p>
      <w:pPr>
        <w:ind w:left="20"/>
        <w:spacing w:after="0"/>
        <w:rPr>
          <w:sz w:val="20"/>
          <w:szCs w:val="20"/>
          <w:color w:val="auto"/>
        </w:rPr>
      </w:pPr>
      <w:r>
        <w:rPr>
          <w:rFonts w:ascii="Times New Roman" w:cs="Times New Roman" w:eastAsia="Times New Roman" w:hAnsi="Times New Roman"/>
          <w:sz w:val="18"/>
          <w:szCs w:val="18"/>
          <w:color w:val="auto"/>
        </w:rPr>
        <w:t>and principal accounting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2025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7, 2025</w:t>
            </w:r>
          </w:p>
        </w:tc>
        <w:tc>
          <w:tcPr>
            <w:tcW w:w="71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Richard K. Carnifax</w:t>
            </w:r>
          </w:p>
        </w:tc>
      </w:tr>
      <w:tr>
        <w:trPr>
          <w:trHeight w:val="218"/>
        </w:trPr>
        <w:tc>
          <w:tcPr>
            <w:tcW w:w="4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Richard K. Carnifax</w:t>
            </w:r>
          </w:p>
        </w:tc>
      </w:tr>
      <w:tr>
        <w:trPr>
          <w:trHeight w:val="230"/>
        </w:trPr>
        <w:tc>
          <w:tcPr>
            <w:tcW w:w="4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4"/>
        </w:trPr>
        <w:tc>
          <w:tcPr>
            <w:tcW w:w="4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4100" w:type="dxa"/>
            <w:vAlign w:val="bottom"/>
          </w:tcPr>
          <w:p>
            <w:pPr>
              <w:spacing w:after="0"/>
              <w:rPr>
                <w:sz w:val="24"/>
                <w:szCs w:val="24"/>
                <w:color w:val="auto"/>
              </w:rPr>
            </w:pPr>
          </w:p>
        </w:tc>
        <w:tc>
          <w:tcPr>
            <w:tcW w:w="71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Bryan M. Hackworth</w:t>
            </w:r>
          </w:p>
        </w:tc>
      </w:tr>
      <w:tr>
        <w:trPr>
          <w:trHeight w:val="218"/>
        </w:trPr>
        <w:tc>
          <w:tcPr>
            <w:tcW w:w="4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29"/>
        </w:trPr>
        <w:tc>
          <w:tcPr>
            <w:tcW w:w="4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3"/>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lvl w:ilvl="1">
      <w:lvlJc w:val="left"/>
      <w:lvlText w:val="%2"/>
      <w:numFmt w:val="decimal"/>
      <w:start w:val="104"/>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47" Type="http://schemas.openxmlformats.org/officeDocument/2006/relationships/hyperlink" Target="https://www.sec.gov/Archives/edgar/data/101984/000010198425000081/a8k20250505-ex101.htm" TargetMode="External"/><Relationship Id="rId48" Type="http://schemas.openxmlformats.org/officeDocument/2006/relationships/hyperlink" Target="https://www.sec.gov/Archives/edgar/data/101984/000010198425000182/ex101usbank10thamendmentto.htm" TargetMode="External"/><Relationship Id="rId49" Type="http://schemas.openxmlformats.org/officeDocument/2006/relationships/hyperlink" Target="https://www.sec.gov/Archives/edgar/data/101984/000010198425000182/ex102bankofchinalineofcred.htm" TargetMode="External"/><Relationship Id="rId50" Type="http://schemas.openxmlformats.org/officeDocument/2006/relationships/hyperlink" Target="https://www.sec.gov/Archives/edgar/data/101984/000010198425000182/ex103bankofchinaworkingca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2025-08-08T05:13:16Z</dcterms:created>
  <dcterms:modified xsi:type="dcterms:W3CDTF">2025-08-08T05:13:16Z</dcterms:modified>
</cp:coreProperties>
</file>