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For the quarterly period ended September 30, 2017</w:t>
      </w:r>
    </w:p>
    <w:p>
      <w:pPr>
        <w:spacing w:after="0" w:line="85"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69" w:right="239" w:bottom="1440" w:gutter="0" w:footer="0" w:header="0"/>
        </w:sectPr>
      </w:pPr>
    </w:p>
    <w:p>
      <w:pPr>
        <w:spacing w:after="0" w:line="68" w:lineRule="exact"/>
        <w:rPr>
          <w:sz w:val="24"/>
          <w:szCs w:val="24"/>
          <w:color w:val="auto"/>
        </w:rPr>
      </w:pPr>
    </w:p>
    <w:p>
      <w:pPr>
        <w:ind w:left="440"/>
        <w:spacing w:after="0"/>
        <w:rPr>
          <w:sz w:val="20"/>
          <w:szCs w:val="20"/>
          <w:color w:val="auto"/>
        </w:rPr>
      </w:pPr>
      <w:r>
        <w:rPr>
          <w:rFonts w:ascii="Arial" w:cs="Arial" w:eastAsia="Arial" w:hAnsi="Arial"/>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w:t>
      </w:r>
    </w:p>
    <w:p>
      <w:pPr>
        <w:spacing w:after="0" w:line="119" w:lineRule="exact"/>
        <w:rPr>
          <w:sz w:val="24"/>
          <w:szCs w:val="24"/>
          <w:color w:val="auto"/>
        </w:rPr>
      </w:pPr>
    </w:p>
    <w:p>
      <w:pPr>
        <w:sectPr>
          <w:pgSz w:w="11900" w:h="16838" w:orient="portrait"/>
          <w:cols w:equalWidth="0" w:num="2">
            <w:col w:w="3240" w:space="640"/>
            <w:col w:w="7540"/>
          </w:cols>
          <w:pgMar w:left="240" w:top="269" w:right="239" w:bottom="1440" w:gutter="0" w:footer="0" w:header="0"/>
          <w:type w:val="continuous"/>
        </w:sectPr>
      </w:pPr>
    </w:p>
    <w:p>
      <w:pPr>
        <w:jc w:val="center"/>
        <w:spacing w:after="0"/>
        <w:rPr>
          <w:sz w:val="20"/>
          <w:szCs w:val="20"/>
          <w:color w:val="auto"/>
        </w:rPr>
      </w:pPr>
      <w:r>
        <w:rPr>
          <w:rFonts w:ascii="Arial" w:cs="Arial" w:eastAsia="Arial" w:hAnsi="Arial"/>
          <w:sz w:val="21"/>
          <w:szCs w:val="21"/>
          <w:b w:val="1"/>
          <w:bCs w:val="1"/>
          <w:color w:val="auto"/>
        </w:rPr>
        <w:t>Commission File Number: 0-21044</w:t>
      </w:r>
    </w:p>
    <w:p>
      <w:pPr>
        <w:spacing w:after="0" w:line="82" w:lineRule="exact"/>
        <w:rPr>
          <w:sz w:val="24"/>
          <w:szCs w:val="24"/>
          <w:color w:val="auto"/>
        </w:rPr>
      </w:pPr>
    </w:p>
    <w:p>
      <w:pPr>
        <w:ind w:left="3940"/>
        <w:spacing w:after="0"/>
        <w:rPr>
          <w:sz w:val="20"/>
          <w:szCs w:val="20"/>
          <w:color w:val="auto"/>
        </w:rPr>
      </w:pPr>
      <w:r>
        <w:rPr>
          <w:rFonts w:ascii="Arial" w:cs="Arial" w:eastAsia="Arial" w:hAnsi="Arial"/>
          <w:sz w:val="16"/>
          <w:szCs w:val="16"/>
          <w:color w:val="auto"/>
        </w:rPr>
        <w:t>_______________________________________</w:t>
      </w:r>
    </w:p>
    <w:p>
      <w:pPr>
        <w:sectPr>
          <w:pgSz w:w="11900" w:h="16838" w:orient="portrait"/>
          <w:cols w:equalWidth="0" w:num="1">
            <w:col w:w="11420"/>
          </w:cols>
          <w:pgMar w:left="240" w:top="269" w:right="239" w:bottom="1440" w:gutter="0" w:footer="0" w:header="0"/>
          <w:type w:val="continuous"/>
        </w:sectPr>
      </w:pP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UNIVERSAL ELECTRONICS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39"/>
              <w:spacing w:after="0"/>
              <w:rPr>
                <w:sz w:val="20"/>
                <w:szCs w:val="20"/>
                <w:color w:val="auto"/>
              </w:rPr>
            </w:pPr>
            <w:r>
              <w:rPr>
                <w:rFonts w:ascii="Arial" w:cs="Arial" w:eastAsia="Arial" w:hAnsi="Arial"/>
                <w:sz w:val="18"/>
                <w:szCs w:val="18"/>
                <w:b w:val="1"/>
                <w:bCs w:val="1"/>
                <w:color w:val="auto"/>
              </w:rPr>
              <w:t>33-0204817</w:t>
            </w:r>
          </w:p>
        </w:tc>
      </w:tr>
      <w:tr>
        <w:trPr>
          <w:trHeight w:val="180"/>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201 E. Sandpointe Avenue, 8</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5100" w:type="dxa"/>
            <w:vAlign w:val="bottom"/>
          </w:tcPr>
          <w:p>
            <w:pPr>
              <w:spacing w:after="0"/>
              <w:rPr>
                <w:sz w:val="24"/>
                <w:szCs w:val="24"/>
                <w:color w:val="auto"/>
              </w:rPr>
            </w:pPr>
          </w:p>
        </w:tc>
      </w:t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Santa Ana, California</w:t>
            </w:r>
          </w:p>
        </w:tc>
        <w:tc>
          <w:tcPr>
            <w:tcW w:w="5100" w:type="dxa"/>
            <w:vAlign w:val="bottom"/>
          </w:tcPr>
          <w:p>
            <w:pPr>
              <w:jc w:val="right"/>
              <w:ind w:right="239"/>
              <w:spacing w:after="0"/>
              <w:rPr>
                <w:sz w:val="20"/>
                <w:szCs w:val="20"/>
                <w:color w:val="auto"/>
              </w:rPr>
            </w:pPr>
            <w:r>
              <w:rPr>
                <w:rFonts w:ascii="Arial" w:cs="Arial" w:eastAsia="Arial" w:hAnsi="Arial"/>
                <w:sz w:val="18"/>
                <w:szCs w:val="18"/>
                <w:b w:val="1"/>
                <w:bCs w:val="1"/>
                <w:color w:val="auto"/>
              </w:rPr>
              <w:t>92707</w:t>
            </w:r>
          </w:p>
        </w:tc>
      </w:tr>
      <w:tr>
        <w:trPr>
          <w:trHeight w:val="218"/>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255"/>
        </w:trPr>
        <w:tc>
          <w:tcPr>
            <w:tcW w:w="7880" w:type="dxa"/>
            <w:vAlign w:val="bottom"/>
            <w:gridSpan w:val="2"/>
          </w:tcPr>
          <w:p>
            <w:pPr>
              <w:jc w:val="center"/>
              <w:ind w:left="738"/>
              <w:spacing w:after="0"/>
              <w:rPr>
                <w:sz w:val="20"/>
                <w:szCs w:val="20"/>
                <w:color w:val="auto"/>
              </w:rPr>
            </w:pPr>
            <w:r>
              <w:rPr>
                <w:rFonts w:ascii="Arial" w:cs="Arial" w:eastAsia="Arial" w:hAnsi="Arial"/>
                <w:sz w:val="18"/>
                <w:szCs w:val="18"/>
                <w:b w:val="1"/>
                <w:bCs w:val="1"/>
                <w:color w:val="auto"/>
                <w:w w:val="89"/>
              </w:rPr>
              <w:t>Registrant's telephone number, including area code: (714) 918-9500</w:t>
            </w:r>
          </w:p>
        </w:tc>
      </w:tr>
      <w:tr>
        <w:trPr>
          <w:trHeight w:val="243"/>
        </w:trPr>
        <w:tc>
          <w:tcPr>
            <w:tcW w:w="2780" w:type="dxa"/>
            <w:vAlign w:val="bottom"/>
          </w:tcPr>
          <w:p>
            <w:pPr>
              <w:spacing w:after="0"/>
              <w:rPr>
                <w:sz w:val="21"/>
                <w:szCs w:val="21"/>
                <w:color w:val="auto"/>
              </w:rPr>
            </w:pPr>
          </w:p>
        </w:tc>
        <w:tc>
          <w:tcPr>
            <w:tcW w:w="5100" w:type="dxa"/>
            <w:vAlign w:val="bottom"/>
          </w:tcPr>
          <w:p>
            <w:pPr>
              <w:jc w:val="right"/>
              <w:ind w:right="1939"/>
              <w:spacing w:after="0"/>
              <w:rPr>
                <w:sz w:val="20"/>
                <w:szCs w:val="20"/>
                <w:color w:val="auto"/>
              </w:rPr>
            </w:pPr>
            <w:r>
              <w:rPr>
                <w:rFonts w:ascii="Arial" w:cs="Arial" w:eastAsia="Arial" w:hAnsi="Arial"/>
                <w:sz w:val="18"/>
                <w:szCs w:val="18"/>
                <w:color w:val="auto"/>
                <w:w w:val="89"/>
              </w:rPr>
              <w:t>__________________________________</w:t>
            </w:r>
          </w:p>
        </w:tc>
      </w:tr>
    </w:tbl>
    <w:p>
      <w:pPr>
        <w:spacing w:after="0" w:line="13"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9"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80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468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40" w:type="dxa"/>
            <w:vAlign w:val="bottom"/>
          </w:tcPr>
          <w:p>
            <w:pPr>
              <w:ind w:left="80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440" w:type="dxa"/>
            <w:vAlign w:val="bottom"/>
          </w:tcPr>
          <w:p>
            <w:pPr>
              <w:ind w:left="80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p>
    <w:p>
      <w:pPr>
        <w:ind w:left="40" w:right="6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0"/>
        <w:spacing w:after="0" w:line="207" w:lineRule="exact"/>
        <w:tabs>
          <w:tab w:leader="none" w:pos="7620" w:val="left"/>
          <w:tab w:leader="none" w:pos="83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44"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14,305,749 shares of Common Stock, par value $0.01 per share, of the registrant were outstanding on November 6, 2017.</w:t>
      </w:r>
    </w:p>
    <w:p>
      <w:pPr>
        <w:sectPr>
          <w:pgSz w:w="11900" w:h="16838" w:orient="portrait"/>
          <w:cols w:equalWidth="0" w:num="1">
            <w:col w:w="11420"/>
          </w:cols>
          <w:pgMar w:left="240" w:top="26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gridSpan w:val="3"/>
          </w:tcPr>
          <w:p>
            <w:pPr>
              <w:jc w:val="center"/>
              <w:ind w:right="1440"/>
              <w:spacing w:after="0"/>
              <w:rPr>
                <w:sz w:val="20"/>
                <w:szCs w:val="20"/>
                <w:color w:val="auto"/>
              </w:rPr>
            </w:pPr>
            <w:r>
              <w:rPr>
                <w:rFonts w:ascii="Arial" w:cs="Arial" w:eastAsia="Arial" w:hAnsi="Arial"/>
                <w:sz w:val="18"/>
                <w:szCs w:val="18"/>
                <w:b w:val="1"/>
                <w:bCs w:val="1"/>
                <w:color w:val="auto"/>
              </w:rPr>
              <w:t>UNIVERSAL ELECTRONICS INC.</w:t>
            </w: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rPr>
              <w:t>INDEX</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23"/>
        </w:trPr>
        <w:tc>
          <w:tcPr>
            <w:tcW w:w="884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Consolidated Financial Statements (Unaudited)</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4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1620" w:type="dxa"/>
            <w:vAlign w:val="bottom"/>
            <w:tcBorders>
              <w:top w:val="single" w:sz="8" w:color="0000EE"/>
            </w:tcBorders>
            <w:gridSpan w:val="7"/>
          </w:tcPr>
          <w:p>
            <w:pPr>
              <w:spacing w:after="0"/>
              <w:rPr>
                <w:sz w:val="21"/>
                <w:szCs w:val="21"/>
                <w:color w:val="auto"/>
              </w:rPr>
            </w:pPr>
          </w:p>
        </w:tc>
        <w:tc>
          <w:tcPr>
            <w:tcW w:w="4880" w:type="dxa"/>
            <w:vAlign w:val="bottom"/>
            <w:gridSpan w:val="3"/>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Comprehensive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50"/>
        </w:trPr>
        <w:tc>
          <w:tcPr>
            <w:tcW w:w="240" w:type="dxa"/>
            <w:vAlign w:val="bottom"/>
          </w:tcPr>
          <w:p>
            <w:pPr>
              <w:spacing w:after="0"/>
              <w:rPr>
                <w:sz w:val="21"/>
                <w:szCs w:val="21"/>
                <w:color w:val="auto"/>
              </w:rPr>
            </w:pPr>
          </w:p>
        </w:tc>
        <w:tc>
          <w:tcPr>
            <w:tcW w:w="354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5060" w:type="dxa"/>
            <w:vAlign w:val="bottom"/>
            <w:gridSpan w:val="4"/>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17"/>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 Management's Discussion and Analysis of Financial Condition and Results of Operations</w:t>
              </w:r>
            </w:hyperlink>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Item 3. Quantitative and Qualitative Disclosures About Market Risk</w:t>
              </w:r>
            </w:hyperlink>
          </w:p>
        </w:tc>
        <w:tc>
          <w:tcPr>
            <w:tcW w:w="2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3940" w:type="dxa"/>
            <w:vAlign w:val="bottom"/>
            <w:tcBorders>
              <w:left w:val="single" w:sz="8" w:color="0000EE"/>
            </w:tcBorders>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Item 4. Controls and Procedures</w:t>
              </w:r>
            </w:hyperlink>
          </w:p>
        </w:tc>
        <w:tc>
          <w:tcPr>
            <w:tcW w:w="2580" w:type="dxa"/>
            <w:vAlign w:val="bottom"/>
            <w:gridSpan w:val="9"/>
          </w:tcPr>
          <w:p>
            <w:pPr>
              <w:spacing w:after="0"/>
              <w:rPr>
                <w:sz w:val="21"/>
                <w:szCs w:val="21"/>
                <w:color w:val="auto"/>
              </w:rPr>
            </w:pPr>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OTHER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60" w:type="dxa"/>
            <w:vAlign w:val="bottom"/>
            <w:gridSpan w:val="1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 Legal Proceedings</w:t>
              </w:r>
            </w:hyperlink>
          </w:p>
        </w:tc>
        <w:tc>
          <w:tcPr>
            <w:tcW w:w="6080" w:type="dxa"/>
            <w:vAlign w:val="bottom"/>
            <w:gridSpan w:val="8"/>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80" w:type="dxa"/>
            <w:vAlign w:val="bottom"/>
            <w:gridSpan w:val="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1A. Risk Factors</w:t>
              </w:r>
            </w:hyperlink>
          </w:p>
        </w:tc>
        <w:tc>
          <w:tcPr>
            <w:tcW w:w="6960" w:type="dxa"/>
            <w:vAlign w:val="bottom"/>
            <w:gridSpan w:val="1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2. Unregistered Sales of Equity Securities and Use of Proceeds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6. Exhibits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2"/>
          </w:tcPr>
          <w:p>
            <w:pPr>
              <w:spacing w:after="0"/>
              <w:rPr>
                <w:rFonts w:ascii="Arial" w:cs="Arial" w:eastAsia="Arial" w:hAnsi="Arial"/>
                <w:sz w:val="18"/>
                <w:szCs w:val="18"/>
                <w:color w:val="0000EE"/>
                <w:w w:val="85"/>
              </w:rPr>
            </w:pPr>
            <w:hyperlink w:anchor="page38">
              <w:r>
                <w:rPr>
                  <w:rFonts w:ascii="Arial" w:cs="Arial" w:eastAsia="Arial" w:hAnsi="Arial"/>
                  <w:sz w:val="18"/>
                  <w:szCs w:val="18"/>
                  <w:color w:val="0000EE"/>
                  <w:w w:val="85"/>
                </w:rPr>
                <w:t>Signatures</w:t>
              </w:r>
            </w:hyperlink>
          </w:p>
        </w:tc>
        <w:tc>
          <w:tcPr>
            <w:tcW w:w="380" w:type="dxa"/>
            <w:vAlign w:val="bottom"/>
            <w:gridSpan w:val="2"/>
          </w:tcPr>
          <w:p>
            <w:pPr>
              <w:spacing w:after="0"/>
              <w:rPr>
                <w:sz w:val="21"/>
                <w:szCs w:val="21"/>
                <w:color w:val="auto"/>
              </w:rPr>
            </w:pPr>
          </w:p>
        </w:tc>
        <w:tc>
          <w:tcPr>
            <w:tcW w:w="7700" w:type="dxa"/>
            <w:vAlign w:val="bottom"/>
            <w:gridSpan w:val="14"/>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80" w:type="dxa"/>
            <w:vAlign w:val="bottom"/>
            <w:gridSpan w:val="3"/>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Exhibit Index</w:t>
              </w:r>
            </w:hyperlink>
          </w:p>
        </w:tc>
        <w:tc>
          <w:tcPr>
            <w:tcW w:w="7860" w:type="dxa"/>
            <w:vAlign w:val="bottom"/>
            <w:gridSpan w:val="15"/>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00"/>
          </w:cols>
          <w:pgMar w:left="280" w:top="364" w:right="51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UNIVERSAL ELECTRONICS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 except share-related data)</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2016</w:t>
            </w:r>
          </w:p>
        </w:tc>
      </w:tr>
      <w:tr>
        <w:trPr>
          <w:trHeight w:val="250"/>
        </w:trPr>
        <w:tc>
          <w:tcPr>
            <w:tcW w:w="7860" w:type="dxa"/>
            <w:vAlign w:val="bottom"/>
            <w:tcBorders>
              <w:top w:val="single" w:sz="8" w:color="CCEEFF"/>
              <w:bottom w:val="single" w:sz="8" w:color="CCEEFF"/>
            </w:tcBorders>
            <w:shd w:val="clear" w:color="auto" w:fill="CCEEFF"/>
          </w:tcPr>
          <w:p>
            <w:pPr>
              <w:ind w:left="36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50,611</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0"/>
                <w:szCs w:val="20"/>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4,799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4,623</w:t>
            </w: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124,592</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Inventories, net</w:t>
            </w:r>
          </w:p>
        </w:tc>
        <w:tc>
          <w:tcPr>
            <w:tcW w:w="180" w:type="dxa"/>
            <w:vAlign w:val="bottom"/>
          </w:tcPr>
          <w:p>
            <w:pPr>
              <w:spacing w:after="0"/>
              <w:rPr>
                <w:sz w:val="20"/>
                <w:szCs w:val="20"/>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154,520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129,879</w:t>
            </w: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7,439</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Assets held for sale</w:t>
            </w:r>
          </w:p>
        </w:tc>
        <w:tc>
          <w:tcPr>
            <w:tcW w:w="180" w:type="dxa"/>
            <w:vAlign w:val="bottom"/>
          </w:tcPr>
          <w:p>
            <w:pPr>
              <w:spacing w:after="0"/>
              <w:rPr>
                <w:sz w:val="20"/>
                <w:szCs w:val="20"/>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12,403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5,960</w:t>
            </w:r>
          </w:p>
        </w:tc>
      </w:tr>
      <w:tr>
        <w:trPr>
          <w:trHeight w:val="3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386,887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324,158</w:t>
            </w: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0"/>
                <w:szCs w:val="20"/>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109,149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105,351</w:t>
            </w: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48,624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43,052</w:t>
            </w: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30,159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28,549</w:t>
            </w: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10,430</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Long-term restricted cash</w:t>
            </w:r>
          </w:p>
        </w:tc>
        <w:tc>
          <w:tcPr>
            <w:tcW w:w="18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4,600</w:t>
            </w: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4,896</w:t>
            </w:r>
          </w:p>
        </w:tc>
      </w:tr>
      <w:tr>
        <w:trPr>
          <w:trHeight w:val="284"/>
        </w:trPr>
        <w:tc>
          <w:tcPr>
            <w:tcW w:w="786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597,208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521,036</w:t>
            </w:r>
          </w:p>
        </w:tc>
      </w:tr>
      <w:tr>
        <w:trPr>
          <w:trHeight w:val="237"/>
        </w:trPr>
        <w:tc>
          <w:tcPr>
            <w:tcW w:w="7860" w:type="dxa"/>
            <w:vAlign w:val="bottom"/>
            <w:tcBorders>
              <w:bottom w:val="single" w:sz="8" w:color="CCEEFF"/>
            </w:tcBorders>
            <w:shd w:val="clear" w:color="auto" w:fill="CCEEFF"/>
          </w:tcPr>
          <w:p>
            <w:pPr>
              <w:ind w:left="218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97,157</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Line of credit</w:t>
            </w:r>
          </w:p>
        </w:tc>
        <w:tc>
          <w:tcPr>
            <w:tcW w:w="180" w:type="dxa"/>
            <w:vAlign w:val="bottom"/>
          </w:tcPr>
          <w:p>
            <w:pPr>
              <w:spacing w:after="0"/>
              <w:rPr>
                <w:sz w:val="20"/>
                <w:szCs w:val="20"/>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114,000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49,987</w:t>
            </w: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35,580</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Accrued sales discounts, rebates and royalties</w:t>
            </w:r>
          </w:p>
        </w:tc>
        <w:tc>
          <w:tcPr>
            <w:tcW w:w="180" w:type="dxa"/>
            <w:vAlign w:val="bottom"/>
          </w:tcPr>
          <w:p>
            <w:pPr>
              <w:spacing w:after="0"/>
              <w:rPr>
                <w:sz w:val="20"/>
                <w:szCs w:val="20"/>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7,790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8,358</w:t>
            </w: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Other accrued expenses</w:t>
            </w:r>
          </w:p>
        </w:tc>
        <w:tc>
          <w:tcPr>
            <w:tcW w:w="180" w:type="dxa"/>
            <w:vAlign w:val="bottom"/>
          </w:tcPr>
          <w:p>
            <w:pPr>
              <w:spacing w:after="0"/>
              <w:rPr>
                <w:sz w:val="20"/>
                <w:szCs w:val="20"/>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25,840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24,410</w:t>
            </w:r>
          </w:p>
        </w:tc>
      </w:tr>
      <w:tr>
        <w:trPr>
          <w:trHeight w:val="3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288,824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215,867</w:t>
            </w: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contingent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10,500</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6,376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7,060</w:t>
            </w: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payable</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791</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1,598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6,308</w:t>
            </w:r>
          </w:p>
        </w:tc>
      </w:tr>
      <w:tr>
        <w:trPr>
          <w:trHeight w:val="3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311,589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240,526</w:t>
            </w: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18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0"/>
        </w:trPr>
        <w:tc>
          <w:tcPr>
            <w:tcW w:w="78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6"/>
              </w:rPr>
              <w:t>Common stock, $0.01 par value, 50,000,000 shares authorized; 23,687,651 and 23,575,340 shares issued on</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9"/>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September 30, 2017 and December 31, 2016,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Paid-in capital</w:t>
            </w:r>
          </w:p>
        </w:tc>
        <w:tc>
          <w:tcPr>
            <w:tcW w:w="180" w:type="dxa"/>
            <w:vAlign w:val="bottom"/>
          </w:tcPr>
          <w:p>
            <w:pPr>
              <w:spacing w:after="0"/>
              <w:rPr>
                <w:sz w:val="20"/>
                <w:szCs w:val="20"/>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262,776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250,481</w:t>
            </w: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0"/>
        </w:trPr>
        <w:tc>
          <w:tcPr>
            <w:tcW w:w="78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9"/>
              </w:rPr>
              <w:t>Treasury stock, at cost, 9,352,551 and 9,022,587 shares on September 30, 2017 and December 31, 2016,</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9"/>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(243,197)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(222,980)</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(17,831)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(22,821)</w:t>
            </w: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283,634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275,594</w:t>
            </w:r>
          </w:p>
        </w:tc>
      </w:tr>
      <w:tr>
        <w:trPr>
          <w:trHeight w:val="217"/>
        </w:trPr>
        <w:tc>
          <w:tcPr>
            <w:tcW w:w="7860" w:type="dxa"/>
            <w:vAlign w:val="bottom"/>
          </w:tcPr>
          <w:p>
            <w:pPr>
              <w:ind w:left="8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285,619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280,510</w:t>
            </w:r>
          </w:p>
        </w:tc>
      </w:tr>
      <w:tr>
        <w:trPr>
          <w:trHeight w:val="3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597,208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521,036</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See Note 4 for further information concerning our purchases from related party vendors.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00"/>
          </w:cols>
          <w:pgMar w:left="240" w:top="118" w:right="25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18" w:right="25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2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0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175,652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169,185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490,829</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132,582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127,400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386,783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367,941</w:t>
            </w:r>
          </w:p>
        </w:tc>
      </w:tr>
      <w:tr>
        <w:trPr>
          <w:trHeight w:val="27"/>
        </w:trPr>
        <w:tc>
          <w:tcPr>
            <w:tcW w:w="5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127,855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122,888</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5,415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15,859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15,292</w:t>
            </w: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Factory transition 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1,598</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32,997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28,628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94,701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86,867</w:t>
            </w:r>
          </w:p>
        </w:tc>
      </w:tr>
      <w:tr>
        <w:trPr>
          <w:trHeight w:val="27"/>
        </w:trPr>
        <w:tc>
          <w:tcPr>
            <w:tcW w:w="5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19,131</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1,726</w:t>
            </w: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8,228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20,104</w:t>
            </w: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2,956</w:t>
            </w: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7,807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17,148</w:t>
            </w: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r>
      <w:tr>
        <w:trPr>
          <w:trHeight w:val="29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Universal Electronics Inc.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7,807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6,531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17,118</w:t>
            </w:r>
          </w:p>
        </w:tc>
      </w:tr>
      <w:tr>
        <w:trPr>
          <w:trHeight w:val="311"/>
        </w:trPr>
        <w:tc>
          <w:tcPr>
            <w:tcW w:w="5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Earnings per share attributable to Universal Electronics Inc.:</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1"/>
        </w:trPr>
        <w:tc>
          <w:tcPr>
            <w:tcW w:w="5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1.16</w:t>
            </w:r>
          </w:p>
        </w:tc>
      </w:tr>
      <w:tr>
        <w:trPr>
          <w:trHeight w:val="237"/>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in computing earnings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304"/>
        </w:trPr>
        <w:tc>
          <w:tcPr>
            <w:tcW w:w="5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14,381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14,510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14,412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14,441</w:t>
            </w:r>
          </w:p>
        </w:tc>
      </w:tr>
      <w:tr>
        <w:trPr>
          <w:trHeight w:val="251"/>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14,666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14,689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14,740</w:t>
            </w: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118" w:right="37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1,728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17,148</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2,999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4,727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7,267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11,521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15,290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Comprehensive income (loss) attributable to noncontrolling interest</w:t>
            </w:r>
          </w:p>
        </w:tc>
        <w:tc>
          <w:tcPr>
            <w:tcW w:w="9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9"/>
        </w:trPr>
        <w:tc>
          <w:tcPr>
            <w:tcW w:w="5140" w:type="dxa"/>
            <w:vAlign w:val="bottom"/>
          </w:tcPr>
          <w:p>
            <w:pPr>
              <w:ind w:left="20"/>
              <w:spacing w:after="0"/>
              <w:rPr>
                <w:sz w:val="20"/>
                <w:szCs w:val="20"/>
                <w:color w:val="auto"/>
              </w:rPr>
            </w:pPr>
            <w:r>
              <w:rPr>
                <w:rFonts w:ascii="Arial" w:cs="Arial" w:eastAsia="Arial" w:hAnsi="Arial"/>
                <w:sz w:val="18"/>
                <w:szCs w:val="18"/>
                <w:color w:val="auto"/>
                <w:w w:val="97"/>
              </w:rPr>
              <w:t>Comprehensive income (loss) attributable to Universal Electronics</w:t>
            </w:r>
          </w:p>
        </w:tc>
        <w:tc>
          <w:tcPr>
            <w:tcW w:w="940" w:type="dxa"/>
            <w:vAlign w:val="bottom"/>
            <w:tcBorders>
              <w:top w:val="single" w:sz="8" w:color="auto"/>
            </w:tcBorders>
            <w:vMerge w:val="restart"/>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3"/>
              </w:rPr>
              <w:t>4,727</w:t>
            </w:r>
          </w:p>
        </w:tc>
        <w:tc>
          <w:tcPr>
            <w:tcW w:w="12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7,267</w:t>
            </w:r>
          </w:p>
        </w:tc>
        <w:tc>
          <w:tcPr>
            <w:tcW w:w="12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11,521</w:t>
            </w:r>
          </w:p>
        </w:tc>
        <w:tc>
          <w:tcPr>
            <w:tcW w:w="12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15,260</w:t>
            </w:r>
          </w:p>
        </w:tc>
        <w:tc>
          <w:tcPr>
            <w:tcW w:w="0" w:type="dxa"/>
            <w:vAlign w:val="bottom"/>
          </w:tcPr>
          <w:p>
            <w:pPr>
              <w:spacing w:after="0"/>
              <w:rPr>
                <w:sz w:val="1"/>
                <w:szCs w:val="1"/>
                <w:color w:val="auto"/>
              </w:rPr>
            </w:pPr>
          </w:p>
        </w:tc>
      </w:tr>
      <w:tr>
        <w:trPr>
          <w:trHeight w:val="242"/>
        </w:trPr>
        <w:tc>
          <w:tcPr>
            <w:tcW w:w="5140" w:type="dxa"/>
            <w:vAlign w:val="bottom"/>
          </w:tcPr>
          <w:p>
            <w:pPr>
              <w:ind w:left="20"/>
              <w:spacing w:after="0"/>
              <w:rPr>
                <w:sz w:val="20"/>
                <w:szCs w:val="20"/>
                <w:color w:val="auto"/>
              </w:rPr>
            </w:pPr>
            <w:r>
              <w:rPr>
                <w:rFonts w:ascii="Arial" w:cs="Arial" w:eastAsia="Arial" w:hAnsi="Arial"/>
                <w:sz w:val="18"/>
                <w:szCs w:val="18"/>
                <w:color w:val="auto"/>
              </w:rPr>
              <w:t>Inc.</w:t>
            </w:r>
          </w:p>
        </w:tc>
        <w:tc>
          <w:tcPr>
            <w:tcW w:w="940" w:type="dxa"/>
            <w:vAlign w:val="bottom"/>
            <w:tcBorders>
              <w:bottom w:val="single" w:sz="8" w:color="auto"/>
            </w:tcBorders>
            <w:vMerge w:val="continue"/>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18" w:right="25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28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provided by (used for) operating activities:</w:t>
            </w: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6,531</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17,148</w:t>
            </w:r>
          </w:p>
        </w:tc>
      </w:tr>
      <w:tr>
        <w:trPr>
          <w:trHeight w:val="276"/>
        </w:trPr>
        <w:tc>
          <w:tcPr>
            <w:tcW w:w="8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(used for) operating activities: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100" w:type="dxa"/>
            <w:vAlign w:val="bottom"/>
          </w:tcPr>
          <w:p>
            <w:pPr>
              <w:ind w:left="820"/>
              <w:spacing w:after="0"/>
              <w:rPr>
                <w:sz w:val="20"/>
                <w:szCs w:val="20"/>
                <w:color w:val="auto"/>
              </w:rPr>
            </w:pPr>
            <w:r>
              <w:rPr>
                <w:rFonts w:ascii="Arial" w:cs="Arial" w:eastAsia="Arial" w:hAnsi="Arial"/>
                <w:sz w:val="14"/>
                <w:szCs w:val="14"/>
                <w:color w:val="auto"/>
              </w:rPr>
              <w:t>Depreciation and amortization</w:t>
            </w:r>
          </w:p>
        </w:tc>
        <w:tc>
          <w:tcPr>
            <w:tcW w:w="9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23,202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18,994</w:t>
            </w:r>
          </w:p>
        </w:tc>
      </w:tr>
      <w:tr>
        <w:trPr>
          <w:trHeight w:val="276"/>
        </w:trPr>
        <w:tc>
          <w:tcPr>
            <w:tcW w:w="81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Provision for doubtful accounts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r>
      <w:tr>
        <w:trPr>
          <w:trHeight w:val="264"/>
        </w:trPr>
        <w:tc>
          <w:tcPr>
            <w:tcW w:w="8100" w:type="dxa"/>
            <w:vAlign w:val="bottom"/>
          </w:tcPr>
          <w:p>
            <w:pPr>
              <w:ind w:left="820"/>
              <w:spacing w:after="0"/>
              <w:rPr>
                <w:sz w:val="20"/>
                <w:szCs w:val="20"/>
                <w:color w:val="auto"/>
              </w:rPr>
            </w:pPr>
            <w:r>
              <w:rPr>
                <w:rFonts w:ascii="Arial" w:cs="Arial" w:eastAsia="Arial" w:hAnsi="Arial"/>
                <w:sz w:val="14"/>
                <w:szCs w:val="14"/>
                <w:color w:val="auto"/>
              </w:rPr>
              <w:t>Provision for inventory write-downs</w:t>
            </w:r>
          </w:p>
        </w:tc>
        <w:tc>
          <w:tcPr>
            <w:tcW w:w="9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2,189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2,398</w:t>
            </w:r>
          </w:p>
        </w:tc>
      </w:tr>
      <w:tr>
        <w:trPr>
          <w:trHeight w:val="276"/>
        </w:trPr>
        <w:tc>
          <w:tcPr>
            <w:tcW w:w="81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Deferred income taxes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1,413</w:t>
            </w:r>
          </w:p>
        </w:tc>
      </w:tr>
      <w:tr>
        <w:trPr>
          <w:trHeight w:val="264"/>
        </w:trPr>
        <w:tc>
          <w:tcPr>
            <w:tcW w:w="8100" w:type="dxa"/>
            <w:vAlign w:val="bottom"/>
          </w:tcPr>
          <w:p>
            <w:pPr>
              <w:ind w:left="820"/>
              <w:spacing w:after="0"/>
              <w:rPr>
                <w:sz w:val="20"/>
                <w:szCs w:val="20"/>
                <w:color w:val="auto"/>
              </w:rPr>
            </w:pPr>
            <w:r>
              <w:rPr>
                <w:rFonts w:ascii="Arial" w:cs="Arial" w:eastAsia="Arial" w:hAnsi="Arial"/>
                <w:sz w:val="14"/>
                <w:szCs w:val="14"/>
                <w:color w:val="auto"/>
              </w:rPr>
              <w:t>Tax benefit from exercise of stock options and vested restricted stock</w:t>
            </w:r>
          </w:p>
        </w:tc>
        <w:tc>
          <w:tcPr>
            <w:tcW w:w="9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2,230</w:t>
            </w:r>
          </w:p>
        </w:tc>
      </w:tr>
      <w:tr>
        <w:trPr>
          <w:trHeight w:val="276"/>
        </w:trPr>
        <w:tc>
          <w:tcPr>
            <w:tcW w:w="81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Excess tax benefit from stock-based compensation</w:t>
            </w:r>
          </w:p>
        </w:tc>
        <w:tc>
          <w:tcPr>
            <w:tcW w:w="9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(2,292)</w:t>
            </w:r>
          </w:p>
        </w:tc>
      </w:tr>
      <w:tr>
        <w:trPr>
          <w:trHeight w:val="264"/>
        </w:trPr>
        <w:tc>
          <w:tcPr>
            <w:tcW w:w="8100" w:type="dxa"/>
            <w:vAlign w:val="bottom"/>
          </w:tcPr>
          <w:p>
            <w:pPr>
              <w:ind w:left="820"/>
              <w:spacing w:after="0"/>
              <w:rPr>
                <w:sz w:val="20"/>
                <w:szCs w:val="20"/>
                <w:color w:val="auto"/>
              </w:rPr>
            </w:pPr>
            <w:r>
              <w:rPr>
                <w:rFonts w:ascii="Arial" w:cs="Arial" w:eastAsia="Arial" w:hAnsi="Arial"/>
                <w:sz w:val="14"/>
                <w:szCs w:val="14"/>
                <w:color w:val="auto"/>
              </w:rPr>
              <w:t>Shares issued for employee benefit plan</w:t>
            </w:r>
          </w:p>
        </w:tc>
        <w:tc>
          <w:tcPr>
            <w:tcW w:w="9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763</w:t>
            </w:r>
          </w:p>
        </w:tc>
      </w:tr>
      <w:tr>
        <w:trPr>
          <w:trHeight w:val="276"/>
        </w:trPr>
        <w:tc>
          <w:tcPr>
            <w:tcW w:w="81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Employee and director stock-based compensation</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9,476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7,638</w:t>
            </w:r>
          </w:p>
        </w:tc>
      </w:tr>
      <w:tr>
        <w:trPr>
          <w:trHeight w:val="264"/>
        </w:trPr>
        <w:tc>
          <w:tcPr>
            <w:tcW w:w="8100" w:type="dxa"/>
            <w:vAlign w:val="bottom"/>
          </w:tcPr>
          <w:p>
            <w:pPr>
              <w:ind w:left="820"/>
              <w:spacing w:after="0"/>
              <w:rPr>
                <w:sz w:val="20"/>
                <w:szCs w:val="20"/>
                <w:color w:val="auto"/>
              </w:rPr>
            </w:pPr>
            <w:r>
              <w:rPr>
                <w:rFonts w:ascii="Arial" w:cs="Arial" w:eastAsia="Arial" w:hAnsi="Arial"/>
                <w:sz w:val="14"/>
                <w:szCs w:val="14"/>
                <w:color w:val="auto"/>
              </w:rPr>
              <w:t>Performance-based common stock warrants</w:t>
            </w:r>
          </w:p>
        </w:tc>
        <w:tc>
          <w:tcPr>
            <w:tcW w:w="9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3,219</w:t>
            </w:r>
          </w:p>
        </w:tc>
      </w:tr>
      <w:tr>
        <w:trPr>
          <w:trHeight w:val="276"/>
        </w:trPr>
        <w:tc>
          <w:tcPr>
            <w:tcW w:w="81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Changes in operating assets and liabilities: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100" w:type="dxa"/>
            <w:vAlign w:val="bottom"/>
          </w:tcPr>
          <w:p>
            <w:pPr>
              <w:ind w:left="1240"/>
              <w:spacing w:after="0"/>
              <w:rPr>
                <w:sz w:val="20"/>
                <w:szCs w:val="20"/>
                <w:color w:val="auto"/>
              </w:rPr>
            </w:pPr>
            <w:r>
              <w:rPr>
                <w:rFonts w:ascii="Arial" w:cs="Arial" w:eastAsia="Arial" w:hAnsi="Arial"/>
                <w:sz w:val="14"/>
                <w:szCs w:val="14"/>
                <w:color w:val="auto"/>
              </w:rPr>
              <w:t>Restricted cash</w:t>
            </w:r>
          </w:p>
        </w:tc>
        <w:tc>
          <w:tcPr>
            <w:tcW w:w="9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4,623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0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Accounts receivable</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(11,359)</w:t>
            </w:r>
          </w:p>
        </w:tc>
      </w:tr>
      <w:tr>
        <w:trPr>
          <w:trHeight w:val="264"/>
        </w:trPr>
        <w:tc>
          <w:tcPr>
            <w:tcW w:w="8100" w:type="dxa"/>
            <w:vAlign w:val="bottom"/>
          </w:tcPr>
          <w:p>
            <w:pPr>
              <w:ind w:left="1240"/>
              <w:spacing w:after="0"/>
              <w:rPr>
                <w:sz w:val="20"/>
                <w:szCs w:val="20"/>
                <w:color w:val="auto"/>
              </w:rPr>
            </w:pPr>
            <w:r>
              <w:rPr>
                <w:rFonts w:ascii="Arial" w:cs="Arial" w:eastAsia="Arial" w:hAnsi="Arial"/>
                <w:sz w:val="14"/>
                <w:szCs w:val="14"/>
                <w:color w:val="auto"/>
              </w:rPr>
              <w:t>Inventories</w:t>
            </w:r>
          </w:p>
        </w:tc>
        <w:tc>
          <w:tcPr>
            <w:tcW w:w="9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(21,217)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(4,470)</w:t>
            </w:r>
          </w:p>
        </w:tc>
      </w:tr>
      <w:tr>
        <w:trPr>
          <w:trHeight w:val="276"/>
        </w:trPr>
        <w:tc>
          <w:tcPr>
            <w:tcW w:w="810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Prepaid expenses and other assets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264"/>
        </w:trPr>
        <w:tc>
          <w:tcPr>
            <w:tcW w:w="8100" w:type="dxa"/>
            <w:vAlign w:val="bottom"/>
          </w:tcPr>
          <w:p>
            <w:pPr>
              <w:ind w:left="1240"/>
              <w:spacing w:after="0"/>
              <w:rPr>
                <w:sz w:val="20"/>
                <w:szCs w:val="20"/>
                <w:color w:val="auto"/>
              </w:rPr>
            </w:pPr>
            <w:r>
              <w:rPr>
                <w:rFonts w:ascii="Arial" w:cs="Arial" w:eastAsia="Arial" w:hAnsi="Arial"/>
                <w:sz w:val="14"/>
                <w:szCs w:val="14"/>
                <w:color w:val="auto"/>
              </w:rPr>
              <w:t>Accounts payable and accrued expenses</w:t>
            </w:r>
          </w:p>
        </w:tc>
        <w:tc>
          <w:tcPr>
            <w:tcW w:w="9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1,488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7,699</w:t>
            </w:r>
          </w:p>
        </w:tc>
      </w:tr>
      <w:tr>
        <w:trPr>
          <w:trHeight w:val="270"/>
        </w:trPr>
        <w:tc>
          <w:tcPr>
            <w:tcW w:w="810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Accrued income taxes</w:t>
            </w: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(4,737)</w:t>
            </w:r>
          </w:p>
        </w:tc>
      </w:tr>
      <w:tr>
        <w:trPr>
          <w:trHeight w:val="250"/>
        </w:trPr>
        <w:tc>
          <w:tcPr>
            <w:tcW w:w="8100" w:type="dxa"/>
            <w:vAlign w:val="bottom"/>
          </w:tcPr>
          <w:p>
            <w:pPr>
              <w:ind w:left="600"/>
              <w:spacing w:after="0"/>
              <w:rPr>
                <w:sz w:val="20"/>
                <w:szCs w:val="20"/>
                <w:color w:val="auto"/>
              </w:rPr>
            </w:pPr>
            <w:r>
              <w:rPr>
                <w:rFonts w:ascii="Arial" w:cs="Arial" w:eastAsia="Arial" w:hAnsi="Arial"/>
                <w:sz w:val="14"/>
                <w:szCs w:val="14"/>
                <w:color w:val="auto"/>
              </w:rPr>
              <w:t>Net cash provided by (used for) operating activities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38,681</w:t>
            </w:r>
          </w:p>
        </w:tc>
      </w:tr>
      <w:tr>
        <w:trPr>
          <w:trHeight w:val="27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used for investing activities: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Acquisition of property, plant, and equipment</w:t>
            </w:r>
          </w:p>
        </w:tc>
        <w:tc>
          <w:tcPr>
            <w:tcW w:w="9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(29,922)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(28,914)</w:t>
            </w:r>
          </w:p>
        </w:tc>
      </w:tr>
      <w:tr>
        <w:trPr>
          <w:trHeight w:val="276"/>
        </w:trPr>
        <w:tc>
          <w:tcPr>
            <w:tcW w:w="8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net assets of Residential Control Systems, Inc.</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Acquisition of intangible assets</w:t>
            </w:r>
          </w:p>
        </w:tc>
        <w:tc>
          <w:tcPr>
            <w:tcW w:w="9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(1,275)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(1,373)</w:t>
            </w:r>
          </w:p>
        </w:tc>
      </w:tr>
      <w:tr>
        <w:trPr>
          <w:trHeight w:val="276"/>
        </w:trPr>
        <w:tc>
          <w:tcPr>
            <w:tcW w:w="8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Increase in restricted cash</w:t>
            </w:r>
          </w:p>
        </w:tc>
        <w:tc>
          <w:tcPr>
            <w:tcW w:w="9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(4,797)</w:t>
            </w: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Deposit received toward sale of Guangzhou factory</w:t>
            </w:r>
          </w:p>
        </w:tc>
        <w:tc>
          <w:tcPr>
            <w:tcW w:w="9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4,797</w:t>
            </w:r>
          </w:p>
        </w:tc>
      </w:tr>
      <w:tr>
        <w:trPr>
          <w:trHeight w:val="270"/>
        </w:trPr>
        <w:tc>
          <w:tcPr>
            <w:tcW w:w="8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Deconsolidation of Encore Controls LLC</w:t>
            </w:r>
          </w:p>
        </w:tc>
        <w:tc>
          <w:tcPr>
            <w:tcW w:w="9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r>
      <w:tr>
        <w:trPr>
          <w:trHeight w:val="196"/>
        </w:trPr>
        <w:tc>
          <w:tcPr>
            <w:tcW w:w="8100" w:type="dxa"/>
            <w:vAlign w:val="bottom"/>
          </w:tcPr>
          <w:p>
            <w:pPr>
              <w:ind w:left="600"/>
              <w:spacing w:after="0"/>
              <w:rPr>
                <w:sz w:val="20"/>
                <w:szCs w:val="20"/>
                <w:color w:val="auto"/>
              </w:rPr>
            </w:pPr>
            <w:r>
              <w:rPr>
                <w:rFonts w:ascii="Arial" w:cs="Arial" w:eastAsia="Arial" w:hAnsi="Arial"/>
                <w:sz w:val="14"/>
                <w:szCs w:val="14"/>
                <w:color w:val="auto"/>
              </w:rPr>
              <w:t>Net cash used for investing activities</w:t>
            </w: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(40,091)</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(30,239)</w:t>
            </w:r>
          </w:p>
        </w:tc>
      </w:tr>
      <w:tr>
        <w:trPr>
          <w:trHeight w:val="27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provided by (used for) financing activities: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Borrowings under line of credit</w:t>
            </w:r>
          </w:p>
        </w:tc>
        <w:tc>
          <w:tcPr>
            <w:tcW w:w="9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115,000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92,987</w:t>
            </w:r>
          </w:p>
        </w:tc>
      </w:tr>
      <w:tr>
        <w:trPr>
          <w:trHeight w:val="276"/>
        </w:trPr>
        <w:tc>
          <w:tcPr>
            <w:tcW w:w="8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Repayments on line of credit</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(50,987)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(107,987)</w:t>
            </w: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Proceeds from stock options exercised</w:t>
            </w:r>
          </w:p>
        </w:tc>
        <w:tc>
          <w:tcPr>
            <w:tcW w:w="9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4,813</w:t>
            </w:r>
          </w:p>
        </w:tc>
      </w:tr>
      <w:tr>
        <w:trPr>
          <w:trHeight w:val="276"/>
        </w:trPr>
        <w:tc>
          <w:tcPr>
            <w:tcW w:w="8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Treasury stock purchased</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w:t>
            </w: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Excess tax benefit from stock-based compensation</w:t>
            </w:r>
          </w:p>
        </w:tc>
        <w:tc>
          <w:tcPr>
            <w:tcW w:w="9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2,292</w:t>
            </w:r>
          </w:p>
        </w:tc>
      </w:tr>
      <w:tr>
        <w:trPr>
          <w:trHeight w:val="256"/>
        </w:trPr>
        <w:tc>
          <w:tcPr>
            <w:tcW w:w="810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Net cash provided by (used for) financing activities</w:t>
            </w:r>
          </w:p>
        </w:tc>
        <w:tc>
          <w:tcPr>
            <w:tcW w:w="9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44,903</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(10,083)</w:t>
            </w:r>
          </w:p>
        </w:tc>
      </w:tr>
      <w:tr>
        <w:trPr>
          <w:trHeight w:val="26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(3,184)</w:t>
            </w:r>
          </w:p>
        </w:tc>
      </w:tr>
      <w:tr>
        <w:trPr>
          <w:trHeight w:val="25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(4,825)</w:t>
            </w:r>
          </w:p>
        </w:tc>
      </w:tr>
      <w:tr>
        <w:trPr>
          <w:trHeight w:val="26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year</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50,611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52,966</w:t>
            </w:r>
          </w:p>
        </w:tc>
      </w:tr>
      <w:tr>
        <w:trPr>
          <w:trHeight w:val="24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48,560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48,141</w:t>
            </w:r>
          </w:p>
        </w:tc>
      </w:tr>
      <w:tr>
        <w:trPr>
          <w:trHeight w:val="20"/>
        </w:trPr>
        <w:tc>
          <w:tcPr>
            <w:tcW w:w="8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8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cash flow information:</w:t>
            </w: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8100" w:type="dxa"/>
            <w:vAlign w:val="bottom"/>
          </w:tcPr>
          <w:p>
            <w:pPr>
              <w:ind w:left="20"/>
              <w:spacing w:after="0"/>
              <w:rPr>
                <w:sz w:val="20"/>
                <w:szCs w:val="20"/>
                <w:color w:val="auto"/>
              </w:rPr>
            </w:pPr>
            <w:r>
              <w:rPr>
                <w:rFonts w:ascii="Arial" w:cs="Arial" w:eastAsia="Arial" w:hAnsi="Arial"/>
                <w:sz w:val="14"/>
                <w:szCs w:val="14"/>
                <w:color w:val="auto"/>
              </w:rPr>
              <w:t>Income taxes paid</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5,770</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6,034</w:t>
            </w:r>
          </w:p>
        </w:tc>
      </w:tr>
      <w:tr>
        <w:trPr>
          <w:trHeight w:val="27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paid</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926</w:t>
            </w:r>
          </w:p>
        </w:tc>
      </w:tr>
    </w:tbl>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 4 for further information concerning our purchases from related party vendors.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00"/>
          </w:cols>
          <w:pgMar w:left="240" w:top="118" w:right="259" w:bottom="144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18" w:right="25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and nine months ended September 30, 2017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estimates and assumptions, and they may be adjusted as more information becomes available. Any adjustment may be material.</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2016 for a summary of our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which will supersede most existing U.S. GAAP revenue recognition guidance. This new standard requires an entity to recognize revenue to depict the transfer of goods or services to customers in an amount that reflects the consideration to which an entity expects to be entitled in exchange for those goods or services. In addition, ASU 2014-09 contains expanded disclosure requirements relating to the nature, amount, timing, and uncertainty of revenue and cash flows arising from contracts with customers. As initially proposed, ASU 2014-09 would have been effective for fiscal periods beginning after December 15, 2016 and permits the use of either the full retrospective or modified retrospective transition method. In August 2015, the FASB postponed the effective date of this new revenue standard by one year. We have largely completed our review of customer contract terms and our assessment of the impact of adopting this standard on our revenue recognition policy, and are currently in the process of modifying certain revenue recognition processes and controls to comply with ASU 2014-09, including the new disclosure requirements. The impact of this new guidance is primarily expected to accelerate revenue recognition for those contractual arrangements under which we manufacture and sell customized products that have no alternative use, as defined under ASU 2014-09 and related guidance and interpretations. In particular, to the extent that we have the right to payment such as a firm order or other contractual commitment from the customer, revenue associated with customized products will be recognized as those products are manufactured rather than when title for those products transfers to the customer. We also expect revenue recognition to be accelerated for licensing arrangements that contain minimum guarantees. We expect to implement ASU 2014-09 on January 1, 2018, using the modified retrospective transition method. Thus prior periods will not be restated. The impact of the transition to this new accounting method, which will include a cumulative-effect adjustment to retained earnings as of the adoption date, could have a material impact on our consolidated results of operations.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2015, the FASB issued ASU 2015-11, "Simplifying the Measurement of Inventory," which states that inventory should be measured at the lower of cost and net realizable value. Net realizable value is defined as estimated selling price in the ordinary course of business, less reasonably predictable costs of completion, disposal and transportation. ASU 2015-11 is effective for fiscal periods beginning after December 15, 2016 and must be applied prospectively. The adoption of ASU 2015-11 did not have a material impact on our consolidated financial position or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November 2015, the FASB issued ASU 2015-17, "Balance Sheet Classification of Deferred Taxes." This new guidance requires all deferred tax assets and liabilities, along with any related valuation allowance, be classified as non-current on the balance sheet. ASU 2015-17 is effective for fiscal periods beginning after December 15, 2016 and may be adopted either prospectively or retrospectively. We prospectively adopted ASU 2015-17 effective January 1, 2017, and thus prior period balance sheets have not been adjusted. The adoption of ASU 2015-17 had no impact on our consolidated results of operations or cash flows.</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FASB issued ASU 2016-02, "Leases," which changes the accounting for leases and requires expanded disclosures about leasing activities. This new guidance will require lessees to recognize a right of use asset and a lease liability at the commencement date for all leases with terms greater than twelve months. Accounting by lessors is largely unchanged. ASU 2016-02 is effective for fiscal periods beginning after December 15, 2018 and must be adopted using a modified retrospective approach. Early adoption is permitted. We are currently evaluating the impact that ASU 2016-02 will have on our consolidated financial statements.</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2016, the FASB issued ASU 2016-09,"Improvements to Employee Share-Based Payment Accounting," which amends Accounting Standards Codification ("ASC") 718, "Compensation - Stock Compensation." ASU 2016-09 requires excess tax benefits and tax deficiencies to be recorded as a discrete adjustment to income tax expense when stock awards vest or are settled, rather than in paid-in capital when they impact income taxes payable. This new guidance also requires cash flows related to excess tax benefits from stock-based compensation to be presented with other income tax cash flows in operating activities, rather than separately as a financing activity, in the statement of cash flows. Additionally, ASU 2016-09 impacts the calculation of diluted weighted-average shares under the treasury stock method as the assumed proceeds from an employee vesting in or exercising a stock-based award are no longer increased or decreased by the amount of excess tax benefits or deficiencies taken to paid-in capital. We elected to adopt the provisions of ASU 2016-09 prospectively effective January 1, 2017. We also made the accounting policy election, as allowed by ASU 2016-09, to account for forfeitures of stock-based awards as they occur, rather than estimating forfeitures. The cumulative effect of adopting ASU 2016-09 was an increase of $1.5 million to deferred tax assets and an increase to retained earnings of $1.5 million, as of January 1, 2017, as a result of recognizing previously unrecognized excess tax benefits from stock-based compensation. There was no cumulative effect impact related to the change in accounting policy to account for forfeitures of stock-based awards when they occur as a result of our minimal historical forfeitures experience.</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which amends ASC 230, "Statement of Cash Flows". This new guidance addresses eight specific cash flow issues with the objective of reducing the existing diversity in practice in how certain transactions are classified in the statement of cash flows. ASU 2016-15 is effective for fiscal periods beginning after December 15, 2017 and must be adopted retrospectively. Early adoption is permitted as long as all amendments are adopted in the same period. We are currently evaluating the impact that ASU 2016-15 will have on our consolidated financial statements.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2016, the FASB issued ASU 2016-16, "Intra-Entity Transfers of Assets Other Than Inventory," which changes the accounting for income tax consequences of intra-entity transfers of assets other than inventory. Current guidance prohibits the recognition of current and deferred income taxes for an intra-entity asset transfer until the asset has been sold to an outside party. Under this new guidance, the income tax consequences of an intra-entity transfer of an asset other than inventory will be recognized when the transfer occurs. ASU 2016-16 is effective for fiscal periods beginning after December 15, 2017. Early adoption is permitted. The impact of the adoption of ASU 2016-16 could be material depending on the size of any intra-entity transfers we may implement in future periods.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2016, the FASB issued ASU 2016-18,"Restricted Cash," which amends ASC 230, "Statement of Cash Flows." This new guidance addresses the classifications and presentation of changes in restricted cash in the statement of cash flows. ASU 2016-18 is effective for fiscal periods beginning after December 15, 2017 and must be adopted retrospectively. Early adoption is permitted. The adoption of ASU 2016-18 will modify our current disclosures by reclassifying certain amounts within the consolidated statement of cash flows, but is not expected to have a material effect on our consolidated financial statements.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"Simplifying the Test for Goodwill Impairment." This guidance simplifies how an entity is required to test goodwill for impairment by eliminating Step 2 from the goodwill impairment test. Instead, if the carrying amount of a reporting unit exceeds its fair value, an impairment loss will be recognized in an amount equal to that excess, limited to the total amount of goodwill allocated to the reporting unit. ASU 2017-04 is effective for fiscal periods beginning after December 31, 2019. Early adoption is permitted. We do not expect the adoption of ASU 2017-04 to have a material impact on our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 and Restricted Cash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2017</w:t>
            </w:r>
          </w:p>
        </w:tc>
        <w:tc>
          <w:tcPr>
            <w:tcW w:w="220" w:type="dxa"/>
            <w:vAlign w:val="bottom"/>
          </w:tcPr>
          <w:p>
            <w:pPr>
              <w:spacing w:after="0"/>
              <w:rPr>
                <w:sz w:val="16"/>
                <w:szCs w:val="16"/>
                <w:color w:val="auto"/>
              </w:rPr>
            </w:pPr>
          </w:p>
        </w:tc>
        <w:tc>
          <w:tcPr>
            <w:tcW w:w="160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 2016</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People's Republic of China ("PRC")</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22,120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22,142</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(excluding the PRC)</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13,317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19,630</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w:t>
            </w:r>
          </w:p>
        </w:tc>
      </w:tr>
      <w:tr>
        <w:trPr>
          <w:trHeight w:val="257"/>
        </w:trPr>
        <w:tc>
          <w:tcPr>
            <w:tcW w:w="766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48,560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50,611</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a court order issued in a now settled litigation matter, we previously placed $4.6 million of cash into a collateralized surety bond. This bond had certain restrictions for liquidation and was therefore classified as restricted cash. On February 10, 2017, the $4.6 million surety bond was returned to us upon final settlement of the related litigation matter.</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pending sale of our Guangzhou factory in the PRC (Note 10), the buyer made a cash deposit of RMB 32 million ($4.8 million based on September 30, 2017 exchange rates) into an escrow account on September 29, 2016. Under the terms of the escrow account, these funds will not be paid to us until the close of the sale. Accordingly, this deposit is presented as restricted cash within our consolidated balance sheet.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 Net and Revenue Concentrations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7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September 30, 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gross</w:t>
            </w:r>
          </w:p>
        </w:tc>
        <w:tc>
          <w:tcPr>
            <w:tcW w:w="2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120,965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returns</w:t>
            </w:r>
          </w:p>
        </w:tc>
        <w:tc>
          <w:tcPr>
            <w:tcW w:w="27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Net trade receivables</w:t>
            </w:r>
          </w:p>
        </w:tc>
        <w:tc>
          <w:tcPr>
            <w:tcW w:w="27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145,683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119,522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7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7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153,355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124,592</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2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vMerge w:val="continu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60" w:type="dxa"/>
            <w:vAlign w:val="bottom"/>
            <w:vMerge w:val="continue"/>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7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Additions (reductions) to costs and expenses</w:t>
            </w:r>
          </w:p>
        </w:tc>
        <w:tc>
          <w:tcPr>
            <w:tcW w:w="2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(Write-offs)/Foreign exchange effects</w:t>
            </w:r>
          </w:p>
        </w:tc>
        <w:tc>
          <w:tcPr>
            <w:tcW w:w="27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7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740" w:type="dxa"/>
            <w:vAlign w:val="bottom"/>
            <w:vMerge w:val="restart"/>
          </w:tcPr>
          <w:p>
            <w:pPr>
              <w:jc w:val="right"/>
              <w:ind w:right="205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sales returns at September 30, 2017 and December 31, 2016 included reserves for items returned prior to period-end that were not completely processed, and therefore had not yet been removed from the allowance for sales returns balance. If these returns had been fully processed, the allowance for sales returns balance would have been approximately $0.3 million and $0.4 million on September 30, 2017 and December 31, 2016, respectively. The value of these returned goods was included in our inventory balance at September 30, 2017 and December 31,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56"/>
              <w:spacing w:after="0"/>
              <w:rPr>
                <w:sz w:val="20"/>
                <w:szCs w:val="20"/>
                <w:color w:val="auto"/>
              </w:rPr>
            </w:pPr>
            <w:r>
              <w:rPr>
                <w:rFonts w:ascii="Arial" w:cs="Arial" w:eastAsia="Arial" w:hAnsi="Arial"/>
                <w:sz w:val="14"/>
                <w:szCs w:val="14"/>
                <w:b w:val="1"/>
                <w:bCs w:val="1"/>
                <w:color w:val="auto"/>
                <w:w w:val="99"/>
              </w:rPr>
              <w:t>Three Months Ended September 30,</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64"/>
        </w:trPr>
        <w:tc>
          <w:tcPr>
            <w:tcW w:w="6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12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jc w:val="right"/>
              <w:ind w:right="1208"/>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22"/>
                <w:szCs w:val="22"/>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538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1"/>
              </w:rPr>
              <w:t>$ (thousands)</w:t>
            </w:r>
          </w:p>
        </w:tc>
        <w:tc>
          <w:tcPr>
            <w:tcW w:w="120" w:type="dxa"/>
            <w:vAlign w:val="bottom"/>
            <w:tcBorders>
              <w:bottom w:val="single" w:sz="8" w:color="CCEEFF"/>
            </w:tcBorders>
            <w:gridSpan w:val="2"/>
          </w:tcPr>
          <w:p>
            <w:pPr>
              <w:spacing w:after="0"/>
              <w:rPr>
                <w:sz w:val="22"/>
                <w:szCs w:val="22"/>
                <w:color w:val="auto"/>
              </w:rPr>
            </w:pPr>
          </w:p>
        </w:tc>
        <w:tc>
          <w:tcPr>
            <w:tcW w:w="220" w:type="dxa"/>
            <w:vAlign w:val="bottom"/>
            <w:tcBorders>
              <w:bottom w:val="single" w:sz="8" w:color="auto"/>
            </w:tcBorders>
            <w:gridSpan w:val="2"/>
          </w:tcPr>
          <w:p>
            <w:pPr>
              <w:spacing w:after="0"/>
              <w:rPr>
                <w:sz w:val="22"/>
                <w:szCs w:val="22"/>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of Net Sales</w:t>
            </w:r>
          </w:p>
        </w:tc>
        <w:tc>
          <w:tcPr>
            <w:tcW w:w="120" w:type="dxa"/>
            <w:vAlign w:val="bottom"/>
            <w:tcBorders>
              <w:bottom w:val="single" w:sz="8" w:color="CCEEFF"/>
            </w:tcBorders>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 (thousands)</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of Net Sales</w:t>
            </w:r>
          </w:p>
        </w:tc>
        <w:tc>
          <w:tcPr>
            <w:tcW w:w="60" w:type="dxa"/>
            <w:vAlign w:val="bottom"/>
          </w:tcPr>
          <w:p>
            <w:pPr>
              <w:spacing w:after="0"/>
              <w:rPr>
                <w:sz w:val="22"/>
                <w:szCs w:val="22"/>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8"/>
                <w:szCs w:val="18"/>
                <w:color w:val="auto"/>
                <w:w w:val="87"/>
              </w:rPr>
              <w:t>36,811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3"/>
              </w:rPr>
              <w:t>21.0%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35,554</w:t>
            </w:r>
          </w:p>
        </w:tc>
        <w:tc>
          <w:tcPr>
            <w:tcW w:w="1580" w:type="dxa"/>
            <w:vAlign w:val="bottom"/>
            <w:tcBorders>
              <w:bottom w:val="single" w:sz="8" w:color="CCEEFF"/>
            </w:tcBorders>
            <w:gridSpan w:val="5"/>
            <w:shd w:val="clear" w:color="auto" w:fill="CCEEFF"/>
          </w:tcPr>
          <w:p>
            <w:pPr>
              <w:ind w:left="1080"/>
              <w:spacing w:after="0"/>
              <w:rPr>
                <w:sz w:val="20"/>
                <w:szCs w:val="20"/>
                <w:color w:val="auto"/>
              </w:rPr>
            </w:pPr>
            <w:r>
              <w:rPr>
                <w:rFonts w:ascii="Arial" w:cs="Arial" w:eastAsia="Arial" w:hAnsi="Arial"/>
                <w:sz w:val="18"/>
                <w:szCs w:val="18"/>
                <w:color w:val="auto"/>
                <w:w w:val="93"/>
              </w:rPr>
              <w:t>21.0%</w:t>
            </w:r>
          </w:p>
        </w:tc>
        <w:tc>
          <w:tcPr>
            <w:tcW w:w="60" w:type="dxa"/>
            <w:vAlign w:val="bottom"/>
          </w:tcPr>
          <w:p>
            <w:pPr>
              <w:spacing w:after="0"/>
              <w:rPr>
                <w:sz w:val="21"/>
                <w:szCs w:val="21"/>
                <w:color w:val="auto"/>
              </w:rPr>
            </w:pPr>
          </w:p>
        </w:tc>
      </w:tr>
      <w:tr>
        <w:trPr>
          <w:trHeight w:val="243"/>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AT&amp;T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center"/>
              <w:ind w:left="359"/>
              <w:spacing w:after="0"/>
              <w:rPr>
                <w:sz w:val="20"/>
                <w:szCs w:val="20"/>
                <w:color w:val="auto"/>
              </w:rPr>
            </w:pPr>
            <w:r>
              <w:rPr>
                <w:rFonts w:ascii="Arial" w:cs="Arial" w:eastAsia="Arial" w:hAnsi="Arial"/>
                <w:sz w:val="18"/>
                <w:szCs w:val="18"/>
                <w:color w:val="auto"/>
                <w:w w:val="87"/>
              </w:rPr>
              <w:t>20,117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21,139</w:t>
            </w:r>
          </w:p>
        </w:tc>
        <w:tc>
          <w:tcPr>
            <w:tcW w:w="1580" w:type="dxa"/>
            <w:vAlign w:val="bottom"/>
            <w:gridSpan w:val="5"/>
          </w:tcPr>
          <w:p>
            <w:pPr>
              <w:ind w:left="1080"/>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21"/>
                <w:szCs w:val="21"/>
                <w:color w:val="auto"/>
              </w:rPr>
            </w:pPr>
          </w:p>
        </w:tc>
      </w:tr>
      <w:tr>
        <w:trPr>
          <w:trHeight w:val="656"/>
        </w:trPr>
        <w:tc>
          <w:tcPr>
            <w:tcW w:w="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136"/>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64"/>
        </w:trPr>
        <w:tc>
          <w:tcPr>
            <w:tcW w:w="6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12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jc w:val="right"/>
              <w:ind w:right="1168"/>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r>
      <w:tr>
        <w:trPr>
          <w:trHeight w:val="264"/>
        </w:trPr>
        <w:tc>
          <w:tcPr>
            <w:tcW w:w="60" w:type="dxa"/>
            <w:vAlign w:val="bottom"/>
          </w:tcPr>
          <w:p>
            <w:pPr>
              <w:spacing w:after="0"/>
              <w:rPr>
                <w:sz w:val="22"/>
                <w:szCs w:val="22"/>
                <w:color w:val="auto"/>
              </w:rPr>
            </w:pPr>
          </w:p>
        </w:tc>
        <w:tc>
          <w:tcPr>
            <w:tcW w:w="53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(thousands)</w:t>
            </w:r>
          </w:p>
        </w:tc>
        <w:tc>
          <w:tcPr>
            <w:tcW w:w="100" w:type="dxa"/>
            <w:vAlign w:val="bottom"/>
            <w:tcBorders>
              <w:bottom w:val="single" w:sz="8" w:color="CCEEFF"/>
            </w:tcBorders>
            <w:gridSpan w:val="2"/>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of Net Sales</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 (thousands)</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 of Net Sales</w:t>
            </w:r>
          </w:p>
        </w:tc>
      </w:tr>
      <w:tr>
        <w:trPr>
          <w:trHeight w:val="250"/>
        </w:trPr>
        <w:tc>
          <w:tcPr>
            <w:tcW w:w="6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8"/>
                <w:szCs w:val="18"/>
                <w:color w:val="auto"/>
                <w:w w:val="89"/>
              </w:rPr>
              <w:t>122,009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w w:val="93"/>
              </w:rPr>
              <w:t>23.7%</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111,529</w:t>
            </w:r>
          </w:p>
        </w:tc>
        <w:tc>
          <w:tcPr>
            <w:tcW w:w="1640" w:type="dxa"/>
            <w:vAlign w:val="bottom"/>
            <w:tcBorders>
              <w:bottom w:val="single" w:sz="8" w:color="CCEEFF"/>
            </w:tcBorders>
            <w:gridSpan w:val="6"/>
            <w:shd w:val="clear" w:color="auto" w:fill="CCEEFF"/>
          </w:tcPr>
          <w:p>
            <w:pPr>
              <w:ind w:left="1120"/>
              <w:spacing w:after="0"/>
              <w:rPr>
                <w:sz w:val="20"/>
                <w:szCs w:val="20"/>
                <w:color w:val="auto"/>
              </w:rPr>
            </w:pPr>
            <w:r>
              <w:rPr>
                <w:rFonts w:ascii="Arial" w:cs="Arial" w:eastAsia="Arial" w:hAnsi="Arial"/>
                <w:sz w:val="18"/>
                <w:szCs w:val="18"/>
                <w:color w:val="auto"/>
                <w:w w:val="97"/>
              </w:rPr>
              <w:t>22.7%</w:t>
            </w:r>
          </w:p>
        </w:tc>
      </w:tr>
      <w:tr>
        <w:trPr>
          <w:trHeight w:val="243"/>
        </w:trPr>
        <w:tc>
          <w:tcPr>
            <w:tcW w:w="60" w:type="dxa"/>
            <w:vAlign w:val="bottom"/>
          </w:tcPr>
          <w:p>
            <w:pPr>
              <w:spacing w:after="0"/>
              <w:rPr>
                <w:sz w:val="21"/>
                <w:szCs w:val="21"/>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AT&amp;T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61,057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ind w:left="760"/>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60,709</w:t>
            </w:r>
          </w:p>
        </w:tc>
        <w:tc>
          <w:tcPr>
            <w:tcW w:w="1580" w:type="dxa"/>
            <w:vAlign w:val="bottom"/>
            <w:gridSpan w:val="5"/>
          </w:tcPr>
          <w:p>
            <w:pPr>
              <w:ind w:left="1120"/>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1"/>
                <w:szCs w:val="2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these significant customers that totaled more than 10% of our accounts receivable, net were as follows:</w:t>
      </w:r>
    </w:p>
    <w:p>
      <w:pPr>
        <w:spacing w:after="0" w:line="31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5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5"/>
              </w:rPr>
              <w:t>$ (thousands)</w:t>
            </w:r>
          </w:p>
        </w:tc>
        <w:tc>
          <w:tcPr>
            <w:tcW w:w="100" w:type="dxa"/>
            <w:vAlign w:val="bottom"/>
            <w:vMerge w:val="restart"/>
          </w:tcPr>
          <w:p>
            <w:pPr>
              <w:spacing w:after="0"/>
              <w:rPr>
                <w:sz w:val="13"/>
                <w:szCs w:val="13"/>
                <w:color w:val="auto"/>
              </w:rPr>
            </w:pPr>
          </w:p>
        </w:tc>
        <w:tc>
          <w:tcPr>
            <w:tcW w:w="1740" w:type="dxa"/>
            <w:vAlign w:val="bottom"/>
            <w:gridSpan w:val="3"/>
          </w:tcPr>
          <w:p>
            <w:pPr>
              <w:jc w:val="right"/>
              <w:ind w:right="580"/>
              <w:spacing w:after="0" w:line="153" w:lineRule="exact"/>
              <w:rPr>
                <w:sz w:val="20"/>
                <w:szCs w:val="20"/>
                <w:color w:val="auto"/>
              </w:rPr>
            </w:pPr>
            <w:r>
              <w:rPr>
                <w:rFonts w:ascii="Arial" w:cs="Arial" w:eastAsia="Arial" w:hAnsi="Arial"/>
                <w:sz w:val="14"/>
                <w:szCs w:val="14"/>
                <w:b w:val="1"/>
                <w:bCs w:val="1"/>
                <w:color w:val="auto"/>
              </w:rPr>
              <w:t>% of Accounts</w:t>
            </w:r>
          </w:p>
        </w:tc>
        <w:tc>
          <w:tcPr>
            <w:tcW w:w="11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5"/>
              </w:rPr>
              <w:t>$ (thousands)</w:t>
            </w:r>
          </w:p>
        </w:tc>
        <w:tc>
          <w:tcPr>
            <w:tcW w:w="100" w:type="dxa"/>
            <w:vAlign w:val="bottom"/>
            <w:vMerge w:val="restart"/>
          </w:tcPr>
          <w:p>
            <w:pPr>
              <w:spacing w:after="0"/>
              <w:rPr>
                <w:sz w:val="13"/>
                <w:szCs w:val="13"/>
                <w:color w:val="auto"/>
              </w:rPr>
            </w:pP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 of Accounts</w:t>
            </w:r>
          </w:p>
        </w:tc>
        <w:tc>
          <w:tcPr>
            <w:tcW w:w="0" w:type="dxa"/>
            <w:vAlign w:val="bottom"/>
          </w:tcPr>
          <w:p>
            <w:pPr>
              <w:spacing w:after="0"/>
              <w:rPr>
                <w:sz w:val="1"/>
                <w:szCs w:val="1"/>
                <w:color w:val="auto"/>
              </w:rPr>
            </w:pPr>
          </w:p>
        </w:tc>
      </w:tr>
      <w:tr>
        <w:trPr>
          <w:trHeight w:val="192"/>
        </w:trPr>
        <w:tc>
          <w:tcPr>
            <w:tcW w:w="5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Receivable, 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Receivable, Net</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26,553</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17.3%  $</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23,716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7"/>
              </w:rPr>
              <w:t>19.0%</w:t>
            </w:r>
          </w:p>
        </w:tc>
        <w:tc>
          <w:tcPr>
            <w:tcW w:w="0" w:type="dxa"/>
            <w:vAlign w:val="bottom"/>
          </w:tcPr>
          <w:p>
            <w:pPr>
              <w:spacing w:after="0"/>
              <w:rPr>
                <w:sz w:val="1"/>
                <w:szCs w:val="1"/>
                <w:color w:val="auto"/>
              </w:rPr>
            </w:pPr>
          </w:p>
        </w:tc>
      </w:tr>
      <w:tr>
        <w:trPr>
          <w:trHeight w:val="341"/>
        </w:trPr>
        <w:tc>
          <w:tcPr>
            <w:tcW w:w="5440" w:type="dxa"/>
            <w:vAlign w:val="bottom"/>
          </w:tcPr>
          <w:p>
            <w:pPr>
              <w:ind w:left="20"/>
              <w:spacing w:after="0"/>
              <w:rPr>
                <w:sz w:val="20"/>
                <w:szCs w:val="20"/>
                <w:color w:val="auto"/>
              </w:rPr>
            </w:pPr>
            <w:r>
              <w:rPr>
                <w:rFonts w:ascii="Arial" w:cs="Arial" w:eastAsia="Arial" w:hAnsi="Arial"/>
                <w:sz w:val="18"/>
                <w:szCs w:val="18"/>
                <w:color w:val="auto"/>
              </w:rPr>
              <w:t xml:space="preserve">AT&amp;T </w:t>
            </w:r>
            <w:r>
              <w:rPr>
                <w:rFonts w:ascii="Arial" w:cs="Arial" w:eastAsia="Arial" w:hAnsi="Arial"/>
                <w:sz w:val="25"/>
                <w:szCs w:val="25"/>
                <w:color w:val="auto"/>
                <w:vertAlign w:val="superscript"/>
              </w:rPr>
              <w:t>(1)</w:t>
            </w:r>
          </w:p>
        </w:tc>
        <w:tc>
          <w:tcPr>
            <w:tcW w:w="1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14,108</w:t>
            </w:r>
          </w:p>
        </w:tc>
        <w:tc>
          <w:tcPr>
            <w:tcW w:w="100" w:type="dxa"/>
            <w:vAlign w:val="bottom"/>
          </w:tcPr>
          <w:p>
            <w:pPr>
              <w:spacing w:after="0"/>
              <w:rPr>
                <w:sz w:val="24"/>
                <w:szCs w:val="24"/>
                <w:color w:val="auto"/>
              </w:rPr>
            </w:pPr>
          </w:p>
        </w:tc>
        <w:tc>
          <w:tcPr>
            <w:tcW w:w="1440" w:type="dxa"/>
            <w:vAlign w:val="bottom"/>
          </w:tcPr>
          <w:p>
            <w:pPr>
              <w:ind w:left="9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ind w:left="660" w:hanging="328"/>
        <w:spacing w:after="0" w:line="188"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Trade receivables associated with this customer did not total more than 10% of our accounts receivable, net at September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Net and Significant Supplier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5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4"/>
              </w:rPr>
              <w:t>September 30, 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33,059</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3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18,556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15,046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3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95,690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80,119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35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37"/>
        </w:trPr>
        <w:tc>
          <w:tcPr>
            <w:tcW w:w="434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5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154,520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129,879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520" w:type="dxa"/>
            <w:vAlign w:val="bottom"/>
            <w:vMerge w:val="restart"/>
          </w:tcPr>
          <w:p>
            <w:pPr>
              <w:jc w:val="right"/>
              <w:ind w:right="197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reserve for excess and obsolete inventory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3,045</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420" w:type="dxa"/>
            <w:vAlign w:val="bottom"/>
          </w:tcPr>
          <w:p>
            <w:pPr>
              <w:spacing w:after="0"/>
              <w:rPr>
                <w:sz w:val="23"/>
                <w:szCs w:val="23"/>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1,960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2,120</w:t>
            </w: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(Write-offs)/Foreign exchange effects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7"/>
        </w:trPr>
        <w:tc>
          <w:tcPr>
            <w:tcW w:w="7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3,125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3,658</w:t>
            </w: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2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$0.2 million and $0.3 million for the nine months ended September 30, 2017 and 2016, respectively. These amounts are production waste and are not included in management's reserve for excess and obsolete inventory.</w:t>
      </w:r>
    </w:p>
    <w:p>
      <w:pPr>
        <w:spacing w:after="0" w:line="38"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reduction in reserves associated with inventory items that were sold during the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Purchases from the following supplier totaled more than 10% of our total inventory purchases: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rPr>
              <w:t>Three Months Ended September 30,</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5"/>
          </w:tcPr>
          <w:p>
            <w:pPr>
              <w:jc w:val="right"/>
              <w:ind w:right="1328"/>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28"/>
              <w:spacing w:after="0"/>
              <w:rPr>
                <w:sz w:val="20"/>
                <w:szCs w:val="20"/>
                <w:color w:val="auto"/>
              </w:rPr>
            </w:pPr>
            <w:r>
              <w:rPr>
                <w:rFonts w:ascii="Arial" w:cs="Arial" w:eastAsia="Arial" w:hAnsi="Arial"/>
                <w:sz w:val="14"/>
                <w:szCs w:val="14"/>
                <w:b w:val="1"/>
                <w:bCs w:val="1"/>
                <w:color w:val="auto"/>
                <w:w w:val="96"/>
              </w:rPr>
              <w:t>2016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w w:val="95"/>
              </w:rPr>
              <w:t>$ (thousands)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5"/>
              </w:rPr>
              <w:t>% of Total</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 (thousands)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49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Inventory Purchases</w:t>
            </w:r>
          </w:p>
        </w:tc>
        <w:tc>
          <w:tcPr>
            <w:tcW w:w="12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Texas Instruments</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13,115</w:t>
            </w:r>
          </w:p>
        </w:tc>
        <w:tc>
          <w:tcPr>
            <w:tcW w:w="17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12,353</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4"/>
                <w:szCs w:val="14"/>
                <w:b w:val="1"/>
                <w:bCs w:val="1"/>
                <w:color w:val="auto"/>
              </w:rPr>
              <w:t>Nine Months Ended September 30,</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5"/>
          </w:tcPr>
          <w:p>
            <w:pPr>
              <w:jc w:val="right"/>
              <w:ind w:right="1288"/>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08"/>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 (thousands)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 of Total</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(thousands)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9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Inventory Purchases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Texas Instruments</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33,693</w:t>
            </w:r>
          </w:p>
        </w:tc>
        <w:tc>
          <w:tcPr>
            <w:tcW w:w="17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32,294</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537"/>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Supplier</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purchase certain printed circuit board assemblies from a related party supplier. The supplier is considered a related party for financial reporting purposes because our Senior Vice President of Strategic Operations owns 40% of this vendor. Inventory purchases from this supplier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Three Months Ended September 30,</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28"/>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08"/>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Pr>
          <w:p>
            <w:pPr>
              <w:spacing w:after="0"/>
              <w:rPr>
                <w:sz w:val="13"/>
                <w:szCs w:val="13"/>
                <w:color w:val="auto"/>
              </w:rPr>
            </w:pPr>
          </w:p>
        </w:tc>
        <w:tc>
          <w:tcPr>
            <w:tcW w:w="11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(thousands)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50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gridSpan w:val="2"/>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120" w:type="dxa"/>
            <w:vAlign w:val="bottom"/>
            <w:tcBorders>
              <w:bottom w:val="single" w:sz="8" w:color="CCEEFF"/>
            </w:tcBorders>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4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Nine Months Ended September 30,</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28"/>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48"/>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Pr>
          <w:p>
            <w:pPr>
              <w:spacing w:after="0"/>
              <w:rPr>
                <w:sz w:val="13"/>
                <w:szCs w:val="13"/>
                <w:color w:val="auto"/>
              </w:rPr>
            </w:pPr>
          </w:p>
        </w:tc>
        <w:tc>
          <w:tcPr>
            <w:tcW w:w="11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(thousands)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2"/>
          </w:tcPr>
          <w:p>
            <w:pPr>
              <w:ind w:left="420"/>
              <w:spacing w:after="0" w:line="153"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7"/>
              </w:rPr>
              <w:t>Inventory Purchases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party supplier</w:t>
            </w:r>
          </w:p>
        </w:tc>
        <w:tc>
          <w:tcPr>
            <w:tcW w:w="4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5040" w:type="dxa"/>
            <w:vAlign w:val="bottom"/>
            <w:gridSpan w:val="2"/>
          </w:tcPr>
          <w:p>
            <w:pPr>
              <w:spacing w:after="0"/>
              <w:rPr>
                <w:sz w:val="20"/>
                <w:szCs w:val="20"/>
                <w:color w:val="auto"/>
              </w:rPr>
            </w:pPr>
            <w:r>
              <w:rPr>
                <w:rFonts w:ascii="Arial" w:cs="Arial" w:eastAsia="Arial" w:hAnsi="Arial"/>
                <w:sz w:val="18"/>
                <w:szCs w:val="18"/>
                <w:color w:val="auto"/>
              </w:rPr>
              <w:t>Total accounts payable to this supplier were as follows: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ind w:left="7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50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3"/>
              </w:rPr>
              <w:t>% of Accounts Payable</w:t>
            </w:r>
          </w:p>
        </w:tc>
        <w:tc>
          <w:tcPr>
            <w:tcW w:w="120" w:type="dxa"/>
            <w:vAlign w:val="bottom"/>
            <w:tcBorders>
              <w:bottom w:val="single" w:sz="8" w:color="CCEEFF"/>
            </w:tcBorders>
            <w:gridSpan w:val="2"/>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(thousands)</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 of Accounts Payable</w:t>
            </w:r>
          </w:p>
        </w:tc>
        <w:tc>
          <w:tcPr>
            <w:tcW w:w="0" w:type="dxa"/>
            <w:vAlign w:val="bottom"/>
          </w:tcPr>
          <w:p>
            <w:pPr>
              <w:spacing w:after="0"/>
              <w:rPr>
                <w:sz w:val="1"/>
                <w:szCs w:val="1"/>
                <w:color w:val="auto"/>
              </w:rPr>
            </w:pPr>
          </w:p>
        </w:tc>
      </w:tr>
      <w:tr>
        <w:trPr>
          <w:trHeight w:val="243"/>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4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payment terms and pricing with this supplier are consistent with the terms offered by other suppliers in the ordinary course of business. The accounting policies that we apply to our transactions with our related party supplier are consistent with those applied in transactions with independent third parties. Corporate management routinely monitors purchases from our related party supplier to ensure these purchases remain consistent with our business objectives.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6"/>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43,052</w:t>
            </w:r>
          </w:p>
        </w:tc>
      </w:tr>
      <w:tr>
        <w:trPr>
          <w:trHeight w:val="270"/>
        </w:trPr>
        <w:tc>
          <w:tcPr>
            <w:tcW w:w="980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Goodwill acquired during the period </w:t>
            </w:r>
            <w:r>
              <w:rPr>
                <w:rFonts w:ascii="Arial" w:cs="Arial" w:eastAsia="Arial" w:hAnsi="Arial"/>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5,494</w:t>
            </w:r>
          </w:p>
        </w:tc>
      </w:tr>
      <w:tr>
        <w:trPr>
          <w:trHeight w:val="270"/>
        </w:trPr>
        <w:tc>
          <w:tcPr>
            <w:tcW w:w="9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effects</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r>
      <w:tr>
        <w:trPr>
          <w:trHeight w:val="237"/>
        </w:trPr>
        <w:tc>
          <w:tcPr>
            <w:tcW w:w="9800" w:type="dxa"/>
            <w:vAlign w:val="bottom"/>
          </w:tcPr>
          <w:p>
            <w:pPr>
              <w:ind w:left="40"/>
              <w:spacing w:after="0"/>
              <w:rPr>
                <w:sz w:val="20"/>
                <w:szCs w:val="20"/>
                <w:color w:val="auto"/>
              </w:rPr>
            </w:pPr>
            <w:r>
              <w:rPr>
                <w:rFonts w:ascii="Arial" w:cs="Arial" w:eastAsia="Arial" w:hAnsi="Arial"/>
                <w:sz w:val="18"/>
                <w:szCs w:val="18"/>
                <w:color w:val="auto"/>
              </w:rPr>
              <w:t>Balance at September 30, 2017</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48,624</w:t>
            </w:r>
          </w:p>
        </w:tc>
      </w:tr>
      <w:tr>
        <w:trPr>
          <w:trHeight w:val="27"/>
        </w:trPr>
        <w:tc>
          <w:tcPr>
            <w:tcW w:w="98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line="252" w:lineRule="auto"/>
        <w:tabs>
          <w:tab w:leader="none" w:pos="514"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During the second quarter of 2017, we recorded $5.5 million of goodwill related to the Residential Control Systems, Inc. acquisition. Refer to Note 18 for further information about this acquisition.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2017</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2016</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13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rights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12,593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7,597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12,038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7,263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Trademarks and trade names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2,786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Developed and core technology</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12,560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6,993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12,585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8,517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Capitalized software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32,534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13,921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27,703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11,359</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Order backlog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61,105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(30,946)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30,159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55,170</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(26,621)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28,549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$6.0 million and $10.2 million at September 30, 2017 and December 31, 2016, respectively.</w:t>
      </w:r>
    </w:p>
    <w:p>
      <w:pPr>
        <w:spacing w:after="0" w:line="95" w:lineRule="exact"/>
        <w:rPr>
          <w:rFonts w:ascii="Arial" w:cs="Arial" w:eastAsia="Arial" w:hAnsi="Arial"/>
          <w:sz w:val="25"/>
          <w:szCs w:val="25"/>
          <w:color w:val="auto"/>
          <w:vertAlign w:val="superscript"/>
        </w:rPr>
      </w:pPr>
    </w:p>
    <w:p>
      <w:pPr>
        <w:jc w:val="both"/>
        <w:ind w:left="660" w:right="20" w:hanging="328"/>
        <w:spacing w:after="0" w:line="238" w:lineRule="auto"/>
        <w:tabs>
          <w:tab w:leader="none" w:pos="66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During the second quarter of 2017, we purchased a trade name valued at $0.4 million, which is being amortized ratably over eight years; customer relationships valued at $5.0 million, which are being amortized ratably over 10 years; and order backlog valued at $0.2 million, which is being amortized ratably over one year. Refer to Note 18 for further information regarding the purchase of these intangible assets.</w:t>
      </w: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and order backlog, which are recorded in cost of sales. Amortization expense by income statement caption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5,032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4,618</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expense related to our intangible assets at September 30, 2017,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6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(remaining 3 months)</w:t>
            </w:r>
          </w:p>
        </w:tc>
        <w:tc>
          <w:tcPr>
            <w:tcW w:w="6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2018</w:t>
            </w:r>
          </w:p>
        </w:tc>
        <w:tc>
          <w:tcPr>
            <w:tcW w:w="6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2020</w:t>
            </w:r>
          </w:p>
        </w:tc>
        <w:tc>
          <w:tcPr>
            <w:tcW w:w="6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6,407</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6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30,159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bottom w:val="single" w:sz="8" w:color="CCEEFF"/>
            </w:tcBorders>
            <w:vMerge w:val="restart"/>
          </w:tcPr>
          <w:p>
            <w:pPr>
              <w:jc w:val="right"/>
              <w:ind w:right="4030"/>
              <w:spacing w:after="0"/>
              <w:rPr>
                <w:sz w:val="20"/>
                <w:szCs w:val="20"/>
                <w:color w:val="auto"/>
              </w:rPr>
            </w:pPr>
            <w:r>
              <w:rPr>
                <w:rFonts w:ascii="Arial" w:cs="Arial" w:eastAsia="Arial" w:hAnsi="Arial"/>
                <w:sz w:val="18"/>
                <w:szCs w:val="18"/>
                <w:color w:val="auto"/>
              </w:rPr>
              <w:t>13</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2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Line of Credit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Amended and Restated Credit Agreement ("Amended Credit Agreement") with U.S. Bank National Association ("U.S. Bank") provided for a $125.0 million revolving line of credit ("Credit Line") that was to expire on November 1, 2019. On October 27, 2017, we entered into a Second Amended and Restated Credit Agreement ("Second Amended Credit Agreement") with U.S. Bank as administrative agent, sole lead arranger and sole book runner, and Wells Fargo Bank, National Association, which replaces the Amended Credit Agreement. Under the Second Amended Credit Agreement, the Credit Line was increased to $170.0 million and the expiration date remained November 1, 2019. The Credit Line may be used for working capital and other general corporate purposes including acquisitions, share repurchases and capital expenditures. Amounts available for borrowing under the Credit Line are reduced by the balance of any outstanding letters of credit. There were no outstanding letters of credit at September 30, 2017.</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that controls our manufacturing factories in the PRC.</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interest rate applicable to outstanding Credit Line balances under the Second Amended Credit Agreement is the same as under the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Amended Credit Agreement and Second Amended Credit Agreement. The interest rate in effect at September 30, 2017 was 2.48%. There are no commitment fees or unused line fees under the Amended Credit Agreement or the Second Amended Credit Agreement.</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Amended Credit Agreement and Second Amended Credit Agreement include financial covenants requiring a minimum fixed charge coverage ratio and a maximum cash flow leverage ratio. In addition, the Amended Credit Agreement and Second Amended Credit Agreement also contain other customary affirmative and negative covenants and events of default. As of September 30, 2017, we were in compliance with the covenants and conditions of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2017, we had $114.0 million outstanding under the Credit Line. Our total interest expense on borrowings was $0.8 million and $0.3 million during the three months ended September 30, 2017 and 2016, respectively, and $1.8 million and $0.9 million during the nine months ended September 30, 2017 and 2016,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recorded income tax expense of $1.8 million and $0.4 million for the three months ended September 30, 2017 and 2016, respectively, and our effective tax rate was 51.4% and 5.1% during the three months ended September 30, 2017 and 2016, respectively. We recorded income tax expense of $2.9 million and $3.0 million for the nine months ended September 30, 2017 and 2016, respectively, and our effective tax rate was 31.1% and 14.7% during the nine months ended September 30, 2017 and 2016, respectively. The higher effective tax rate in both periods was primarily due to the nondeductibility of certain transactions in the PRC as a result of the pending sale of our Guangzhou factory (Note 10). In addition, during the three and nine months ended September 30, 2016, we received tax refunds from the Chinese government totaling $1.8 million for various tax incentives relating to fiscal year 2015.</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30, 2017, we had gross unrecognized tax benefits of $3.8 million, including interest and penalties, of which $3.5 million, if not for the state Research and Experimentation income tax credit valuation allowance, would affect the annual effective tax rate if these tax benefits are realized. Further, we are unaware of any positions for which it is reasonably possible that the total amount of unrecognized tax benefits will significantly change within the next twelve months. However, based on federal, state and foreign statute expirations in various jurisdictions, we anticipate a decrease in unrecognized tax benefits of approximately $0.1 million within the next twelve months. We have classified uncertain tax positions as non-current income tax liabilities unless expected to be paid within one year.</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$0.3 million and $0.3 million at September 30, 2017 and December 31, 2016, respectively, are included in our unrecognized tax benefits.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 2016</w:t>
            </w:r>
          </w:p>
        </w:tc>
      </w:tr>
      <w:tr>
        <w:trPr>
          <w:trHeight w:val="270"/>
        </w:trPr>
        <w:tc>
          <w:tcPr>
            <w:tcW w:w="78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17,506</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19,974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2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7,721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7,903</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2,411</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2,421</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2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122</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1,816</w:t>
            </w: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33,328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35,580</w:t>
            </w:r>
          </w:p>
        </w:tc>
      </w:tr>
      <w:tr>
        <w:trPr>
          <w:trHeight w:val="27"/>
        </w:trPr>
        <w:tc>
          <w:tcPr>
            <w:tcW w:w="7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5"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September 30, 2017 and December 31, 2016.</w:t>
      </w:r>
    </w:p>
    <w:p>
      <w:pPr>
        <w:spacing w:after="0" w:line="96" w:lineRule="exact"/>
        <w:rPr>
          <w:rFonts w:ascii="Arial" w:cs="Arial" w:eastAsia="Arial" w:hAnsi="Arial"/>
          <w:sz w:val="25"/>
          <w:szCs w:val="25"/>
          <w:color w:val="auto"/>
          <w:vertAlign w:val="superscript"/>
        </w:rPr>
      </w:pPr>
    </w:p>
    <w:p>
      <w:pPr>
        <w:jc w:val="both"/>
        <w:ind w:left="660" w:hanging="328"/>
        <w:spacing w:after="0" w:line="230" w:lineRule="auto"/>
        <w:tabs>
          <w:tab w:leader="none" w:pos="660"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salary was $0.7 million and $0.7 million at September 30, 2017 and December 31, 2016,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Accrued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2016</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1,431</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 for sale of Guangzhou factory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Duties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1,127</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Freight and handling fees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1,919</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454</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warranty claim costs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1,313</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1,017</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Sales taxes and VAT</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2,587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2,715</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contingent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Third-party commissions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853</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1,520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Unrealized loss on foreign currency exchange contracts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1,623</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URC court order and settlement agreement (Note 2)</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6,622</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Utilities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331</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3,138</w:t>
            </w: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Total other accrued expenses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25,840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24,410</w:t>
            </w:r>
          </w:p>
        </w:tc>
      </w:tr>
      <w:tr>
        <w:trPr>
          <w:trHeight w:val="27"/>
        </w:trPr>
        <w:tc>
          <w:tcPr>
            <w:tcW w:w="7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2016</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Accruals for warranties issued during the period</w:t>
            </w:r>
          </w:p>
        </w:tc>
        <w:tc>
          <w:tcPr>
            <w:tcW w:w="4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100</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(in cash or in kind) during the period</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135</w:t>
            </w: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Activities and Sale of Guangzhou Factory</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first quarter of 2016, we implemented a plan to reduce the impact of rising labor rates in China by transitioning manufacturing activities from our southern-most China factory, located in the city of Guangzhou in the Guangdong province, to our other China factories where labor rates are rising at a slower rate. As a result, we incurred severance costs of $0.4 million and $0.1 million during the three months ended September 2017 and 2016, respectively, and $6.1 million and $1.6 million during the nine months ended September 30, 2017 and 2016, respectively, which are included within operating expenses. All operations in our Guangzhou factory ceased in July 2017. Accordingly, we do not expect to incur significant further severance or other restructuring costs related to this factory transition. At September 30, 2017, we had $0.2 million of unpaid severance costs included within accrued compensation.</w:t>
      </w:r>
    </w:p>
    <w:p>
      <w:pPr>
        <w:sectPr>
          <w:pgSz w:w="11900" w:h="16838" w:orient="portrait"/>
          <w:cols w:equalWidth="0" w:num="1">
            <w:col w:w="11420"/>
          </w:cols>
          <w:pgMar w:left="240" w:top="118"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18" w:right="23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26, 2016, we entered into an agreement to sell our Guangzhou manufacturing facility for RMB 320 million (approximately $48.0 million based on September 30, 2017 exchange rates). Under the terms of this agreement, we have up to 24 months to cease all operations within the facility. The closing of the sale will be subject to customary due diligence and local regulatory approval and per the terms of the agreement could take up to approximately 28 months from the execution of the agreement. In accordance with the terms of the agreement, the buyer deposited 10% of the purchase price into an escrow account at agreement inception, which we have presented as restricted cash in our consolidated balance sheet (also refer to Note 2). The remaining balance of the purchase price is to be placed into the escrow account prior to the closing of the sale and will be released to us upon closing. Since all operations at our Guangzhou manufacturing facility ceased as of the end of July 2017, the related building and land lease assets of $12.4 million are classified as assets held for sale in our September 30, 2017 consolidated balance sheet.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or about June 10, 2015, FM Marketing GmbH ("FMH") and Ruwido Austria GmbH ("Ruwido"), filed a Summons in Summary Proceedings in Belgium court against one of our subsidiaries, Universal Electronics BV ("UEBV") and one of its customers, Telenet N.V. ("Telenet"), claiming that one of the products that UEBV previously supplied to Telenet violates two design patents and one utility patent owned by FMH and/or Ruwido. By this summons, FMH and Ruwido sought to enjoin Telenet and UEBV from continued distribution and use of the product at issue. After the September 29, 2015 hearing, the court issued its ruling in our and Telenet’s favor, rejecting FMH and Ruwido’s request entirely. On October 22, 2015, Ruwido filed its notice of appeal in this ruling. The parties have fully briefed and argued before the appellate court and we are awaiting the appellate court’s ruling. In addition, on or about February 9, 2016, Ruwido filed a writ of summons for proceeding on the merits with respect to asserted patents. UEBV and Telenet have replied, denying all of Ruwido's allegations and in June 2017, a hearing was held before the trial court. During this hearing, Ruwido sought to have a second product which we are currently selling to Telenet included in this case. In September 2017, the Court ruled in our favor that our current product cannot be made part of this case. The Court also refused to rule on whether the original product (which we are no longer selling) infringes the Ruwido patent, instead deciding to wait until the European Patent Office has ruled on our Opposition (see below). Finally, the Court ruled that our original product (which we are no longer selling) infringes certain of Ruwido’s design rights, but stay any decision of compensation and/or damages until all aspects of the case have been decided. We are presently deciding whether to appeal this Court’s rulings and have until later this year to file notice of appeal. Finally, in September 2015, UEBV filed an Opposition with the European Patent Office seeking to invalidate the one utility patent asserted against UEBV and Telenet by Ruwido. The hearing on this opposition was held in July 2017. During this hearing the panel requested additional information. We are in the process of assembling this additional information and scheduling a date for rehearing. On September 5, 2017, Ruwido and FMH filed a patent infringement case on the merits against UEBV and Telenet alleging the same claims of infringement as in the Belgium Courts (see above). This matter is in its early stages and as such we have not yet answered. But, as in the Belgium case, UEBV and Telenet will deny all claims of infringement and vigorously defend against these claims.</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26, 2017, OpenTV, Inc., Nagra USA, Inc., Nagravision SA, and Kudelski SA (collectively, the “Kudelski Group”) filed a request with the U.S. International Trade Commission (“ITC”) to institute an investigation pursuant to Section 337 of the Tariff Act of 1930, as amended, concerning certain remote control devices we supply Comcast Corporation (“Comcast”), which request was accepted by the ITC. On July 21, 2017, the Kudelski Group filed a motion to terminate the investigation as to all parties, including us and this motion was accepted by the ITC on August 11, 2017.</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15, 2017, one of our employee’s filed a lawsuit against us and certain of our employees in the Superior Court of California, County of Orange, claiming hostile work environment based on sexual orientation, intentional infliction of emotional distress, failure to prevent hostile work environment, retaliation, and constructive termination. We have answered by denying all of the employee’s claims and have filed a countersuit against this employee claiming, among other things that he has breached his duty of loyalty to us, that he stole certain of our property, that he converted certain of our property to his own benefit. We are still in the early stages of this case as discovery has recently commenced.</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Treasury Stock</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From time to time, our Board of Directors authorizes management to repurchase shares of our issued and outstanding common stock on the open market. Repurchases may be made whenever we deem a repurchase to be a good use of our cash and the repurchase enhances shareholder value. As of September 30, 2017, we had 114,271 shares available for repurchase on the open market under the Board's authorizations. On October 23, 2017, our Board increased these repurchase authorizations by 300,000 shares bringing the total authorization as of the approval date to 386,434 shares. Shares may also be tendered by employees to satisfy tax withholding obligations in connection with the vesting of restricted stock.</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2016</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20,217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2,188</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 which has included compensating our outside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85,762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88,243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253,259</w:t>
            </w:r>
          </w:p>
        </w:tc>
        <w:tc>
          <w:tcPr>
            <w:tcW w:w="12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263,053</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26,113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22,099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77,679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64,290</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People's Republic of China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61,015</w:t>
            </w:r>
          </w:p>
        </w:tc>
        <w:tc>
          <w:tcPr>
            <w:tcW w:w="12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59,978</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18,877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19,389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56,041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53,716</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44,593</w:t>
            </w:r>
          </w:p>
        </w:tc>
        <w:tc>
          <w:tcPr>
            <w:tcW w:w="12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32,273</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7,896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22,051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17,519</w:t>
            </w:r>
          </w:p>
        </w:tc>
      </w:tr>
      <w:tr>
        <w:trPr>
          <w:trHeight w:val="27"/>
        </w:trPr>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175,652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169,185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514,638</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490,829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11,948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95,165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94,113</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4,186</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long-lived tangible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113,189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110,247</w:t>
            </w: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409</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5,562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5,324</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employee and director stock-based compensation expense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3,921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9,476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7,638</w:t>
            </w:r>
          </w:p>
        </w:tc>
      </w:tr>
      <w:tr>
        <w:trPr>
          <w:trHeight w:val="67"/>
        </w:trPr>
        <w:tc>
          <w:tcPr>
            <w:tcW w:w="56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78"/>
        </w:trPr>
        <w:tc>
          <w:tcPr>
            <w:tcW w:w="5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2,281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14"/>
                <w:szCs w:val="14"/>
                <w:color w:val="auto"/>
              </w:rPr>
            </w:pPr>
          </w:p>
        </w:tc>
        <w:tc>
          <w:tcPr>
            <w:tcW w:w="136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Number of Options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13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(in 000's)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(in 000's)</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62.70</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1480" w:type="dxa"/>
            <w:vAlign w:val="bottom"/>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46.44</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at September 30, 2017 </w:t>
            </w:r>
            <w:r>
              <w:rPr>
                <w:rFonts w:ascii="Arial" w:cs="Arial" w:eastAsia="Arial" w:hAnsi="Arial"/>
                <w:sz w:val="25"/>
                <w:szCs w:val="25"/>
                <w:color w:val="auto"/>
                <w:vertAlign w:val="superscript"/>
              </w:rPr>
              <w:t>(1)</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531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42.26</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11,391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2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Vested and expected to vest at September 30, 2017 </w:t>
            </w:r>
            <w:r>
              <w:rPr>
                <w:rFonts w:ascii="Arial" w:cs="Arial" w:eastAsia="Arial" w:hAnsi="Arial"/>
                <w:sz w:val="25"/>
                <w:szCs w:val="25"/>
                <w:color w:val="auto"/>
                <w:vertAlign w:val="superscript"/>
              </w:rPr>
              <w:t>(1)</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531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42.26</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11,390</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Exercisable at September 30, 2017 </w:t>
            </w:r>
            <w:r>
              <w:rPr>
                <w:rFonts w:ascii="Arial" w:cs="Arial" w:eastAsia="Arial" w:hAnsi="Arial"/>
                <w:sz w:val="25"/>
                <w:szCs w:val="25"/>
                <w:color w:val="auto"/>
                <w:vertAlign w:val="superscript"/>
              </w:rPr>
              <w:t>(1)</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35.35</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10,731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38"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third quarter of 2017 and the exercise price, multiplied by the number of in-the-money options) that would have been received by the option holders had they all exercised their options on September 30, 2017. This amount will change based on the fair market value of our stock.</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11, 2017, the independent members of our Board of Directors voluntarily surrendered 150,000 stock options originally granted to them in February 2016, resulting in the acceleration and recording of $1.2 million of stock-based compensation expense during the three and nine months ended September 30, 2017. This amount represented all remaining unamortized compensation expense associated with the surrendered stock options as of the surrender date.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68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4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grants</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17.96</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880" w:type="dxa"/>
            <w:vAlign w:val="bottom"/>
          </w:tcPr>
          <w:p>
            <w:pPr>
              <w:spacing w:after="0"/>
              <w:rPr>
                <w:sz w:val="21"/>
                <w:szCs w:val="21"/>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5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88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w w:val="91"/>
              </w:rPr>
              <w:t>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4.55</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2017, we expect to recognize $2.4 million of total unrecognized pre-tax stock-based compensation expense related to non-vested stock options over a remaining weighted-average life of 1.8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400" w:type="dxa"/>
            <w:vAlign w:val="bottom"/>
          </w:tcPr>
          <w:p>
            <w:pPr>
              <w:jc w:val="center"/>
              <w:ind w:left="468"/>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Weighted-Average Grant Date</w:t>
            </w:r>
          </w:p>
        </w:tc>
      </w:tr>
      <w:tr>
        <w:trPr>
          <w:trHeight w:val="192"/>
        </w:trPr>
        <w:tc>
          <w:tcPr>
            <w:tcW w:w="74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6"/>
              </w:rPr>
              <w:t>(in 000's)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57.43</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64.14</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61.28</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60.71</w:t>
            </w:r>
          </w:p>
        </w:tc>
      </w:tr>
      <w:tr>
        <w:trPr>
          <w:trHeight w:val="27"/>
        </w:trPr>
        <w:tc>
          <w:tcPr>
            <w:tcW w:w="74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September 30, 2017</w:t>
            </w:r>
          </w:p>
        </w:tc>
        <w:tc>
          <w:tcPr>
            <w:tcW w:w="14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60.34</w:t>
            </w:r>
          </w:p>
        </w:tc>
      </w:tr>
      <w:tr>
        <w:trPr>
          <w:trHeight w:val="20"/>
        </w:trPr>
        <w:tc>
          <w:tcPr>
            <w:tcW w:w="7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2017, we expect to recognize $9.8 million of total unrecognized pre-tax stock-based compensation expense related to non-vested restricted stock awards over a weighted-average life of 1.7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Performance-Based Common Stock Warrants</w:t>
      </w:r>
    </w:p>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9, 2016, we issued common stock purchase warrants to Comcast to purchase up to 725,000 shares of our common stock at a price of $54.55 per share. The right to exercise the warrants is subject to vesting over three successive two-year periods (with the first two-year period commencing on January 1, 2016) based on the level of purchases of goods and services from us by Comcast and its affiliates, as defined in the warrants. The table below presents the purchase levels and number of warrants that will vest in each period based upon achieving these purchase levels.</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3820" w:type="dxa"/>
            <w:vAlign w:val="bottom"/>
            <w:tcBorders>
              <w:bottom w:val="single" w:sz="8" w:color="auto"/>
            </w:tcBorders>
            <w:gridSpan w:val="5"/>
          </w:tcPr>
          <w:p>
            <w:pPr>
              <w:jc w:val="center"/>
              <w:ind w:left="1398"/>
              <w:spacing w:after="0"/>
              <w:rPr>
                <w:sz w:val="20"/>
                <w:szCs w:val="20"/>
                <w:color w:val="auto"/>
              </w:rPr>
            </w:pPr>
            <w:r>
              <w:rPr>
                <w:rFonts w:ascii="Arial" w:cs="Arial" w:eastAsia="Arial" w:hAnsi="Arial"/>
                <w:sz w:val="14"/>
                <w:szCs w:val="14"/>
                <w:b w:val="1"/>
                <w:bCs w:val="1"/>
                <w:color w:val="auto"/>
                <w:w w:val="96"/>
              </w:rPr>
              <w:t>Incremental Warrants That Will Vest</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Aggregate Level of Purchases by Comcast and Affiliates</w:t>
            </w:r>
          </w:p>
        </w:tc>
        <w:tc>
          <w:tcPr>
            <w:tcW w:w="18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January 1, 2016 -</w:t>
            </w:r>
          </w:p>
        </w:tc>
        <w:tc>
          <w:tcPr>
            <w:tcW w:w="202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January 1, 2018 -</w:t>
            </w:r>
          </w:p>
        </w:tc>
        <w:tc>
          <w:tcPr>
            <w:tcW w:w="14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w w:val="99"/>
              </w:rPr>
              <w:t>January 1, 2020 -</w:t>
            </w:r>
          </w:p>
        </w:tc>
        <w:tc>
          <w:tcPr>
            <w:tcW w:w="0" w:type="dxa"/>
            <w:vAlign w:val="bottom"/>
          </w:tcPr>
          <w:p>
            <w:pPr>
              <w:spacing w:after="0"/>
              <w:rPr>
                <w:sz w:val="1"/>
                <w:szCs w:val="1"/>
                <w:color w:val="auto"/>
              </w:rPr>
            </w:pPr>
          </w:p>
        </w:tc>
      </w:tr>
      <w:tr>
        <w:trPr>
          <w:trHeight w:val="192"/>
        </w:trPr>
        <w:tc>
          <w:tcPr>
            <w:tcW w:w="6000" w:type="dxa"/>
            <w:vAlign w:val="bottom"/>
            <w:vMerge w:val="continue"/>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2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146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50"/>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$260 million</w:t>
            </w:r>
          </w:p>
        </w:tc>
        <w:tc>
          <w:tcPr>
            <w:tcW w:w="17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$300 million</w:t>
            </w: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$340 million</w:t>
            </w: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64"/>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Maximum Potential Warrants Earned by Comcast</w:t>
            </w:r>
          </w:p>
        </w:tc>
        <w:tc>
          <w:tcPr>
            <w:tcW w:w="1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will count toward aggregate purchases in the following two-year period. To fully vest in the rights to purchase all of the underlying shares, Comcast and its affiliates must purchase an aggregate of $1.02 billion in goods and services from us during the six-year vesting period.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and all warrants that vest will expire on January 1, 2023. The warrants provide for certain adjustments that may be made to the exercise price and the number of shares issuable upon exercise due to customary anti-dilution provisions. Additionally, in connection with the warrants, we have also entered into a registration rights agreement with Comcast under which Comcast may from time to time request that we register the shares of common stock underlying vested warrants with the SEC.</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Because the warrants contain performance criteria under which Comcast must achieve specified aggregate purchase levels for the warrants to vest, as detailed above, the measurement date for the warrants is the date on which the warrants vest. Through September 30, 2017, 100,000 of the warrants had vested.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warrants is determined using the Black-Scholes option pricing model. The assumptions we utilized and the resulting fair value of the warrants were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3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24.17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38.32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38.32</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Price of Universal Electronics Inc. common stock</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62.10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74.99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62.10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74.99</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40.54%</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6.25</w:t>
            </w:r>
          </w:p>
        </w:tc>
      </w:tr>
      <w:tr>
        <w:trPr>
          <w:trHeight w:val="27"/>
        </w:trPr>
        <w:tc>
          <w:tcPr>
            <w:tcW w:w="5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impact to net sales recorded in connection with the warrants and the related income tax benefit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2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tcPr>
          <w:p>
            <w:pPr>
              <w:jc w:val="right"/>
              <w:ind w:right="76"/>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94"/>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6"/>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20"/>
                <w:szCs w:val="20"/>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Reduction/(increase) to net sales</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Income tax (benefit)/expense</w:t>
            </w:r>
          </w:p>
        </w:tc>
        <w:tc>
          <w:tcPr>
            <w:tcW w:w="12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(1,182)</w:t>
            </w:r>
          </w:p>
        </w:tc>
      </w:tr>
    </w:tbl>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2017, we estimated the number of warrants that will vest based on the combination of purchases already made and projected future purchases that will be made by Comcast and its affiliates. These estimates may increase or decrease based on actual future purchases. The aggregate unrecognized estimated fair value of unvested warrants at September 30, 2017 was $14.2 million.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2,512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2,455</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1,726</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2460" w:hanging="5288"/>
        <w:spacing w:after="0" w:line="466" w:lineRule="auto"/>
        <w:tabs>
          <w:tab w:leader="none" w:pos="652"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(losses) incurred on foreign currency hedging derivatives (see Note 17 for further details). 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304"/>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7,807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6,531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17,118</w:t>
            </w:r>
          </w:p>
        </w:tc>
      </w:tr>
      <w:tr>
        <w:trPr>
          <w:trHeight w:val="25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14,441</w:t>
            </w:r>
          </w:p>
        </w:tc>
      </w:tr>
      <w:tr>
        <w:trPr>
          <w:trHeight w:val="297"/>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 attributable to Universal Electronics Inc.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1.19</w:t>
            </w:r>
          </w:p>
        </w:tc>
      </w:tr>
      <w:tr>
        <w:trPr>
          <w:trHeight w:val="284"/>
        </w:trPr>
        <w:tc>
          <w:tcPr>
            <w:tcW w:w="5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6,531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17,118</w:t>
            </w: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53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for basic</w:t>
            </w:r>
          </w:p>
        </w:tc>
        <w:tc>
          <w:tcPr>
            <w:tcW w:w="2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14,381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14,510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14,412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14,441</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Dilutive effect of stock options, restricted stock and common stock</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w:t>
            </w: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14,666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14,848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14,689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14,740</w:t>
            </w:r>
          </w:p>
        </w:tc>
      </w:tr>
      <w:tr>
        <w:trPr>
          <w:trHeight w:val="27"/>
        </w:trPr>
        <w:tc>
          <w:tcPr>
            <w:tcW w:w="5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Diluted earnings per share attributable to Universal Electronics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stock options and shares of restricted stock excluded from the computation of diluted earnings per common share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10"/>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6"/>
                <w:szCs w:val="16"/>
                <w:color w:val="auto"/>
              </w:rPr>
            </w:pPr>
          </w:p>
        </w:tc>
        <w:tc>
          <w:tcPr>
            <w:tcW w:w="2720" w:type="dxa"/>
            <w:vAlign w:val="bottom"/>
            <w:gridSpan w:val="9"/>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gridSpan w:val="3"/>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3"/>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Note 17 — Derivatives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60" w:type="dxa"/>
            <w:vAlign w:val="bottom"/>
            <w:gridSpan w:val="5"/>
          </w:tcPr>
          <w:p>
            <w:pPr>
              <w:spacing w:after="0"/>
              <w:rPr>
                <w:sz w:val="20"/>
                <w:szCs w:val="20"/>
                <w:color w:val="auto"/>
              </w:rPr>
            </w:pPr>
            <w:r>
              <w:rPr>
                <w:rFonts w:ascii="Arial" w:cs="Arial" w:eastAsia="Arial" w:hAnsi="Arial"/>
                <w:sz w:val="18"/>
                <w:szCs w:val="18"/>
                <w:color w:val="auto"/>
                <w:w w:val="92"/>
              </w:rPr>
              <w:t>The following table sets forth the total net fair value of derivatives: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ind w:right="124"/>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w w:val="93"/>
              </w:rPr>
              <w:t>December 31, 2016</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8"/>
          </w:tcPr>
          <w:p>
            <w:pPr>
              <w:jc w:val="center"/>
              <w:ind w:right="44"/>
              <w:spacing w:after="0"/>
              <w:rPr>
                <w:sz w:val="20"/>
                <w:szCs w:val="20"/>
                <w:color w:val="auto"/>
              </w:rPr>
            </w:pPr>
            <w:r>
              <w:rPr>
                <w:rFonts w:ascii="Arial" w:cs="Arial" w:eastAsia="Arial" w:hAnsi="Arial"/>
                <w:sz w:val="14"/>
                <w:szCs w:val="14"/>
                <w:b w:val="1"/>
                <w:bCs w:val="1"/>
                <w:color w:val="auto"/>
                <w:w w:val="93"/>
              </w:rPr>
              <w:t>Fair Value Measurement Using</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9"/>
          </w:tcPr>
          <w:p>
            <w:pPr>
              <w:ind w:left="280"/>
              <w:spacing w:after="0"/>
              <w:rPr>
                <w:sz w:val="20"/>
                <w:szCs w:val="20"/>
                <w:color w:val="auto"/>
              </w:rPr>
            </w:pPr>
            <w:r>
              <w:rPr>
                <w:rFonts w:ascii="Arial" w:cs="Arial" w:eastAsia="Arial" w:hAnsi="Arial"/>
                <w:sz w:val="14"/>
                <w:szCs w:val="14"/>
                <w:b w:val="1"/>
                <w:bCs w:val="1"/>
                <w:color w:val="auto"/>
                <w:w w:val="99"/>
              </w:rPr>
              <w:t>Fair Value Measurement Using</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6"/>
                <w:szCs w:val="6"/>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2"/>
              </w:rPr>
              <w:t>Level 2</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6"/>
                <w:szCs w:val="6"/>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4"/>
              </w:rPr>
              <w:t>Total Balance</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4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6"/>
                <w:szCs w:val="6"/>
                <w:color w:val="auto"/>
              </w:rPr>
            </w:pPr>
          </w:p>
        </w:tc>
        <w:tc>
          <w:tcPr>
            <w:tcW w:w="9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(1,584)</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9"/>
              </w:rPr>
              <w:t>$ (1,584)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held foreign currency exchange contracts, which resulted in a net pre-tax loss of $1.5 million and $0.2 million for the three months ended September 30, 2017 and 2016, respectively. For the nine months ended September 30, 2017 and 2016, we had a net pre-tax loss of $2.9 million and $0.9 million, respectively (see Note 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Gain/(Loss)</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 at Balance</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Held</w:t>
            </w:r>
          </w:p>
        </w:tc>
        <w:tc>
          <w:tcPr>
            <w:tcW w:w="120" w:type="dxa"/>
            <w:vAlign w:val="bottom"/>
            <w:vMerge w:val="restart"/>
          </w:tcPr>
          <w:p>
            <w:pPr>
              <w:spacing w:after="0"/>
              <w:rPr>
                <w:sz w:val="12"/>
                <w:szCs w:val="12"/>
                <w:color w:val="auto"/>
              </w:rPr>
            </w:pPr>
          </w:p>
        </w:tc>
        <w:tc>
          <w:tcPr>
            <w:tcW w:w="19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Type</w:t>
            </w:r>
          </w:p>
        </w:tc>
        <w:tc>
          <w:tcPr>
            <w:tcW w:w="140" w:type="dxa"/>
            <w:vAlign w:val="bottom"/>
            <w:vMerge w:val="restart"/>
          </w:tcPr>
          <w:p>
            <w:pPr>
              <w:spacing w:after="0"/>
              <w:rPr>
                <w:sz w:val="12"/>
                <w:szCs w:val="12"/>
                <w:color w:val="auto"/>
              </w:rPr>
            </w:pPr>
          </w:p>
        </w:tc>
        <w:tc>
          <w:tcPr>
            <w:tcW w:w="14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Position Held</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Date</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2017</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October 27, 2017</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September 30, 2017</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6.6174</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October 20, 2017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2017</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October 20, 2017</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September 30, 2017</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BRL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3.3660</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820" w:type="dxa"/>
            <w:vAlign w:val="bottom"/>
          </w:tcPr>
          <w:p>
            <w:pPr>
              <w:ind w:left="540"/>
              <w:spacing w:after="0"/>
              <w:rPr>
                <w:sz w:val="20"/>
                <w:szCs w:val="20"/>
                <w:color w:val="auto"/>
              </w:rPr>
            </w:pPr>
            <w:r>
              <w:rPr>
                <w:rFonts w:ascii="Arial" w:cs="Arial" w:eastAsia="Arial" w:hAnsi="Arial"/>
                <w:sz w:val="18"/>
                <w:szCs w:val="18"/>
                <w:color w:val="auto"/>
                <w:w w:val="90"/>
              </w:rPr>
              <w:t>October 20, 2017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13"/>
        </w:trPr>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2016</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1.0513</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January 27, 2017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6.7230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13, 2017</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2016</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6.6757</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January 13, 2017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13, 2017</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2016</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3.2316</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January 13, 2017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380" w:hanging="328"/>
        <w:spacing w:after="0" w:line="21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expenses.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Business Combination</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6, 2017, we acquired substantially all of the net assets of Residential Control Systems, Inc. ("RCS"), a U.S.-based designer and manufacturer of energy management and control products for the residential, small commercial and hospitality markets. The purchase price of $12.6 million was comprised of $8.9 million in cash and $3.7 million of contingent consideration. Additionally, we incurred $0.1 million in acquisition costs, consisting primarily of accounting related expenses, which are included within selling, general and administrative expenses for the nine months ended September 30, 2017. The acquisition of these assets will allow us to expand our product offering of home sensing, monitoring and control solutions to include smart thermostat, sensing and monitoring products sold and marketed by RCS.</w:t>
      </w:r>
    </w:p>
    <w:p>
      <w:pPr>
        <w:spacing w:after="0" w:line="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consolidated income statement for the three and nine months ended September 30, 2017 includes net sales of $0.8 million and $2.2 million, respectively, and net losses of $0.3 million and $0.7 million, respectively, attributable to RCS for the period commencing on April 6,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required to make additional earnout payments of up to $10.0 million upon the achievement of certain operating income levels attributable to RCS over the period commencing on the acquisition date through June 30, 2022. The amount of contingent consideration is calculated at the end of each calendar year and is based on the agreed upon percentage of operating income as defined in the RCS Asset Purchase Agreement ("APA"). Operating income will be calculated using certain revenues, costs and expenses directly attributable to RCS as specified in the APA. At the acquisition date, the value of earnout contingent consideration was estimated using a valuation methodology based on projections of future operating income calculated in accordance with the APA. Such projections were then discounted using an average discount rate of 24.8% to reflect the risk in achieving the projected operating income levels as well as the time value of money. The fair value measurement of the earnout contingent consideration was based primarily on significant inputs not observable in an active market and thus represents a Level 3 measurement as defined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U.S. GAAP. The fair value of earnout consideration is presented as long-term contingent consideration in our consolidated balance sheet at September 30,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Using the acquisition method of accounting, the acquisition date fair value of the consideration transferred was allocated to the net tangible and intangible assets acquired and liabilities assumed based on their estimated fair values on the acquisition date. The excess of the purchase price over the estimated fair value of net assets acquired is recorded as goodwill. The goodwill is expected to be deductible for income tax purposes. Management's purchase price allocation was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Estimated Lives</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Preliminary Fair Value</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1,508</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1-4 years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tangible assets acquired</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8 years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10 years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 backlog</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 year</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5,494</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Contingent consideration</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(3,700)</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w:t>
            </w: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8,894</w:t>
            </w:r>
          </w:p>
        </w:tc>
      </w:tr>
      <w:tr>
        <w:trPr>
          <w:trHeight w:val="20"/>
        </w:trPr>
        <w:tc>
          <w:tcPr>
            <w:tcW w:w="8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Management's determination of the fair value of intangible assets acquired are based primarily on significant inputs not observable in an active market and thus represent Level 3 fair value measurements as defined under U.S. GAAP.</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assigned to the RCS trade name intangible asset was determined utilizing a relief from royalty method. Under the relief from royalty method, the fair value of the intangible asset is estimated to be the present value of the royalties saved because the company owns the intangible asset. Revenue projections and estimated useful life were significant inputs into estimating the value of the RCS trade name.</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assigned to RCS customer relationships and order backlog intangible assets were determined utilizing a multi-period excess earnings approach. Under the multi-period excess earnings approach, the fair value of the intangible asset is estimated to be the present value of future earnings attributable to the asset and utilizes revenue and cost projections, including an assumed contributory asset charge.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trade name, customer relationships and order backlog intangible assets are expected to be deductible for income tax purposes.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RCS as if this transaction had occurred on January 1, 2016. This unaudited pro forma financial information is not intended to represent or be indicative of the consolidated results of operations that would have been achieved had the acquisition actually been completed as of January 1, 2016, and should not be taken as a projection of the future consolidated results of our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3440" w:type="dxa"/>
            <w:vAlign w:val="bottom"/>
            <w:gridSpan w:val="3"/>
          </w:tcPr>
          <w:p>
            <w:pPr>
              <w:ind w:left="400"/>
              <w:spacing w:after="0"/>
              <w:rPr>
                <w:sz w:val="20"/>
                <w:szCs w:val="20"/>
                <w:color w:val="auto"/>
              </w:rPr>
            </w:pPr>
            <w:r>
              <w:rPr>
                <w:rFonts w:ascii="Arial" w:cs="Arial" w:eastAsia="Arial" w:hAnsi="Arial"/>
                <w:sz w:val="14"/>
                <w:szCs w:val="14"/>
                <w:b w:val="1"/>
                <w:bCs w:val="1"/>
                <w:color w:val="auto"/>
              </w:rPr>
              <w:t>Three Months Ended September 30, 2017</w:t>
            </w:r>
          </w:p>
        </w:tc>
        <w:tc>
          <w:tcPr>
            <w:tcW w:w="318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Nine Months Ended September 30, 2017</w:t>
            </w:r>
          </w:p>
        </w:tc>
      </w:tr>
      <w:tr>
        <w:trPr>
          <w:trHeight w:val="258"/>
        </w:trPr>
        <w:tc>
          <w:tcPr>
            <w:tcW w:w="4760" w:type="dxa"/>
            <w:vAlign w:val="bottom"/>
          </w:tcPr>
          <w:p>
            <w:pPr>
              <w:spacing w:after="0"/>
              <w:rPr>
                <w:sz w:val="20"/>
                <w:szCs w:val="20"/>
                <w:color w:val="auto"/>
              </w:rPr>
            </w:pPr>
            <w:r>
              <w:rPr>
                <w:rFonts w:ascii="Arial" w:cs="Arial" w:eastAsia="Arial" w:hAnsi="Arial"/>
                <w:sz w:val="14"/>
                <w:szCs w:val="14"/>
                <w:b w:val="1"/>
                <w:bCs w:val="1"/>
                <w:color w:val="auto"/>
              </w:rPr>
              <w:t>(In thousands, except per-share amounts)</w:t>
            </w:r>
          </w:p>
        </w:tc>
        <w:tc>
          <w:tcPr>
            <w:tcW w:w="168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166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2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156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5" w:lineRule="exact"/>
        <w:rPr>
          <w:sz w:val="20"/>
          <w:szCs w:val="20"/>
          <w:color w:val="auto"/>
        </w:rPr>
      </w:pPr>
    </w:p>
    <w:p>
      <w:pPr>
        <w:ind w:left="40"/>
        <w:spacing w:after="0"/>
        <w:tabs>
          <w:tab w:leader="none" w:pos="4800" w:val="left"/>
        </w:tabs>
        <w:rPr>
          <w:sz w:val="20"/>
          <w:szCs w:val="20"/>
          <w:color w:val="auto"/>
        </w:rPr>
      </w:pPr>
      <w:r>
        <w:rPr>
          <w:rFonts w:ascii="Arial" w:cs="Arial" w:eastAsia="Arial" w:hAnsi="Arial"/>
          <w:sz w:val="18"/>
          <w:szCs w:val="18"/>
          <w:color w:val="auto"/>
        </w:rPr>
        <w:t>Net sales</w:t>
      </w:r>
      <w:r>
        <w:rPr>
          <w:sz w:val="20"/>
          <w:szCs w:val="20"/>
          <w:color w:val="auto"/>
        </w:rPr>
        <w:tab/>
      </w:r>
      <w:r>
        <w:rPr>
          <w:rFonts w:ascii="Arial" w:cs="Arial" w:eastAsia="Arial" w:hAnsi="Arial"/>
          <w:sz w:val="17"/>
          <w:szCs w:val="17"/>
          <w:color w:val="auto"/>
        </w:rPr>
        <w: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attributable to Universal Electronics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earnings per share attributable to Universal Electronics Inc. $</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60" w:type="dxa"/>
            <w:vAlign w:val="bottom"/>
          </w:tcPr>
          <w:p>
            <w:pPr>
              <w:spacing w:after="0"/>
              <w:rPr>
                <w:sz w:val="20"/>
                <w:szCs w:val="20"/>
                <w:color w:val="auto"/>
              </w:rPr>
            </w:pPr>
            <w:r>
              <w:rPr>
                <w:rFonts w:ascii="Arial" w:cs="Arial" w:eastAsia="Arial" w:hAnsi="Arial"/>
                <w:sz w:val="18"/>
                <w:szCs w:val="18"/>
                <w:color w:val="auto"/>
                <w:w w:val="93"/>
              </w:rPr>
              <w:t>Diluted earnings per share attributable to Universal Electronics</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6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175,652</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170,658</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515,200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497,172</w:t>
            </w:r>
          </w:p>
        </w:tc>
      </w:tr>
      <w:tr>
        <w:trPr>
          <w:trHeight w:val="27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1,751</w:t>
            </w:r>
          </w:p>
        </w:tc>
        <w:tc>
          <w:tcPr>
            <w:tcW w:w="62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7,525</w:t>
            </w:r>
          </w:p>
        </w:tc>
        <w:tc>
          <w:tcPr>
            <w:tcW w:w="60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6,292</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16,892</w:t>
            </w:r>
          </w:p>
        </w:tc>
      </w:tr>
      <w:tr>
        <w:trPr>
          <w:trHeight w:val="27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1,751</w:t>
            </w:r>
          </w:p>
        </w:tc>
        <w:tc>
          <w:tcPr>
            <w:tcW w:w="62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7,525</w:t>
            </w:r>
          </w:p>
        </w:tc>
        <w:tc>
          <w:tcPr>
            <w:tcW w:w="60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6,292</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16,892</w:t>
            </w:r>
          </w:p>
        </w:tc>
      </w:tr>
      <w:tr>
        <w:trPr>
          <w:trHeight w:val="270"/>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0.52</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78"/>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0.43</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-565150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-222250</wp:posOffset>
            </wp:positionV>
            <wp:extent cx="724662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5020" w:space="720"/>
            <w:col w:w="5680"/>
          </w:cols>
          <w:pgMar w:left="240" w:top="118" w:right="239" w:bottom="1440" w:gutter="0" w:footer="0" w:header="0"/>
          <w:type w:val="continuous"/>
        </w:sectPr>
      </w:pP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purposes of determining pro forma net income attributable to Universal Electronics Inc., adjustments were made to all periods presented in the table above. The pro forma net income and net income attributable to Universal Electronics Inc. assumes that amortization of acquired intangible assets began at January 1, 2016 rather than on April 6, 2017. The result is a net increase in amortization expense of $0.1 million for the nine months ended September 30, 2017, and a net increase in amortization expense of $0.2 million and $0.5 million for the three and nine months ended September 30, 2016, respectively. Additionally, acquisition costs totaling $0.1 million are excluded from pro forma net income attributable to Universal Electronics Inc. All adjustments have been made net of their related tax effects.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type w:val="continuous"/>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develop and manufacture a broad line of pre-programmed universal remote control products, AV accessories, software and intelligent wireless security, sensing and automation components dedicated to redefining the home entertainment and automation experience. Our customers operate primarily in the consumer electronics market and include subscription broadcasters, OEMs, international retailers, private label brands, pro-security dealers and companies in the computing industry. We also sell integrated circuits, on which our software and device control database is embedded, and license our device control database to OEMs that manufacture televisions, digital audio and video players, streamer boxes, cable converters, satellite receivers, set-top boxes, room air conditioning equipment, game consoles, and wireless mobile phones and tablets.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beginning in 1986, we have compiled an extensive device control code database that covers approximately one million individual device functions and approximately 8,000 unique consumer electronic brands. QuickSet®, our proprietary software, can automatically detect, identify and enable the appropriate control commands for home entertainment, automation and appliances like air conditioners. Our library is regularly updated with new control functions captured directly from devices, remote controls and manufacturer specifications to ensure the accuracy and integrity of our database and control engine. Our universal remote control library contains device codes that are capable of controlling virtually all set-top boxes, televisions, audio components, DVD players, Blu-Ray players, and CD players, as well as most other remote controlled home entertainment devices and home automation control modules worldwide.</w:t>
      </w:r>
    </w:p>
    <w:p>
      <w:pPr>
        <w:spacing w:after="0" w:line="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wider adoption of more advanced technologies, emerging radio frequency ("RF") technologies, such as RF4CE, Bluetooth, and Bluetooth Smart, have increasingly become a focus in our development efforts. Several new recently released platforms utilize RF to effectively implement popular features like voice search.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have developed a comprehensive patent portfolio of more than 400 pending and issued patents related to remote controls and home automation.</w:t>
      </w:r>
    </w:p>
    <w:p>
      <w:pPr>
        <w:spacing w:after="0" w:line="1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as one business segment. We have 24 international subsidiaries located in Argentina, Brazil, British Virgin Islands, Cayman Islands, France, Germany, Hong Kong (3), India, Italy, Japan, Korea, Mexico, the Netherlands, People's Republic of China (6), Singapore, Spain, and the United Kingdom.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September 30, 2017:</w:t>
      </w:r>
    </w:p>
    <w:p>
      <w:pPr>
        <w:spacing w:after="0" w:line="63"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sales increased 3.8% to $175.7 million for the three months ended September 30, 2017 from $169.2 million for the three months ended September 30, 2016.</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gross margin percentage decreased from 24.7% for the three months ended September 30, 2016 to 24.5% for the three months ended September 30, 2017.</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expenses, as a percent of net sales, increased from 19.9% for the three months ended September 30, 2016 to 22.1% for the three months ended September 30, 2017.</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income decreased from $8.1 million for the three months ended September 30, 2016 to $4.2 million for the three months ended September 30, 2017, and our operating margin percentage decreased from 4.8% for the three months ended September 30, 2016 to 2.4% for the three months ended September 30, 2017.</w:t>
      </w:r>
    </w:p>
    <w:p>
      <w:pPr>
        <w:spacing w:after="0" w:line="19"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effective tax rate increased to 51.4% for the three months ended September 30, 2017, compared to 5.1% for the three months ended September 30,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2017 include the following:</w:t>
      </w:r>
    </w:p>
    <w:p>
      <w:pPr>
        <w:spacing w:after="0" w:line="63"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develop and market the advanced remote control products and technologies that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broaden our home control and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penetrate international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period, and the primary factors that accounted for those changes, as well as how certain accounting principles, policies and estimates affect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nine months ended September 30, 2017 to the items that we disclosed as our critical accounting policies and estimates in Item 7, "Management's Discussion and Analysis of Financial Condition and Results of Operations" contained in our Annual Report on Form 10-K for our fiscal year ended December 31, 2016.</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ectPr>
          <w:pgSz w:w="11900" w:h="16838" w:orient="portrait"/>
          <w:cols w:equalWidth="0" w:num="1">
            <w:col w:w="11420"/>
          </w:cols>
          <w:pgMar w:left="240" w:top="118" w:right="239" w:bottom="1440" w:gutter="0" w:footer="0" w:header="0"/>
        </w:sectPr>
      </w:pPr>
    </w:p>
    <w:p>
      <w:pPr>
        <w:spacing w:after="0" w:line="230" w:lineRule="exact"/>
        <w:rPr>
          <w:sz w:val="20"/>
          <w:szCs w:val="20"/>
          <w:color w:val="auto"/>
        </w:rPr>
      </w:pPr>
    </w:p>
    <w:p>
      <w:pPr>
        <w:ind w:left="576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31115</wp:posOffset>
            </wp:positionV>
            <wp:extent cx="1886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14" w:lineRule="exact"/>
        <w:rPr>
          <w:sz w:val="20"/>
          <w:szCs w:val="20"/>
          <w:color w:val="auto"/>
        </w:rPr>
      </w:pPr>
    </w:p>
    <w:p>
      <w:pPr>
        <w:ind w:left="5940"/>
        <w:spacing w:after="0"/>
        <w:tabs>
          <w:tab w:leader="none" w:pos="74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31115</wp:posOffset>
            </wp:positionV>
            <wp:extent cx="18865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14" w:lineRule="exact"/>
        <w:rPr>
          <w:sz w:val="20"/>
          <w:szCs w:val="20"/>
          <w:color w:val="auto"/>
        </w:rPr>
      </w:pPr>
    </w:p>
    <w:p>
      <w:pPr>
        <w:ind w:left="140"/>
        <w:spacing w:after="0"/>
        <w:tabs>
          <w:tab w:leader="none" w:pos="16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5" w:lineRule="exact"/>
        <w:rPr>
          <w:sz w:val="20"/>
          <w:szCs w:val="20"/>
          <w:color w:val="auto"/>
        </w:rPr>
      </w:pPr>
    </w:p>
    <w:p>
      <w:pPr>
        <w:sectPr>
          <w:pgSz w:w="11900" w:h="16838" w:orient="portrait"/>
          <w:cols w:equalWidth="0" w:num="2">
            <w:col w:w="8160" w:space="720"/>
            <w:col w:w="254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75.0</w:t>
            </w:r>
          </w:p>
        </w:tc>
      </w:tr>
      <w:tr>
        <w:trPr>
          <w:trHeight w:val="27"/>
        </w:trPr>
        <w:tc>
          <w:tcPr>
            <w:tcW w:w="53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3.1</w:t>
            </w:r>
          </w:p>
        </w:tc>
      </w:tr>
      <w:tr>
        <w:trPr>
          <w:trHeight w:val="27"/>
        </w:trPr>
        <w:tc>
          <w:tcPr>
            <w:tcW w:w="5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Factory transition restructuring charges</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17.7</w:t>
            </w:r>
          </w:p>
        </w:tc>
      </w:tr>
      <w:tr>
        <w:trPr>
          <w:trHeight w:val="27"/>
        </w:trPr>
        <w:tc>
          <w:tcPr>
            <w:tcW w:w="53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5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4.1</w:t>
            </w:r>
          </w:p>
        </w:tc>
      </w:tr>
      <w:tr>
        <w:trPr>
          <w:trHeight w:val="27"/>
        </w:trPr>
        <w:tc>
          <w:tcPr>
            <w:tcW w:w="5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3.5</w:t>
            </w:r>
          </w:p>
        </w:tc>
      </w:tr>
      <w:tr>
        <w:trPr>
          <w:trHeight w:val="27"/>
        </w:trPr>
        <w:tc>
          <w:tcPr>
            <w:tcW w:w="5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0.0</w:t>
            </w: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3.5 %</w:t>
            </w:r>
          </w:p>
        </w:tc>
      </w:tr>
      <w:tr>
        <w:trPr>
          <w:trHeight w:val="27"/>
        </w:trPr>
        <w:tc>
          <w:tcPr>
            <w:tcW w:w="53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40"/>
        </w:trPr>
        <w:tc>
          <w:tcPr>
            <w:tcW w:w="5360" w:type="dxa"/>
            <w:vAlign w:val="bottom"/>
          </w:tcPr>
          <w:p>
            <w:pPr>
              <w:spacing w:after="0"/>
              <w:rPr>
                <w:sz w:val="24"/>
                <w:szCs w:val="24"/>
                <w:color w:val="auto"/>
              </w:rPr>
            </w:pPr>
          </w:p>
        </w:tc>
        <w:tc>
          <w:tcPr>
            <w:tcW w:w="1440" w:type="dxa"/>
            <w:vAlign w:val="bottom"/>
          </w:tcPr>
          <w:p>
            <w:pPr>
              <w:jc w:val="right"/>
              <w:ind w:right="9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type w:val="continuous"/>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versus Three Months Ended September 30, 2016</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September 30, 2017 were $175.7 million, an increase of 3.8% compared to $169.2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2016.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2016</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7.1</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in our Business lines (subscription broadcasting, OEM, and computing companies) were 92.8% of net sales for the three months ended September 30, 2017 compared to 92.9% for the three months ended September 30, 2016. Net sales in our Business lines for the three months ended September 30, 2017 increased by 3.8% to $163.1 million from $157.2 million driven primarily by increased sales of home security products, increased sales to consumer electronics companies in Asia, and the rollout of higher end platforms in Europe. These increases were partially offset by a decrease in sales to North American satellite broadcasting customers as certain customers are in the process of depleting their current stock of inventory in preparation for the launch of their new advanced platforms.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Net sales in our Consumer lines (</w:t>
      </w:r>
      <w:r>
        <w:rPr>
          <w:rFonts w:ascii="Arial" w:cs="Arial" w:eastAsia="Arial" w:hAnsi="Arial"/>
          <w:sz w:val="16"/>
          <w:szCs w:val="16"/>
          <w:i w:val="1"/>
          <w:iCs w:val="1"/>
          <w:color w:val="auto"/>
        </w:rPr>
        <w:t>One For All</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retail and private label) were 7.2% of net sales for the three months ended September 30, 2017 compared to 7.1% for the three months ended September 30, 2016. Net sales in our Consumer lines for the three months ended September 30, 2017 increased by 5.0% to $12.6 million from $12.0 million in the three months ended September 30, 2016 driven primarily by growth in international markets outside of Europe.</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three months ended September 30, 2017 was $43.1 million compared to $41.8 million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2016. Gross profit as a percent of sales decreased to 24.5% for the three months ended September 30, 2017 compared to 24.7% for the three months ended September 30, 2016. The gross margin percentage was unfavorably impacted by price reductions granted to certain large volume customers, manufacturing inefficiencies experienced due to our factory transition activities in China, and lower-margin projects undertaken in Latin America. These impacts were partially offset by raw material cost savings.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9.3% to $5.4 million for the three months ended September 30, 2017 from $5.0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2016 primarily driven by R&amp;D efforts dedicated to developing new product offerings for new and existing product categories.</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Factory transition restructuring charges. </w:t>
      </w:r>
      <w:r>
        <w:rPr>
          <w:rFonts w:ascii="Arial" w:cs="Arial" w:eastAsia="Arial" w:hAnsi="Arial"/>
          <w:sz w:val="16"/>
          <w:szCs w:val="16"/>
          <w:color w:val="auto"/>
        </w:rPr>
        <w:t>In the first quarter of 2016, we implemented a plan to reduce the impact of rising labor rates in China by</w:t>
      </w:r>
      <w:r>
        <w:rPr>
          <w:rFonts w:ascii="Arial" w:cs="Arial" w:eastAsia="Arial" w:hAnsi="Arial"/>
          <w:sz w:val="16"/>
          <w:szCs w:val="16"/>
          <w:i w:val="1"/>
          <w:iCs w:val="1"/>
          <w:color w:val="auto"/>
        </w:rPr>
        <w:t xml:space="preserve"> </w:t>
      </w:r>
      <w:r>
        <w:rPr>
          <w:rFonts w:ascii="Arial" w:cs="Arial" w:eastAsia="Arial" w:hAnsi="Arial"/>
          <w:sz w:val="16"/>
          <w:szCs w:val="16"/>
          <w:color w:val="auto"/>
        </w:rPr>
        <w:t>transitioning manufacturing activities from our southern-most China factory, located in the city of Guangzhou in the Guangdong province, to our other China factories where labor rates are rising at a slower rate. As a result, we incurred severance costs of $0.4 million and $0.1 million for the three months ended September 30, 2017 and 2016, respectively. We ceased manufacturing operations in our Guangzhou factory during the third quarter of 2017 and as a result, we do not expect to incur a significant amount of additional severance costs associated with the transition of manufacturing activities from this location.</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increased 15.3% to $33.0 million for the three months ended September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from $28.6 million for the three months ended September 30, 2016. The increase was primarily due to incremental expense recorded to reflect an increase in the value of contingent consideration to be paid in connection with our acquisition of the net assets of Ecolink Intelligent Technology, Inc. ("Ecolink"); increased stock-based compensation expense; and increased payroll and benefits attributable to annual merit increases and additional headcount to support product development efforts. Partially offsetting these increases was a decrease in legal expense as a result of higher legal fees in the prior year period related to patent litigation matters.</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$0.7 million for the three months ended September 30, 2017 compared to net interest expense of $0.2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2016 as a result of an increased level of borrowings on our line of credit.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was $0.1 million for the three months ended September 30, 2017 compared to net other income of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30, 2016. This change was driven primarily by foreign currency losses associated with fluctuations in the Chinese Yuan Renminbi and British Pound exchange rates versus the U.S. Dollar.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$1.8 million for the three months ended September 30, 2017 compared to $0.4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2016. Our effective tax rate was 51.4% for the three months ended September 30, 2017 compared to 5.1% for the three months ended September 30, 2016. The increase in our effective tax rate was primarily due to the nondeductibility of certain transactions in China as a result of the pending sale of our Guangzhou factory. In addition, during the three months ended September 30, 2016, we received tax refunds from the Chinese government totaling $1.8 million for various tax incentives relating to fiscal year 2015.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versus Nine Months Ended September 30, 2016</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nine months ended September 30, 2017 were $514.6 million, an increase of 4.8% compared to $490.8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2016.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2016</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sales in our Business lines (subscription broadcasting, OEM, and computing companies) were 92.9% of net sales for the nine months ended September 30, 2017 compared to 93.0% for the nine months ended September 30, 2016. Net sales in our Business lines for the nine months ended September 30, 2017 increased by 4.7% to $477.9 million from $456.3 million driven primarily by increased sales of home security products, increased market share in Latin America, the rollout of higher end platforms in Europe and increased sales to consumer electronics companies in Asia. These increases were partially offset by a decrease in sales to North American satellite broadcasting customers as certain customers are in the process of depleting their current stock of inventory in preparation for the launch of their new advanced platforms.</w:t>
      </w:r>
    </w:p>
    <w:p>
      <w:pPr>
        <w:spacing w:after="0" w:line="12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7.1% of net sales for the nine months ended September 30, 2017 compared to 7.0% for the nine months ended September 30, 2016. Net sales in our Consumer lines for the nine months ended September 30, 2017 increased by 7.1% to $36.7 million from $34.5 million in the nine months ended September 30, 2016 driven primarily by growth in international markets outside of Europe and in the U.S. market.</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for the nine months ended September 30, 2017 was $127.9 million compared to $122.9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2016. Gross profit as a percent of sales decreased slightly to 24.8% for the nine months ended September 30, 2017 compared to 25.0% for the nine months ended September 30, 2016. The gross margin percentage was unfavorably impacted by price reductions granted to certain large volume customers, manufacturing inefficiencies experienced due to factory transition activities in China, and lower-margin projects undertaken in Latin America. These impacts were partially offset by the weakening of the Chinese Yuan Renminbi relative to the U.S. Dollar.</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increased 3.7% to $15.9 million for the nine months ended September 30, 2017 from $15.3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2016.</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Factory transition restructuring charges. </w:t>
      </w:r>
      <w:r>
        <w:rPr>
          <w:rFonts w:ascii="Arial" w:cs="Arial" w:eastAsia="Arial" w:hAnsi="Arial"/>
          <w:sz w:val="16"/>
          <w:szCs w:val="16"/>
          <w:color w:val="auto"/>
        </w:rPr>
        <w:t>In the first quarter of 2016, we implemented a plan to reduce the impact of rising labor costs in China by</w:t>
      </w:r>
      <w:r>
        <w:rPr>
          <w:rFonts w:ascii="Arial" w:cs="Arial" w:eastAsia="Arial" w:hAnsi="Arial"/>
          <w:sz w:val="16"/>
          <w:szCs w:val="16"/>
          <w:i w:val="1"/>
          <w:iCs w:val="1"/>
          <w:color w:val="auto"/>
        </w:rPr>
        <w:t xml:space="preserve"> </w:t>
      </w:r>
      <w:r>
        <w:rPr>
          <w:rFonts w:ascii="Arial" w:cs="Arial" w:eastAsia="Arial" w:hAnsi="Arial"/>
          <w:sz w:val="16"/>
          <w:szCs w:val="16"/>
          <w:color w:val="auto"/>
        </w:rPr>
        <w:t>transitioning manufacturing activities from our southern-most China factory, located in the city of Guangzhou in the Guangdong province, to our other China factories where labor rates are rising at a slower rate. As a result, we incurred severance costs of $6.1 million and $1.6 million for the nine months ended September 30, 2017 and 2016, respectively. We ceased manufacturing operations in our Guangzhou factory during the third quarter of 2017 and as a result, we do not expect to incur a significant amount of additional severance costs associated with the transition of manufacturing activities from this location.</w:t>
      </w:r>
    </w:p>
    <w:p>
      <w:pPr>
        <w:spacing w:after="0" w:line="1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9.0% to $94.7 million for the nine months ended September 30, 2017 from $86.9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nine months ended September 30, 2016. The increase was primarily due to incremental expense recorded to reflect an increase in the value of contingent consideration to be paid in connection with our acquisition of the net assets of Ecolink; increased stock-based compensation expense; increased headcount and other direct costs associated with product development efforts as a result of an increase in the number of higher end customer products; additional expense to support our implementation of a new ERP system; and additional expense as a result of the acquisition of the net assets of Residential Control Systems, Inc. ("RCS") in April 2017. Partially offsetting these increases was a decrease in legal expense as a result of higher legal fees, including the recording of a $2.0 million legal settlement, in the prior year period related to patent litigation matters.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$1.7 million for the nine months ended September 30, 2017 compared to net interest expense of $0.8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2016 as a result of an increased level of borrowings on our line of credit.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was $2.0 thousand for the nine months ended September 30, 2017 compared to net other income of $1.7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2016. This change was driven primarily by a decrease in foreign currency gains associated with fluctuations in the Chinese Yuan Renminbi exchange rate versus the U.S. Dollar.</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$2.9 million for the nine months ended September 30, 2017 compared to $3.0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2016. Our effective tax rate was 31.1% for the nine months ended September 30, 2017 compared to 14.7% for the nine months ended September 30, 2016. The increase in our effective tax rate was primarily due to the nondeductibility of certain transactions in China as a result of the pending sale of our Guangzhou factory. In addition, during the nine months ended September 30, 2016, we received tax refunds from the Chinese government totaling $1.8 million for various tax incentives relating to fiscal year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14"/>
                <w:szCs w:val="14"/>
                <w:color w:val="auto"/>
              </w:rPr>
            </w:pPr>
          </w:p>
        </w:tc>
        <w:tc>
          <w:tcPr>
            <w:tcW w:w="162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2017</w:t>
            </w: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Pr>
          <w:p>
            <w:pPr>
              <w:spacing w:after="0"/>
              <w:rPr>
                <w:sz w:val="16"/>
                <w:szCs w:val="16"/>
                <w:color w:val="auto"/>
              </w:rPr>
            </w:pPr>
          </w:p>
        </w:tc>
        <w:tc>
          <w:tcPr>
            <w:tcW w:w="162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September 30, 2016</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operating activities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38,681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(40,091)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(30,239)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54,986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(5,703)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September 30, 2017</w:t>
            </w:r>
          </w:p>
        </w:tc>
        <w:tc>
          <w:tcPr>
            <w:tcW w:w="36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24"/>
                <w:szCs w:val="24"/>
                <w:color w:val="auto"/>
              </w:rPr>
            </w:pPr>
          </w:p>
        </w:tc>
        <w:tc>
          <w:tcPr>
            <w:tcW w:w="162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50,611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20" w:type="dxa"/>
            <w:vAlign w:val="bottom"/>
          </w:tcPr>
          <w:p>
            <w:pPr>
              <w:spacing w:after="0"/>
              <w:rPr>
                <w:sz w:val="21"/>
                <w:szCs w:val="21"/>
                <w:color w:val="auto"/>
              </w:rPr>
            </w:pP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98,063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108,291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Net cash used for operating activities </w:t>
      </w:r>
      <w:r>
        <w:rPr>
          <w:rFonts w:ascii="Arial" w:cs="Arial" w:eastAsia="Arial" w:hAnsi="Arial"/>
          <w:sz w:val="17"/>
          <w:szCs w:val="17"/>
          <w:color w:val="auto"/>
        </w:rPr>
        <w:t>was $1.2 million during the nine months ended September 30, 2017 compared to $38.7 million of net cash provided by</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activities during the nine months ended September 30, 2016. The decrease in net cash provided by operating activities was primarily due to working capital needs associated with accounts receivable and inventories. Cash outflows associated with accounts receivable have increased primarily as a result of collection timing. Days sales outstanding have increased from 72 days at September 30, 2016 to 79 days at September 30, 2017. With respect to inventories, cash outflows increased during the nine months ended September 30, 2017 largely as a result of carrying increased inventory levels while we transition manufacturing operations between our factories in China. In addition, we had some buildup of inventory related to the anticipated rollout of higher end platforms to certain customers as well as further anticipated growth in home security product sales. Our inventory turns decreased from 4.2 turns at September 30, 2016 to 3.6 turns at September 30, 2017.</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nine months ended September 30, 2017 was $40.1 million compared to $30.2 million during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2016. The increase in cash used for investing activities was driven primarily by our acquisition of the net assets of RCS for $8.9 million in April 2017.</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was $44.9 million during the nine months ended September 30, 2017 compared to $10.1 million of net cash used for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activities during the nine months ended September 30, 2016. The increase in cash provided by financing activities was driven primarily by net borrowings on our line of credit of $64.0 million during the nine months ended September 30, 2017, compared to net payments of $15.0 million on our line of credit during the nine months ended September 30, 2016. This was partially offset by an increase of $18.0 million in treasury stock purchases and a $3.7 million decrease in proceeds from the exercise of stock options.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2017, we repurchased 329,964 shares of our common stock at a cost of $20.2 million compared to our repurchase of 39,531 shares at a cost of $2.2 million during the nine months ended September 30, 2016. We hold these shares as treasury stock and they are available for reissue. Presently, we have no plans to distribute these shares, although we may change these plans if necessary to fulfill our on-going business objectives.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From time to time, our Board of Directors authorizes management to repurchase shares of our issued and outstanding common stock on the open market. Repurchases may be made whenever we deem a repurchase to be a good use of our cash and the repurchase enhances shareholder value. As of September 30, 2017, we had 114,271 shares available for repurchase on the open market under the Board's authorizations. On October 23, 2017, our Board increased these repurchase authorizations by 300,000 shares bringing the total authorization as of the approval date to 386,434 shares.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7,037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7,037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17,400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38,169</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15,007</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18,192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Purchase obligations primarily consist of contractual payments to purchase property, plant and equipment.</w:t>
      </w:r>
    </w:p>
    <w:p>
      <w:pPr>
        <w:spacing w:after="0" w:line="98" w:lineRule="exact"/>
        <w:rPr>
          <w:rFonts w:ascii="Arial" w:cs="Arial" w:eastAsia="Arial" w:hAnsi="Arial"/>
          <w:sz w:val="25"/>
          <w:szCs w:val="25"/>
          <w:color w:val="auto"/>
          <w:vertAlign w:val="superscript"/>
        </w:rPr>
      </w:pPr>
    </w:p>
    <w:p>
      <w:pPr>
        <w:ind w:left="660" w:hanging="328"/>
        <w:spacing w:after="0" w:line="211"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Contingent consideration consists of contingent payments related to our purchases of the net assets of Ecolink and RCS.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acquisitions of the net assets of Ecolink and RCS. We anticipate that we will continue to utilize both cash flows from operations and our revolving line of credit to support ongoing business operations, capital expenditures and future discretionary share repurchases. Our working capital needs have typically been greatest during the third and fourth quarters when accounts receivable and inventories increase in connection with the fourth quarter holiday selling season and when inventory levels increase in anticipation of factory closures in observance of Chinese New Year.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liquidity is subject to various risks including the risks discussed under "Item 3. Quantitative and Qualitative Disclosures about Market Risk."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20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 2017</w:t>
            </w:r>
          </w:p>
        </w:tc>
        <w:tc>
          <w:tcPr>
            <w:tcW w:w="300" w:type="dxa"/>
            <w:vAlign w:val="bottom"/>
          </w:tcPr>
          <w:p>
            <w:pPr>
              <w:spacing w:after="0"/>
              <w:rPr>
                <w:sz w:val="16"/>
                <w:szCs w:val="16"/>
                <w:color w:val="auto"/>
              </w:rPr>
            </w:pPr>
          </w:p>
        </w:tc>
        <w:tc>
          <w:tcPr>
            <w:tcW w:w="186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50,611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Available borrowing resources</w:t>
            </w:r>
          </w:p>
        </w:tc>
        <w:tc>
          <w:tcPr>
            <w:tcW w:w="340" w:type="dxa"/>
            <w:vAlign w:val="bottom"/>
          </w:tcPr>
          <w:p>
            <w:pPr>
              <w:spacing w:after="0"/>
              <w:rPr>
                <w:sz w:val="21"/>
                <w:szCs w:val="21"/>
                <w:color w:val="auto"/>
              </w:rPr>
            </w:pPr>
          </w:p>
        </w:tc>
        <w:tc>
          <w:tcPr>
            <w:tcW w:w="1960" w:type="dxa"/>
            <w:vAlign w:val="bottom"/>
          </w:tcPr>
          <w:p>
            <w:pPr>
              <w:jc w:val="right"/>
              <w:ind w:right="36"/>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35,000</w:t>
            </w:r>
          </w:p>
        </w:tc>
      </w:tr>
    </w:tbl>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September 30, 2017, we had $4.8 million, $22.1 million, $0.8 million, $13.3 million and $7.5 million of cash and cash equivalents in the United States, the People's Republic of China ("PRC"), Asia (excluding the PRC), Europe, and South America, respectively. On December 31, 2016, we had $3.3 million, $22.1 million, $5.3 million, $19.6 million, and $0.3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Amended and Restated Credit Agreement ("Amended Credit Agreement") with U.S. Bank National Association ("U.S. Bank") provided for a $125.0 million revolving line of credit ("Credit Line") that was to expire on November 1, 2019. On October 27, 2017, we entered into a Second Amended and Restated Credit Agreement ("Second Amended Credit Agreement") with U.S. Bank as administrative agent, sole lead arranger and sole book runner, and Wells Fargo, National Association, which replaces the Amended Credit Agreement. Under the Second Amended Credit Agreement, the Credit Line was increased to $170.0 million and the expiration date remained November 1, 2019. The Credit Line may be used for working capital and other general corporate purposes including acquisitions, share repurchases and capital expenditures. Amounts available for borrowing under the Credit Line are reduced by the balance of any outstanding letters of credit. There were no outstanding letters of credit at September 30, 2017.</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that controls our manufacturing factories in the PRC.</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interest rate applicable to outstanding Credit Line balances under the Second Amended Credit Agreement is the same as 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The applicable margins are calculated quarterly and vary based on our cash flow leverage ratio as set forth in the Amended Credit Agreement and Second Amended Credit Agreement. The interest rate in effect at September 30, 2017 was 2.48%. There are no commitment fees or unused line fees under the Amended Credit Agreement or the Second Amended Credit Agreement.</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Amended Credit Agreement and Second Amended Credit Agreement include financial covenants requiring a minimum fixed charge coverage ratio and a maximum cash flow leverage ratio. In addition, the Amended Credit Agreement and Second Amended Credit Agreement also contain other customary affirmative and negative covenants and events of default. As of September 30, 2017, we were in compliance with the covenants and conditions of the Amended Credit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2017, we had an outstanding balance of $114.0 million on our Credit Line and $11.0 million of availability.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2016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While we believe that the forward-looking statements made in this report are based on reasonable assumptions, the actual outcome of such statements is subject to a number of risks and uncertainties, including the significant percentage of our revenue attributable to a limited number of customers; the failure of our markets to continue growing and expanding in the manner we anticipated; the failure of our customers to grow and expand as we anticipated; the effects of natural or other events beyond our control, including the effects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and digital media and interactive technology; our successful integration of the Ecolink and RCS assets and business lines; our inability to add profitable complementary products which are accepted by the marketplace; our inability to attract and retain a quality workforce at adequate levels in all regions of the world, and particularly Asia; our inability to continue to maintain our operating costs at acceptable levels through our cost containment efforts;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customers; the sale of our Guangzhou facility not occurring as or within the time frame anticipated by management; our inability to successfully and profitably restructure our manufacturing facilities and activities; possible dilutive effect our stock incentive programs may have on our earnings per share and stock price; the continued ability to identify and execute on opportunities that maximize stockholder value, including the effects repurchasing the company's shares have on the company's stock value;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interest rate risk related to our debt. From time to time we borrow amounts on our Credit Line for working capital and other liquidity needs. Under our Amended Credit Agreement and Second Amended Credit Agreement, we may elect to pay interest on outstanding borrowings on our Credit Line based on LIBOR or a base rate (based on the prime rate of U.S. Bank) plus an applicable margin as defined in the Amended Credit Agreement and Second Amended Credit Agreement. Accordingly, changes in interest rates would impact our results of operations in future periods. A 100 basis point increase in interest rates would have an approximately $0.7 million annual impact on net income based on our outstanding line of credit balance at September 30, 2017.</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September 30, 2017, we had wholly-owned subsidiaries in Argentina, Brazil,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Argentinian Peso, Mexican Peso, Brazilian Real, Indian Rupee and Japanese Yen.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Mexican Peso, Indian Rupee and Japanese Yen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September 30, 2017, we believe that movements in foreign currency rates may have a material effect on our financial position and results of operations. We estimate that if the exchange rates for the Chinese Yuan Renminbi, Euro, British Pound, Argentinian Peso, Mexican Peso, Brazilian Real, Indian Rupee and Japanese Yen relative to the U.S. Dollar fluctuate 10% from September 30, 2017, net income in the third quarter of 2017 would fluctuate by approximately $11.5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internal controls or in other factors that may significantly affect our internal controls during the fiscal quarter covered by this Quarterly Report on Form 10-Q.</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10"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1A: Risk Factors" of the Company's 2016 Annual Report on Form 10-K incorporated herein by reference. These factors may cause our actual results to differ materially from those stated in forward-looking statements contained in this document and elsewhere.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September 30, 2017, we repurchased 90,494 shares of our issued and outstanding common stock for $5.3 million. We make stock repurchases under ongoing and systematic programs approved by our Board of Directors when we deem a repurchase to be a good use of our cash and the repurchase enhances shareholder value. On September 30, 2017, we had 114,271 shares available for repurchase on the open market under the Board's authorizations. On October 23, 2017, our Board increased these repurchase authorizations by 300,000 shares bringing the total authorizations as of the approval date to 386,434 shares. Shares may also be tendered by employees to satisfy tax withholding obligations in connection with the vesting of restricted stock.</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three months ended September 30, 2017, our total stock repurchases, average price paid per share and the maximum number of shares that may yet be purchased on the open market under our plans or programs: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xml:space="preserve">Shares Purchased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 xml:space="preserve">per Share </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2017 - July 31, 2017</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1,354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67.21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August 1, 2017 - August 31, 2017</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38,462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35,729</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164,271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2017 - September 30, 2017</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50,678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59.91</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50,000</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114,271</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90,494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58.92</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85,729</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114,271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27" w:lineRule="auto"/>
        <w:tabs>
          <w:tab w:leader="none" w:pos="66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Of the repurchases in July, August and September, 1,354, 2,733 and 678 shares, respectively, represent common shares of the company that were owned and tendered by employees to satisfy tax withholding obligations in connection with the vesting of restricted shares.</w:t>
      </w:r>
    </w:p>
    <w:p>
      <w:pPr>
        <w:spacing w:after="0" w:line="94" w:lineRule="exact"/>
        <w:rPr>
          <w:rFonts w:ascii="Arial" w:cs="Arial" w:eastAsia="Arial" w:hAnsi="Arial"/>
          <w:sz w:val="24"/>
          <w:szCs w:val="24"/>
          <w:color w:val="auto"/>
          <w:vertAlign w:val="superscript"/>
        </w:rPr>
      </w:pPr>
    </w:p>
    <w:p>
      <w:pPr>
        <w:ind w:left="660" w:right="20" w:hanging="328"/>
        <w:spacing w:after="0" w:line="216"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For shares tendered in connection with the vesting of restricted shares, the average price paid per share is an average calculated using the daily high and low of the Company's common stock at the time of vesting.</w:t>
      </w:r>
    </w:p>
    <w:p>
      <w:pPr>
        <w:spacing w:after="0" w:line="95" w:lineRule="exact"/>
        <w:rPr>
          <w:rFonts w:ascii="Arial" w:cs="Arial" w:eastAsia="Arial" w:hAnsi="Arial"/>
          <w:sz w:val="25"/>
          <w:szCs w:val="25"/>
          <w:color w:val="auto"/>
          <w:vertAlign w:val="superscript"/>
        </w:rPr>
      </w:pPr>
    </w:p>
    <w:p>
      <w:pPr>
        <w:ind w:left="660" w:hanging="328"/>
        <w:spacing w:after="0" w:line="216"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The Company may purchase shares from time to time in open market purchases. The Company may make all or part of the purchases pursuant to accelerated share repurchases or Rule 10b5-1 plans.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420" w:type="dxa"/>
            <w:vAlign w:val="bottom"/>
            <w:gridSpan w:val="2"/>
          </w:tcPr>
          <w:p>
            <w:pPr>
              <w:jc w:val="right"/>
              <w:ind w:right="1100"/>
              <w:spacing w:after="0"/>
              <w:rPr>
                <w:rFonts w:ascii="Arial" w:cs="Arial" w:eastAsia="Arial" w:hAnsi="Arial"/>
                <w:sz w:val="18"/>
                <w:szCs w:val="18"/>
                <w:color w:val="0000FF"/>
                <w:w w:val="85"/>
              </w:rPr>
            </w:pPr>
            <w:hyperlink w:anchor="page4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9380" w:type="dxa"/>
            <w:vAlign w:val="bottom"/>
            <w:gridSpan w:val="4"/>
          </w:tcPr>
          <w:p>
            <w:pPr>
              <w:spacing w:after="0"/>
              <w:rPr>
                <w:rFonts w:ascii="Arial" w:cs="Arial" w:eastAsia="Arial" w:hAnsi="Arial"/>
                <w:sz w:val="18"/>
                <w:szCs w:val="18"/>
                <w:color w:val="0000FF"/>
                <w:w w:val="96"/>
              </w:rPr>
            </w:pPr>
            <w:hyperlink w:anchor="page40">
              <w:r>
                <w:rPr>
                  <w:rFonts w:ascii="Arial" w:cs="Arial" w:eastAsia="Arial" w:hAnsi="Arial"/>
                  <w:sz w:val="18"/>
                  <w:szCs w:val="18"/>
                  <w:color w:val="0000FF"/>
                  <w:w w:val="96"/>
                </w:rPr>
                <w:t>Rule 13a-14(a) Certifications of Paul D. Arling, Chief Executive Officer (principal executive officer) of Universal Electronics</w:t>
              </w:r>
            </w:hyperlink>
          </w:p>
        </w:tc>
      </w:tr>
      <w:tr>
        <w:trPr>
          <w:trHeight w:val="196"/>
        </w:trPr>
        <w:tc>
          <w:tcPr>
            <w:tcW w:w="320" w:type="dxa"/>
            <w:vAlign w:val="bottom"/>
            <w:tcBorders>
              <w:top w:val="single" w:sz="8" w:color="0000FF"/>
            </w:tcBorders>
          </w:tcPr>
          <w:p>
            <w:pPr>
              <w:spacing w:after="0"/>
              <w:rPr>
                <w:sz w:val="17"/>
                <w:szCs w:val="17"/>
                <w:color w:val="auto"/>
              </w:rPr>
            </w:pPr>
          </w:p>
        </w:tc>
        <w:tc>
          <w:tcPr>
            <w:tcW w:w="1100" w:type="dxa"/>
            <w:vAlign w:val="bottom"/>
          </w:tcPr>
          <w:p>
            <w:pPr>
              <w:spacing w:after="0"/>
              <w:rPr>
                <w:sz w:val="17"/>
                <w:szCs w:val="17"/>
                <w:color w:val="auto"/>
              </w:rPr>
            </w:pPr>
          </w:p>
        </w:tc>
        <w:tc>
          <w:tcPr>
            <w:tcW w:w="938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40">
              <w:r>
                <w:rPr>
                  <w:rFonts w:ascii="Arial" w:cs="Arial" w:eastAsia="Arial" w:hAnsi="Arial"/>
                  <w:sz w:val="18"/>
                  <w:szCs w:val="18"/>
                  <w:color w:val="0000FF"/>
                </w:rPr>
                <w:t>Inc.</w:t>
              </w:r>
            </w:hyperlink>
          </w:p>
        </w:tc>
      </w:tr>
      <w:tr>
        <w:trPr>
          <w:trHeight w:val="20"/>
        </w:trPr>
        <w:tc>
          <w:tcPr>
            <w:tcW w:w="142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20" w:type="dxa"/>
            <w:vAlign w:val="bottom"/>
            <w:gridSpan w:val="2"/>
          </w:tcPr>
          <w:p>
            <w:pPr>
              <w:jc w:val="right"/>
              <w:ind w:right="1100"/>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9380" w:type="dxa"/>
            <w:vAlign w:val="bottom"/>
            <w:gridSpan w:val="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Rule 13a-14(a) Certifications of Bryan M. Hackworth, Chief Financial Officer (principal financial officer and principal</w:t>
              </w:r>
            </w:hyperlink>
          </w:p>
        </w:tc>
      </w:tr>
      <w:tr>
        <w:trPr>
          <w:trHeight w:val="196"/>
        </w:trPr>
        <w:tc>
          <w:tcPr>
            <w:tcW w:w="320" w:type="dxa"/>
            <w:vAlign w:val="bottom"/>
            <w:tcBorders>
              <w:top w:val="single" w:sz="8" w:color="0000FF"/>
            </w:tcBorders>
          </w:tcPr>
          <w:p>
            <w:pPr>
              <w:spacing w:after="0"/>
              <w:rPr>
                <w:sz w:val="17"/>
                <w:szCs w:val="17"/>
                <w:color w:val="auto"/>
              </w:rPr>
            </w:pPr>
          </w:p>
        </w:tc>
        <w:tc>
          <w:tcPr>
            <w:tcW w:w="1100" w:type="dxa"/>
            <w:vAlign w:val="bottom"/>
          </w:tcPr>
          <w:p>
            <w:pPr>
              <w:spacing w:after="0"/>
              <w:rPr>
                <w:sz w:val="17"/>
                <w:szCs w:val="17"/>
                <w:color w:val="auto"/>
              </w:rPr>
            </w:pPr>
          </w:p>
        </w:tc>
        <w:tc>
          <w:tcPr>
            <w:tcW w:w="34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w:anchor="page41">
              <w:r>
                <w:rPr>
                  <w:rFonts w:ascii="Arial" w:cs="Arial" w:eastAsia="Arial" w:hAnsi="Arial"/>
                  <w:sz w:val="18"/>
                  <w:szCs w:val="18"/>
                  <w:color w:val="0000FF"/>
                  <w:w w:val="92"/>
                </w:rPr>
                <w:t>accounting officer) of Universal Electronics Inc.</w:t>
              </w:r>
            </w:hyperlink>
          </w:p>
        </w:tc>
        <w:tc>
          <w:tcPr>
            <w:tcW w:w="58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188" w:lineRule="exact"/>
        <w:rPr>
          <w:sz w:val="20"/>
          <w:szCs w:val="20"/>
          <w:color w:val="auto"/>
        </w:rPr>
      </w:pPr>
    </w:p>
    <w:p>
      <w:pPr>
        <w:jc w:val="both"/>
        <w:ind w:left="1800" w:hanging="1414"/>
        <w:spacing w:after="0" w:line="264" w:lineRule="auto"/>
        <w:tabs>
          <w:tab w:leader="none" w:pos="1800" w:val="left"/>
        </w:tabs>
        <w:numPr>
          <w:ilvl w:val="0"/>
          <w:numId w:val="16"/>
        </w:numPr>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Section 1350 Certifications of Paul D. Arling, Chief Executive Officer (principal executive officer) of Universal Electronics Inc.,</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and Bryan M. Hackworth, Chief Financial Officer (principal financial officer and principal accounting officer) of Universal</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Electronics Inc. pursuant to 18 U.S.C. Section 1350</w:t>
        </w:r>
      </w:hyperlink>
    </w:p>
    <w:p>
      <w:pPr>
        <w:spacing w:after="0" w:line="141" w:lineRule="exact"/>
        <w:rPr>
          <w:rFonts w:ascii="Arial" w:cs="Arial" w:eastAsia="Arial" w:hAnsi="Arial"/>
          <w:sz w:val="18"/>
          <w:szCs w:val="18"/>
          <w:u w:val="single" w:color="auto"/>
          <w:color w:val="0000FF"/>
        </w:rPr>
      </w:pPr>
    </w:p>
    <w:tbl>
      <w:tblPr>
        <w:tblLayout w:type="fixed"/>
        <w:tblInd w:w="38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3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3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38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20" w:lineRule="exact"/>
        <w:rPr>
          <w:rFonts w:ascii="Arial" w:cs="Arial" w:eastAsia="Arial" w:hAnsi="Arial"/>
          <w:sz w:val="18"/>
          <w:szCs w:val="18"/>
          <w:u w:val="single" w:color="auto"/>
          <w:color w:val="0000FF"/>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240" w:top="118" w:right="4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Arial" w:cs="Arial" w:eastAsia="Arial" w:hAnsi="Arial"/>
                <w:sz w:val="18"/>
                <w:szCs w:val="18"/>
                <w:color w:val="auto"/>
                <w:w w:val="91"/>
              </w:rPr>
              <w:t>Dated:November 8, 2017</w:t>
            </w:r>
          </w:p>
        </w:tc>
        <w:tc>
          <w:tcPr>
            <w:tcW w:w="7520" w:type="dxa"/>
            <w:vAlign w:val="bottom"/>
            <w:gridSpan w:val="2"/>
          </w:tcPr>
          <w:p>
            <w:pPr>
              <w:ind w:left="176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860" w:type="dxa"/>
            <w:vAlign w:val="bottom"/>
          </w:tcPr>
          <w:p>
            <w:pPr>
              <w:spacing w:after="0"/>
              <w:rPr>
                <w:sz w:val="24"/>
                <w:szCs w:val="24"/>
                <w:color w:val="auto"/>
              </w:rPr>
            </w:pPr>
          </w:p>
        </w:tc>
        <w:tc>
          <w:tcPr>
            <w:tcW w:w="2380" w:type="dxa"/>
            <w:vAlign w:val="bottom"/>
          </w:tcPr>
          <w:p>
            <w:pPr>
              <w:ind w:left="176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Bryan M. Hackworth</w:t>
            </w:r>
          </w:p>
        </w:tc>
      </w:tr>
      <w:tr>
        <w:trPr>
          <w:trHeight w:val="270"/>
        </w:trPr>
        <w:tc>
          <w:tcPr>
            <w:tcW w:w="386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Financial Officer (principal financial officer</w:t>
            </w:r>
          </w:p>
        </w:tc>
      </w:tr>
      <w:tr>
        <w:trPr>
          <w:trHeight w:val="270"/>
        </w:trPr>
        <w:tc>
          <w:tcPr>
            <w:tcW w:w="386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and principal accounting officer)</w:t>
            </w:r>
          </w:p>
        </w:tc>
      </w:tr>
      <w:tr>
        <w:trPr>
          <w:trHeight w:val="864"/>
        </w:trPr>
        <w:tc>
          <w:tcPr>
            <w:tcW w:w="3860" w:type="dxa"/>
            <w:vAlign w:val="bottom"/>
          </w:tcPr>
          <w:p>
            <w:pPr>
              <w:spacing w:after="0"/>
              <w:rPr>
                <w:sz w:val="24"/>
                <w:szCs w:val="24"/>
                <w:color w:val="auto"/>
              </w:rPr>
            </w:pPr>
          </w:p>
        </w:tc>
        <w:tc>
          <w:tcPr>
            <w:tcW w:w="2380" w:type="dxa"/>
            <w:vAlign w:val="bottom"/>
          </w:tcPr>
          <w:p>
            <w:pPr>
              <w:ind w:left="1720"/>
              <w:spacing w:after="0"/>
              <w:rPr>
                <w:sz w:val="20"/>
                <w:szCs w:val="20"/>
                <w:color w:val="auto"/>
              </w:rPr>
            </w:pPr>
            <w:r>
              <w:rPr>
                <w:rFonts w:ascii="Arial" w:cs="Arial" w:eastAsia="Arial" w:hAnsi="Arial"/>
                <w:sz w:val="18"/>
                <w:szCs w:val="18"/>
                <w:color w:val="auto"/>
              </w:rPr>
              <w:t>38</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80" w:type="dxa"/>
            <w:vAlign w:val="bottom"/>
            <w:gridSpan w:val="4"/>
          </w:tcPr>
          <w:p>
            <w:pPr>
              <w:ind w:left="840"/>
              <w:spacing w:after="0"/>
              <w:rPr>
                <w:sz w:val="20"/>
                <w:szCs w:val="20"/>
                <w:color w:val="auto"/>
              </w:rPr>
            </w:pPr>
            <w:r>
              <w:rPr>
                <w:rFonts w:ascii="Arial" w:cs="Arial" w:eastAsia="Arial" w:hAnsi="Arial"/>
                <w:sz w:val="18"/>
                <w:szCs w:val="18"/>
                <w:b w:val="1"/>
                <w:bCs w:val="1"/>
                <w:color w:val="auto"/>
              </w:rPr>
              <w:t>EXHIBIT INDEX</w:t>
            </w:r>
          </w:p>
        </w:tc>
      </w:tr>
      <w:tr>
        <w:trPr>
          <w:trHeight w:val="588"/>
        </w:trPr>
        <w:tc>
          <w:tcPr>
            <w:tcW w:w="4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9840" w:type="dxa"/>
            <w:vAlign w:val="bottom"/>
            <w:gridSpan w:val="6"/>
          </w:tcPr>
          <w:p>
            <w:pPr>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360" w:type="dxa"/>
            <w:vAlign w:val="bottom"/>
            <w:tcBorders>
              <w:top w:val="single" w:sz="8" w:color="auto"/>
            </w:tcBorders>
            <w:gridSpan w:val="3"/>
          </w:tcPr>
          <w:p>
            <w:pPr>
              <w:ind w:left="40"/>
              <w:spacing w:after="0" w:line="202"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840" w:type="dxa"/>
            <w:vAlign w:val="bottom"/>
            <w:tcBorders>
              <w:top w:val="single" w:sz="8" w:color="auto"/>
            </w:tcBorders>
            <w:gridSpan w:val="6"/>
          </w:tcPr>
          <w:p>
            <w:pPr>
              <w:spacing w:after="0" w:line="202"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Rule 13a-14(a) Certifications of Paul D. Arling, Chief Executive Officer (principal executive officer) of Universal Electronics Inc.</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7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60" w:type="dxa"/>
            <w:vAlign w:val="bottom"/>
            <w:gridSpan w:val="3"/>
          </w:tcPr>
          <w:p>
            <w:pPr>
              <w:ind w:left="40"/>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6"/>
          </w:tcPr>
          <w:p>
            <w:pPr>
              <w:spacing w:after="0"/>
              <w:rPr>
                <w:rFonts w:ascii="Arial" w:cs="Arial" w:eastAsia="Arial" w:hAnsi="Arial"/>
                <w:sz w:val="18"/>
                <w:szCs w:val="18"/>
                <w:color w:val="0000EE"/>
                <w:w w:val="97"/>
              </w:rPr>
            </w:pPr>
            <w:hyperlink w:anchor="page41">
              <w:r>
                <w:rPr>
                  <w:rFonts w:ascii="Arial" w:cs="Arial" w:eastAsia="Arial" w:hAnsi="Arial"/>
                  <w:sz w:val="18"/>
                  <w:szCs w:val="18"/>
                  <w:color w:val="0000EE"/>
                  <w:w w:val="97"/>
                </w:rPr>
                <w:t>Rule 13a-14(a) Certifications of Bryan M. Hackworth, Chief Financial Officer (principal financial officer and principal accounting</w:t>
              </w:r>
            </w:hyperlink>
          </w:p>
        </w:tc>
      </w:tr>
      <w:tr>
        <w:trPr>
          <w:trHeight w:val="196"/>
        </w:trPr>
        <w:tc>
          <w:tcPr>
            <w:tcW w:w="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officer) of Universal Electronics Inc.</w:t>
              </w:r>
            </w:hyperlink>
          </w:p>
        </w:tc>
        <w:tc>
          <w:tcPr>
            <w:tcW w:w="7140" w:type="dxa"/>
            <w:vAlign w:val="bottom"/>
            <w:tcBorders>
              <w:top w:val="single" w:sz="8" w:color="0000EE"/>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72"/>
        </w:trPr>
        <w:tc>
          <w:tcPr>
            <w:tcW w:w="220" w:type="dxa"/>
            <w:vAlign w:val="bottom"/>
            <w:gridSpan w:val="2"/>
          </w:tcPr>
          <w:p>
            <w:pPr>
              <w:ind w:left="40"/>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32</w:t>
              </w:r>
            </w:hyperlink>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6"/>
          </w:tcPr>
          <w:p>
            <w:pPr>
              <w:spacing w:after="0"/>
              <w:rPr>
                <w:rFonts w:ascii="Arial" w:cs="Arial" w:eastAsia="Arial" w:hAnsi="Arial"/>
                <w:sz w:val="18"/>
                <w:szCs w:val="18"/>
                <w:color w:val="0000EE"/>
                <w:w w:val="95"/>
              </w:rPr>
            </w:pPr>
            <w:hyperlink w:anchor="page42">
              <w:r>
                <w:rPr>
                  <w:rFonts w:ascii="Arial" w:cs="Arial" w:eastAsia="Arial" w:hAnsi="Arial"/>
                  <w:sz w:val="18"/>
                  <w:szCs w:val="18"/>
                  <w:color w:val="0000EE"/>
                  <w:w w:val="95"/>
                </w:rPr>
                <w:t>Section 1350 Certifications of Paul D. Arling, Chief Executive Officer (principal executive officer) of Universal Electronics Inc., and</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7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Bryan M. Hackworth, Chief Financial Officer (principal financial officer and principal accounting officer) of Universal Electronics Inc.</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pursuant to 18 U.S.C. Section 1350</w:t>
              </w:r>
            </w:hyperlink>
          </w:p>
        </w:tc>
        <w:tc>
          <w:tcPr>
            <w:tcW w:w="7280" w:type="dxa"/>
            <w:vAlign w:val="bottom"/>
            <w:gridSpan w:val="5"/>
          </w:tcPr>
          <w:p>
            <w:pPr>
              <w:spacing w:after="0"/>
              <w:rPr>
                <w:sz w:val="17"/>
                <w:szCs w:val="17"/>
                <w:color w:val="auto"/>
              </w:rPr>
            </w:pPr>
          </w:p>
        </w:tc>
      </w:tr>
      <w:tr>
        <w:trPr>
          <w:trHeight w:val="412"/>
        </w:trPr>
        <w:tc>
          <w:tcPr>
            <w:tcW w:w="4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18" w:right="2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September 30, 2017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820" w:val="left"/>
          <w:tab w:leader="none" w:pos="8040" w:val="left"/>
          <w:tab w:leader="none" w:pos="8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80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32"/>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2019-12-29T02:26:09Z</dcterms:created>
  <dcterms:modified xsi:type="dcterms:W3CDTF">2019-12-29T02:26:09Z</dcterms:modified>
</cp:coreProperties>
</file>