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79739.xml.htm"/>
      <w:bookmarkStart w:id="1" w:name="kswkform4_17883797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Haughawout Joseph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15147 N. SCOTTSDALE RD. STE H300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50,315</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granted on August 31, 2026, each of which represents a contingent right to receive one share of the Issuer's common stock, with 1/3 of the RSUs vesting on each of the first three anniversaries of the grant date, subject to the Reporting Person's continued service with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prior awards of RSUs previously reported in Table II of Form 3. The total reported in column 5 includes the 15,000 newly awarded RSUs, 10,166 RSUs previously reported in Table II, and 25,149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represents a contingent right to receive one share of UEI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 stock unit award was approved by the Compensation Committee of the Board of Directors on August 31, 2026 with a grant date of August 31, 2026. The performance stock unit award will vest in three tranches with one stock market condition and three service conditions. Each tranche will vest only when both the stock price market and service conditions have been achieved. The stock price market condition must be met on or by the fifth anniversary of the grant date (August 31, 2031). Any unvested tranche will expire at close of business on August 31, 2031.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(Lee) Haughawout, by Ryan Hochgesang, pursuant to Limited Power of Attorney dated August 6,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469"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4359</Characters>
  <CharactersWithSpaces>5088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