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quarterly period ended June 30, 2016</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74"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27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27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274"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14,473,131 shares of Common Stock, par value $0.01 per share, of the registrant were outstanding on August 3, 2016.</w:t>
      </w:r>
    </w:p>
    <w:p>
      <w:pPr>
        <w:sectPr>
          <w:pgSz w:w="11900" w:h="16838" w:orient="portrait"/>
          <w:cols w:equalWidth="0" w:num="1">
            <w:col w:w="11420"/>
          </w:cols>
          <w:pgMar w:left="240" w:top="27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52,966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4,623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121,801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119,141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122,366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7,296</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319,431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315,324</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90,015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43,116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32,926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8,474</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5,365</w:t>
            </w:r>
          </w:p>
        </w:tc>
      </w:tr>
      <w:tr>
        <w:trPr>
          <w:trHeight w:val="284"/>
        </w:trPr>
        <w:tc>
          <w:tcPr>
            <w:tcW w:w="79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506,692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495,220</w:t>
            </w:r>
          </w:p>
        </w:tc>
      </w:tr>
      <w:tr>
        <w:trPr>
          <w:trHeight w:val="23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93,843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42,987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7,618</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accrued expenses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22,937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21,466</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215,124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7,891</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1,917</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231,927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237,312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Common stock, $0.01 par value, 50,000,000 shares authorized; 23,331,278 and 23,176,277 shares issued on June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 2016 and December 31, 2015,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239,375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228,269</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4"/>
              </w:rPr>
              <w:t>Treasury stock, at cost, 8,861,097 and 8,824,768 shares on June 30, 2016 and December 31, 2015,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(210,333)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(15,799)</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264,551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255,240</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Universal Electronics Inc.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274,765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257,609</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274,765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257,908</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495,220</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Notes 4 and 9 for further information concerning our purchases from related party vendors.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280,256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127,530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107,271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240,541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202,567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77,689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Universal Electronics Inc.: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14,735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16,029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16,136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13,564</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10,404</w:t>
            </w:r>
          </w:p>
        </w:tc>
      </w:tr>
      <w:tr>
        <w:trPr>
          <w:trHeight w:val="27"/>
        </w:trPr>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Universal Electronics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9,473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7,993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10,404</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18" w:right="3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9,341</w:t>
            </w:r>
          </w:p>
        </w:tc>
        <w:tc>
          <w:tcPr>
            <w:tcW w:w="100" w:type="dxa"/>
            <w:vAlign w:val="bottom"/>
          </w:tcPr>
          <w:p>
            <w:pPr>
              <w:spacing w:after="0"/>
              <w:rPr>
                <w:sz w:val="20"/>
                <w:szCs w:val="20"/>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13,564</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12,032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9,412</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1,617</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689</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Employee and director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3,983</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Performance-based warrant stock-based compensation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(9,599)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(8,741)</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(14,994)</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Accrued income taxes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for)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23,251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used for investing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(17,989)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(15,655)</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Acquisition of intangible assets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Deconsolidation of Encore Controls LLC</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00" w:type="dxa"/>
            <w:vAlign w:val="bottom"/>
          </w:tcPr>
          <w:p>
            <w:pPr>
              <w:ind w:left="70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(18,934)</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(16,907)</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for)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57,987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19,500</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line of credit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1,648</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(34,297)</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713</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for)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(19,936)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(2,464)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542</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(30,359)</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52,966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112,521</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49,445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82,162</w:t>
            </w:r>
          </w:p>
        </w:tc>
      </w:tr>
      <w:tr>
        <w:trPr>
          <w:trHeight w:val="20"/>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4,647</w:t>
            </w:r>
          </w:p>
        </w:tc>
        <w:tc>
          <w:tcPr>
            <w:tcW w:w="100" w:type="dxa"/>
            <w:vAlign w:val="bottom"/>
          </w:tcPr>
          <w:p>
            <w:pPr>
              <w:spacing w:after="0"/>
              <w:rPr>
                <w:sz w:val="20"/>
                <w:szCs w:val="20"/>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2,979</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2016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2015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do not plan to early adopt ASU 2014-09. We have not yet selected a transition method and are evaluating the impact that this new standard will have on our consolidated financial statements.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amends Accounting Standards Codification ("ASC") 350, "Intangibles - Goodwill and Other". The amendments provide guidance as to whether a cloud computing arrangement includes a software license, and based on that determination, how to account for such arrangements. ASU 2015-05 is effective for fiscal periods beginning after December 15, 2015 and permits the use of either the prospective or retrospective transition method. The adoption of ASU 2015-05 did not have a material impact on our consolidated financial position or results of operations.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Early adoption is permitted. We are currently evaluating the impact that ASU 2015-11 will have on our consolidated financial statements.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FASB issued ASU 2015-16, "Simplifying the Accounting for Measurement-period Adjustments." This new guidance requires an acquirer in a business combination to recognize adjustments to the provisional amounts that are identified during the measurement period to be reported in the period in which the adjustment amounts are determined. In addition, the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earnings of changes in depreciation, amortization and other items as a result of the change to the provisional amounts, calculated as if the accounting had been complete as of the acquisition date, must be recorded in the reporting period in which the adjustment amounts are determined. ASU 2015-16 is effective for fiscal periods beginning after December 15, 2015 and must be applied prospectively. The adoption of ASU 2015-16 did not have a material impact on our consolidated financial position or results of operations.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Early adoption is permitted. We have not yet selected a transition method and are currently evaluating the impact that ASU 2015-17 will have on our consolidated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2016-09,"Improvements to Employee Share-Based Payment Accounting", which amends ASC 718, "Compensation - Stock Compensation". ASU 2016-09 is intended to simplify several aspects of the accounting for share-based payment transactions, including income tax consequences, classification of awards as either equity or liabilities, and classification on the statement of cash flows. ASU 2016-09 is effective for fiscal periods beginning after December 15, 2016. Early adoption is permitted. We are currently evaluating the impact that ASU 2016-09 will have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22,366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28,681</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11,729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8,093</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49,445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52,966</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court order issued on September 4, 2015, we placed $4.6 million of cash into a collateralized surety bond. This bond has certain restrictions for liquidation and has therefore been classified as restricted cash. Refer to Note 10 for further information about this ongoing litigation.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129,728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128,358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117,761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132,125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121,801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(Write-offs)/Foreign exchange effects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June 30, 2016 and December 31, 2015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$0.3 million on June 30, 2016 and December 31, 2015, respectively. The value of these returned goods was included in our inventory balance at June 30, 2016 and December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22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228"/>
              <w:spacing w:after="0"/>
              <w:rPr>
                <w:sz w:val="20"/>
                <w:szCs w:val="20"/>
                <w:color w:val="auto"/>
              </w:rPr>
            </w:pPr>
            <w:r>
              <w:rPr>
                <w:rFonts w:ascii="Arial" w:cs="Arial" w:eastAsia="Arial" w:hAnsi="Arial"/>
                <w:sz w:val="14"/>
                <w:szCs w:val="14"/>
                <w:b w:val="1"/>
                <w:bCs w:val="1"/>
                <w:color w:val="auto"/>
              </w:rPr>
              <w:t>2015</w:t>
            </w:r>
          </w:p>
        </w:tc>
      </w:tr>
      <w:tr>
        <w:trPr>
          <w:trHeight w:val="264"/>
        </w:trPr>
        <w:tc>
          <w:tcPr>
            <w:tcW w:w="40" w:type="dxa"/>
            <w:vAlign w:val="bottom"/>
            <w:tcBorders>
              <w:bottom w:val="single" w:sz="8" w:color="CCEEFF"/>
            </w:tcBorders>
          </w:tcPr>
          <w:p>
            <w:pPr>
              <w:spacing w:after="0"/>
              <w:rPr>
                <w:sz w:val="22"/>
                <w:szCs w:val="22"/>
                <w:color w:val="auto"/>
              </w:rPr>
            </w:pPr>
          </w:p>
        </w:tc>
        <w:tc>
          <w:tcPr>
            <w:tcW w:w="5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36,366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30,381</w:t>
            </w: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20.6%</w:t>
            </w: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DIRECTV</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20,035</w:t>
            </w:r>
          </w:p>
        </w:tc>
        <w:tc>
          <w:tcPr>
            <w:tcW w:w="1660" w:type="dxa"/>
            <w:vAlign w:val="bottom"/>
            <w:gridSpan w:val="2"/>
          </w:tcPr>
          <w:p>
            <w:pPr>
              <w:jc w:val="right"/>
              <w:ind w:right="128"/>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18,125</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12.3</w:t>
            </w:r>
          </w:p>
        </w:tc>
      </w:tr>
      <w:tr>
        <w:trPr>
          <w:trHeight w:val="575"/>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22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228"/>
              <w:spacing w:after="0"/>
              <w:rPr>
                <w:sz w:val="20"/>
                <w:szCs w:val="20"/>
                <w:color w:val="auto"/>
              </w:rPr>
            </w:pPr>
            <w:r>
              <w:rPr>
                <w:rFonts w:ascii="Arial" w:cs="Arial" w:eastAsia="Arial" w:hAnsi="Arial"/>
                <w:sz w:val="14"/>
                <w:szCs w:val="14"/>
                <w:b w:val="1"/>
                <w:bCs w:val="1"/>
                <w:color w:val="auto"/>
              </w:rPr>
              <w:t>2015</w:t>
            </w:r>
          </w:p>
        </w:tc>
      </w:tr>
      <w:tr>
        <w:trPr>
          <w:trHeight w:val="264"/>
        </w:trPr>
        <w:tc>
          <w:tcPr>
            <w:tcW w:w="40" w:type="dxa"/>
            <w:vAlign w:val="bottom"/>
          </w:tcPr>
          <w:p>
            <w:pPr>
              <w:spacing w:after="0"/>
              <w:rPr>
                <w:sz w:val="22"/>
                <w:szCs w:val="22"/>
                <w:color w:val="auto"/>
              </w:rPr>
            </w:pPr>
          </w:p>
        </w:tc>
        <w:tc>
          <w:tcPr>
            <w:tcW w:w="5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75,975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45,958</w:t>
            </w: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16.4%</w:t>
            </w:r>
          </w:p>
        </w:tc>
      </w:tr>
      <w:tr>
        <w:trPr>
          <w:trHeight w:val="243"/>
        </w:trPr>
        <w:tc>
          <w:tcPr>
            <w:tcW w:w="4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DIRECTV</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36,854</w:t>
            </w:r>
          </w:p>
        </w:tc>
        <w:tc>
          <w:tcPr>
            <w:tcW w:w="1660" w:type="dxa"/>
            <w:vAlign w:val="bottom"/>
            <w:gridSpan w:val="2"/>
          </w:tcPr>
          <w:p>
            <w:pPr>
              <w:jc w:val="right"/>
              <w:ind w:right="128"/>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35,490</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12.7</w:t>
            </w:r>
          </w:p>
        </w:tc>
      </w:tr>
      <w:tr>
        <w:trPr>
          <w:trHeight w:val="783"/>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655"/>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02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854"/>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6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(thousands)</w:t>
            </w:r>
          </w:p>
        </w:tc>
        <w:tc>
          <w:tcPr>
            <w:tcW w:w="13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 of Accounts</w:t>
            </w:r>
          </w:p>
        </w:tc>
        <w:tc>
          <w:tcPr>
            <w:tcW w:w="320" w:type="dxa"/>
            <w:vAlign w:val="bottom"/>
          </w:tcPr>
          <w:p>
            <w:pPr>
              <w:spacing w:after="0"/>
              <w:rPr>
                <w:sz w:val="13"/>
                <w:szCs w:val="13"/>
                <w:color w:val="auto"/>
              </w:rPr>
            </w:pPr>
          </w:p>
        </w:tc>
        <w:tc>
          <w:tcPr>
            <w:tcW w:w="15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 (thousands)</w:t>
            </w:r>
          </w:p>
        </w:tc>
        <w:tc>
          <w:tcPr>
            <w:tcW w:w="140" w:type="dxa"/>
            <w:vAlign w:val="bottom"/>
          </w:tcPr>
          <w:p>
            <w:pPr>
              <w:spacing w:after="0"/>
              <w:rPr>
                <w:sz w:val="13"/>
                <w:szCs w:val="13"/>
                <w:color w:val="auto"/>
              </w:rPr>
            </w:pPr>
          </w:p>
        </w:tc>
        <w:tc>
          <w:tcPr>
            <w:tcW w:w="15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Receivable, Net</w:t>
            </w:r>
          </w:p>
        </w:tc>
        <w:tc>
          <w:tcPr>
            <w:tcW w:w="3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Receivable, Net</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3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28,777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29,404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 Net and Significant Supplier</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gridSpan w:val="2"/>
          </w:tcPr>
          <w:p>
            <w:pPr>
              <w:spacing w:after="0"/>
              <w:rPr>
                <w:sz w:val="20"/>
                <w:szCs w:val="20"/>
                <w:color w:val="auto"/>
              </w:rPr>
            </w:pPr>
            <w:r>
              <w:rPr>
                <w:rFonts w:ascii="Arial" w:cs="Arial" w:eastAsia="Arial" w:hAnsi="Arial"/>
                <w:sz w:val="18"/>
                <w:szCs w:val="18"/>
                <w:color w:val="auto"/>
              </w:rPr>
              <w:t>Inventories, net were as follows:</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24"/>
                <w:szCs w:val="2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4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29,203</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13,592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7"/>
        </w:trPr>
        <w:tc>
          <w:tcPr>
            <w:tcW w:w="48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7"/>
        </w:trPr>
        <w:tc>
          <w:tcPr>
            <w:tcW w:w="48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1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640" w:type="dxa"/>
            <w:vAlign w:val="bottom"/>
          </w:tcPr>
          <w:p>
            <w:pPr>
              <w:ind w:left="60"/>
              <w:spacing w:after="0"/>
              <w:rPr>
                <w:sz w:val="20"/>
                <w:szCs w:val="20"/>
                <w:color w:val="auto"/>
              </w:rPr>
            </w:pPr>
            <w:r>
              <w:rPr>
                <w:rFonts w:ascii="Arial" w:cs="Arial" w:eastAsia="Arial" w:hAnsi="Arial"/>
                <w:sz w:val="18"/>
                <w:szCs w:val="18"/>
                <w:color w:val="auto"/>
              </w:rPr>
              <w:t>Inventories, net</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119,141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122,366</w:t>
            </w: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gridSpan w:val="4"/>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70"/>
        </w:trPr>
        <w:tc>
          <w:tcPr>
            <w:tcW w:w="48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Write-offs/Foreign exchange effects</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$0.1 million for the six months ended June 30, 2016 and 2015,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purchase integrated circuits, components and finished goods from multiple sources. Texas Instruments provided $11.4 million, or 11.8%, of total inventory purchases during the three months ended June 30, 2016 and $19.9 million, or 11.3%, of total inventory purchases during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08"/>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3"/>
                <w:szCs w:val="13"/>
                <w:color w:val="auto"/>
              </w:rPr>
            </w:pP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48"/>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3"/>
                <w:szCs w:val="13"/>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Inventory Purchases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40" w:type="dxa"/>
            <w:vAlign w:val="bottom"/>
            <w:gridSpan w:val="2"/>
          </w:tcPr>
          <w:p>
            <w:pPr>
              <w:spacing w:after="0"/>
              <w:rPr>
                <w:sz w:val="20"/>
                <w:szCs w:val="20"/>
                <w:color w:val="auto"/>
              </w:rPr>
            </w:pPr>
            <w:r>
              <w:rPr>
                <w:rFonts w:ascii="Arial" w:cs="Arial" w:eastAsia="Arial" w:hAnsi="Arial"/>
                <w:sz w:val="18"/>
                <w:szCs w:val="18"/>
                <w:color w:val="auto"/>
              </w:rPr>
              <w:t>Total accounts payable to this supplier were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 of Accounts Payable</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(thousands)</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43,116</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5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11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9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27,691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$9.7 million and $9.0 million at June 30, 2016 and December 31, 2015, respectively.</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7"/>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860" w:type="dxa"/>
            <w:vAlign w:val="bottom"/>
            <w:gridSpan w:val="5"/>
          </w:tcPr>
          <w:p>
            <w:pPr>
              <w:spacing w:after="0"/>
              <w:rPr>
                <w:sz w:val="20"/>
                <w:szCs w:val="20"/>
                <w:color w:val="auto"/>
              </w:rPr>
            </w:pPr>
            <w:r>
              <w:rPr>
                <w:rFonts w:ascii="Arial" w:cs="Arial" w:eastAsia="Arial" w:hAnsi="Arial"/>
                <w:sz w:val="18"/>
                <w:szCs w:val="18"/>
                <w:color w:val="auto"/>
                <w:w w:val="90"/>
              </w:rPr>
              <w:t>Estimated future annual amortization expense related to our intangible assets at June 30, 2016, is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(remaining 6 months)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3,188</w:t>
            </w:r>
          </w:p>
        </w:tc>
        <w:tc>
          <w:tcPr>
            <w:tcW w:w="20" w:type="dxa"/>
            <w:vAlign w:val="bottom"/>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6,321</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6,272</w:t>
            </w:r>
          </w:p>
        </w:tc>
        <w:tc>
          <w:tcPr>
            <w:tcW w:w="20" w:type="dxa"/>
            <w:vAlign w:val="bottom"/>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6,227</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5,117</w:t>
            </w:r>
          </w:p>
        </w:tc>
        <w:tc>
          <w:tcPr>
            <w:tcW w:w="20" w:type="dxa"/>
            <w:vAlign w:val="bottom"/>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3,675</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30,800</w:t>
            </w:r>
          </w:p>
        </w:tc>
        <w:tc>
          <w:tcPr>
            <w:tcW w:w="20" w:type="dxa"/>
            <w:vAlign w:val="bottom"/>
          </w:tcPr>
          <w:p>
            <w:pPr>
              <w:spacing w:after="0"/>
              <w:rPr>
                <w:sz w:val="22"/>
                <w:szCs w:val="22"/>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provided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On November 10, 2015, we entered into the Third Amendment to the Amended Credit Agreement in which the Credit Line was increased to $85.0 million. Amounts available for borrowing under the Credit Line are reduced by the balance of any outstanding letters of credit, of which there were $13 thousand at June 30, 2016.</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June 30, 2016 was 1.71%. There are no commitment fees or unused line fees under the Amended Credit Agreement.</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June 30, 2016, we were in compliance with the covenants and conditions of the Amended Credit Agreement.</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June 30, 2016, we had $43.0 million outstanding under the Credit Line. Our total interest expense on borrowings was $0.3 million and $17 thousand during the three months ended June 30, 2016 and 2015, respectively. Our total interest expense on borrowings was $0.6 million and $17 thousand during the six months ended June 30, 2016 and 2015,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income tax expense of $1.8 million and $2.2 million for the three months ended June 30, 2016 and 2015, respectively. Our effective tax rate was 21.3% and 20.7% during the three months ended June 30, 2016 and 2015, respectively.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income tax expense of $2.5 million and $3.4 million for the six months ended June 30, 2016 and 2015, respectively. Our effective tax rate was 21.3% and 20.2% during the six months ended June 30, 2016 and 2015, respectively. Our effective tax rate was lower in the prior year primarily due to the recording of a $0.5 million tax refund related to tax incentives in China for the years 2012 through 2014. This impact was partially offset by the exclusion of the estimated benefit of the federal R&amp;D tax credit in our prior year estimated tax rate as a result of the federal tax credit for 2015 not having been passed as of June 30, 2015.</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2016, we had gross unrecognized tax benefits of $3.7 million, including interest and penalties, of which $2.0 million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approximately $0.1 million within the next twelve months. We have classified uncertain tax positions as non-current income tax liabilities unless expected to be paid within one year.</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$0.2 million at June 30, 2016 and December 31, 2015, respectively, are included in our unrecognized tax benefits.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On June 30, 2016, the open statutes of limitations in our significant tax jurisdictions were as follows: federal 2012 through 2014, state 2011 through 2014, and foreign 2009 through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2015</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18,419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18,923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7,549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37,452</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2016 and December 31, 2015.</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$0.6 million and $0.7 million at June 30, 2016 and December 31, 2015,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1,942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551</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1,164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settlement accrual (Notes 2 and 10)</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2,652</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21,466</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466" w:lineRule="auto"/>
        <w:tabs>
          <w:tab w:leader="none" w:pos="6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obtained certain engineering support services for our India subsidiary from JAP Techno Solutions ("JAP"). The owner of JAP is the spouse of the managing director of our India operations. Total fees paid to JAP for the three and six months ended June 30, 2015 were $26 thousand and $52 thousand, respectively. No amounts were paid to this vendor during the six months ended June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2015</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2016, we implemented a plan to reduce our manufacturing costs by transitioning some of our manufacturing activities from our southern-most China factory, located in the city of Guangzhou in the Guangdong province, to our other China factories where labor rates are lower. As a result, we incurred severance costs of $0.1 million and $1.5 million during the three and six months ended June 30, 2016, which are included within selling, general and administrative expenses. We expect to incur additional severance costs of approximately $8 million as we continue to execute this transition over the next 12-18 months. Because severance costs relate to involuntary terminations, we record the related liability at the communication date. At June 30, 2016, we had $0.1 million of unpaid severance costs included within accrued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2016, in connection with previously disclosed litigation matters, we entered into a confidential agreement in principal with Universal Remote Control, Inc. (“URC”), Ohsung Electronics Co., Ltd., and Ohsung Electronics USA, Inc. (collectively the “URC Parties”) to settle all litigation matters between us and the URC Parties. By and during the term of this agreement, we and the URC Parties will dismiss all litigation matters and appeals. While the terms of this agreement in principal are confidential,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$4.6 million surety bond previously placed by us in connection with these litigation matters will be released to URC. Additionally, the URC Parties will receive a limited paid up license to the technologies covered by the patents in this litigation and a limited covenant not to sue with respect to certain of URC’s products existing as of the settlement date. We expect to finalize the definitive settlement agreement and other documents within the next 2 months. As such, we recorded $2.0 million of estimated litigation settlement costs within selling, general and administrative expenses during the three months ended June 30, 2016.</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the appeal and on February 15, 2016, the appellate court heard oral arguments. We expect the appellate court’s ruling on the motion in the next three months. In addition, in September 2015, UEBV filed an Opposition with the European Patent Office seeking to invalidate the one utility patent asserted against UEBV and Telenet by Ruwido. Finally, on or about February 9, 2016, Ruwido filed a writ of summons for proceeding on the merits with respect to asserted patents. UEBV and Telenet have replied, denying all of Ruwido's allegations and we intend to vigorously defend against these claims.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June 30, 2016, we had 375,000 shares available for repurchase on the open market under the Board's authorizations. Shares may also be tendered by employees to satisfy tax withholding obligations in connection with the vesting of restricted stock.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36,329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648,708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34,297</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174,810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61,665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18,544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31,134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12,227</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321,644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280,256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89,353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83,794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103,300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95,380</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3,006</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3,983</w:t>
            </w:r>
          </w:p>
        </w:tc>
      </w:tr>
      <w:tr>
        <w:trPr>
          <w:trHeight w:val="67"/>
        </w:trPr>
        <w:tc>
          <w:tcPr>
            <w:tcW w:w="5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1,134</w:t>
            </w:r>
          </w:p>
        </w:tc>
      </w:tr>
      <w:tr>
        <w:trPr>
          <w:trHeight w:val="70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89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June 30, 2016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37.22</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27,606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June 30, 2016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788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37.22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27,597</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June 30, 2016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20,376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2016 and the exercise price, multiplied by the number of in-the-money options) that would have been received by the option holders had they all exercised their options on June 30, 2016.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24.77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0.00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4.56</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we expect to recognize $5.2 million of total unrecognized pre-tax stock-based compensation expense related to non-vested stock options over a remaining weighted-average life of 2.3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51.31</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51.78</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46.73</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56.69</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52.25</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2016, we expect to recognize $8.9 million of total unrecognized pre-tax stock-based compensation expense related to non-vested restricted stock awards over a weighted-average life of 2.0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issued common stock purchase warrants to Comcast Corporation ("Comcast") to purchase up to 725,000 shares of our common stock at a price of $54.55 per share. The right to exercise the warrants under this agreement is subject to vesting over three successive two-year periods (with the first two-year period commencing on January 1, 2016) based on the level of purchases of goods and services from us by Comcast and its affiliates, as defined in the warrant agreement. The table below presents the purchase levels and number of warrants that will vest in each period based upon achieving these purchase levels.</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the warrants contain performance criteria under which Comcast must achieve specified aggregate purchase levels for the warrants to vest, as detailed above, the measurement date for the warrants is the date on which the warrants vest. The estimated fair value of warrants is being recorded as a reduction to net sales ratably as the warrants vest based on the projected number of warrants that will vest, the proportion of purchases by Comcast and its affiliates within the period relative to the aggregate purchase levels required for the warrants to vest and the then-current fair value of the related unvested warrants. To the extent that our projections change in the future as to the number of warrants that will vest, a cumulative catch-up adjustment will be recorded in the period in which our estimates change. At June 30, 2016, none of the warrants had vested.</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the warrants is determined using the Black-Scholes option pricing model. The assumptions we utilized and the resulting fair value of the warrants were the following:</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93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$35.88</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$71.16</w:t>
            </w:r>
          </w:p>
        </w:tc>
      </w:tr>
      <w:tr>
        <w:trPr>
          <w:trHeight w:val="27"/>
        </w:trPr>
        <w:tc>
          <w:tcPr>
            <w:tcW w:w="9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1.22%</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41.17%</w:t>
            </w:r>
          </w:p>
        </w:tc>
      </w:tr>
      <w:tr>
        <w:trPr>
          <w:trHeight w:val="27"/>
        </w:trPr>
        <w:tc>
          <w:tcPr>
            <w:tcW w:w="9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6.50</w:t>
            </w:r>
          </w:p>
        </w:tc>
      </w:tr>
      <w:tr>
        <w:trPr>
          <w:trHeight w:val="27"/>
        </w:trPr>
        <w:tc>
          <w:tcPr>
            <w:tcW w:w="93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three and six months ended June 30, 2016, we recorded $1.2 million and $2.1 million, respectively, as a reduction to net sales in connection with the common stock warrants. The aggregate unrecognized estimated fair value of unvested warrants at June 30, 2016 was $24.0 million.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1,105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286</w:t>
            </w:r>
          </w:p>
        </w:tc>
      </w:tr>
      <w:tr>
        <w:trPr>
          <w:trHeight w:val="27"/>
        </w:trPr>
        <w:tc>
          <w:tcPr>
            <w:tcW w:w="5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2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04"/>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13,564</w:t>
            </w:r>
          </w:p>
        </w:tc>
      </w:tr>
      <w:tr>
        <w:trPr>
          <w:trHeight w:val="257"/>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15,819</w:t>
            </w:r>
          </w:p>
        </w:tc>
      </w:tr>
      <w:tr>
        <w:trPr>
          <w:trHeight w:val="297"/>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0.86</w:t>
            </w:r>
          </w:p>
        </w:tc>
      </w:tr>
      <w:tr>
        <w:trPr>
          <w:trHeight w:val="284"/>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13,564</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6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14,440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14,406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15,819</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16,136</w:t>
            </w:r>
          </w:p>
        </w:tc>
      </w:tr>
      <w:tr>
        <w:trPr>
          <w:trHeight w:val="27"/>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352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w:t>
            </w:r>
          </w:p>
        </w:tc>
      </w:tr>
      <w:tr>
        <w:trPr>
          <w:trHeight w:val="486"/>
        </w:trPr>
        <w:tc>
          <w:tcPr>
            <w:tcW w:w="3580" w:type="dxa"/>
            <w:vAlign w:val="bottom"/>
          </w:tcPr>
          <w:p>
            <w:pPr>
              <w:spacing w:after="0"/>
              <w:rPr>
                <w:sz w:val="24"/>
                <w:szCs w:val="24"/>
                <w:color w:val="auto"/>
              </w:rPr>
            </w:pPr>
          </w:p>
        </w:tc>
        <w:tc>
          <w:tcPr>
            <w:tcW w:w="230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360"/>
          </w:cols>
          <w:pgMar w:left="240" w:top="118" w:right="2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Equity and Noncontrolling Interest</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common stock outstanding, treasury stock and the total carrying amount of Universal Electronics Inc. stockholders’ equity, stockholders’ equity attributable to noncontrolling interest and total stockholders' equity for the six months ended June 30, 2016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300" w:type="dxa"/>
            <w:vAlign w:val="bottom"/>
            <w:gridSpan w:val="4"/>
          </w:tcPr>
          <w:p>
            <w:pPr>
              <w:ind w:left="9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93"/>
              <w:spacing w:after="0" w:line="153" w:lineRule="exact"/>
              <w:rPr>
                <w:sz w:val="20"/>
                <w:szCs w:val="20"/>
                <w:color w:val="auto"/>
              </w:rPr>
            </w:pPr>
            <w:r>
              <w:rPr>
                <w:rFonts w:ascii="Arial" w:cs="Arial" w:eastAsia="Arial" w:hAnsi="Arial"/>
                <w:sz w:val="14"/>
                <w:szCs w:val="14"/>
                <w:b w:val="1"/>
                <w:bCs w:val="1"/>
                <w:color w:val="auto"/>
              </w:rPr>
              <w:t>Universal</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Treasury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94"/>
              </w:rPr>
              <w:t>Electronics Inc.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Stockholders' Equity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Shares issued for employee benefit plan and compensation</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shares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Directors</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Employee and director 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Tax benefit from exercise of non-qualified stock options and vested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Performance-based warrant 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Deconsolidation of Encore Controls LLC (Note 19)</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23,331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274,765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Japanese Yen and Mexican Peso.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June 30, 2016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2015</w:t>
            </w:r>
          </w:p>
        </w:tc>
        <w:tc>
          <w:tcPr>
            <w:tcW w:w="8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(1,146)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$0.5 million and $0.2 million for the three months ended June 30, 2016 and 2015, respectively. For the six months ended June 30, 2016 and 2015, we had a net pre-tax loss of $0.7 million and a net pre-tax gain of $0.9 million, respectively (see Note 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22, 2016</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6.7391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July 15,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2016</w:t>
            </w:r>
          </w:p>
        </w:tc>
        <w:tc>
          <w:tcPr>
            <w:tcW w:w="0" w:type="dxa"/>
            <w:vAlign w:val="bottom"/>
          </w:tcPr>
          <w:p>
            <w:pPr>
              <w:spacing w:after="0"/>
              <w:rPr>
                <w:sz w:val="1"/>
                <w:szCs w:val="1"/>
                <w:color w:val="auto"/>
              </w:rPr>
            </w:pPr>
          </w:p>
        </w:tc>
      </w:tr>
      <w:tr>
        <w:trPr>
          <w:trHeight w:val="324"/>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22, 2016</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6.2565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Brazilian Real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3.9503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80" w:hanging="328"/>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purchase price of $24.1 million was comprised of $12.9 million in cash, and $11.2 million of contingent consideration. Additionally, we incurred $0.2 million in acquisition costs, consisting primarily of legal and accounting expenses, which were recorded within selling, general and administrative expenses for the year ended December 31, 2015. The acquisition of these assets will allow us to extend our product offerings to include home security and automation products previously marketed by Ecolink and to sell these products to our existing customers.</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acquisition, management determined that we were the primary beneficiary of Encore due to our ability to direct the activities that most significantly impacted the economic performance of Encore, and thus we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2016, we sold our ownership interest in Encore to Encore’s noncontrolling interest holder in exchange for full rights and ownership of Encore’s patents and developed technology as well as the noncontrolling interest’s portion of certain of Encore’s tangible net assets. Additionally, as a condition of the sale of our ownership interest in Encore, we agreed to grant a royalty-free license to Encore for the use of Encore’s developed technology and patents in connection with selling specific products to specific customers. As a result of this transaction, we no longer have any involvement with Encore other than the granting of this limited license. Upon deconsolidation, we recorded a gain of $65 thousand, based on the difference between the fair value of the net assets received and our ownership interest in Encore. This gain is presented in our consolidated income statement within other income (expense), net for the three and six months ended June 30, 2016.</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income statement for the three months ended June 30, 2016 includes net sales of $1.9 million and a net loss of $52 thousand attributable to Ecolink. Our consolidated income statement for the six months ended June 30, 2016 includes net sales of $2.8 million and a net loss of $0.6 million attributable to Ecolink.</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required to make additional earnout payments upon the achievement of certain operating income levels attributable to Ecolink over each of the next 5 years. The amount of contingent consideration has no upper limit and is calculated at the end of each calendar year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2015 the fair value of the earnout contingent consideration was $11.8 million. The fair value of the earnout contingent consideration decreased $0.7 million and $0.8 million during the three and six months ended June 30, 2016, respectively, primarily to reflect adjustments to the timing of earnout payments and the related accretion driven by the time value of money. These adjustments were recorded within selling, general and administrative expenses. The fair value of the earnout contingent consideration at June 30, 2016 was $11.0 million. The fair value of earnout contingent consideration is presented as long term contingent consideration in our consolidated 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7"/>
              </w:rPr>
              <w:t>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7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0" w:type="dxa"/>
            <w:vAlign w:val="bottom"/>
            <w:tcBorders>
              <w:bottom w:val="single" w:sz="8" w:color="CCEEFF"/>
            </w:tcBorders>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89"/>
              </w:rPr>
              <w:t>4-14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5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Encore</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7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12,949</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Ecolink’s trade name.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developed technology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Ecolink as if this transaction had occurred on January 1, 2014. This unaudited pro forma financial information is not intended to represent or be indicative of the consolidated results of operations that would have been achieved had the acquisition actually been completed as of January 1, 2014, and should not be taken as a projection of the future consolidated results of our operations.</w:t>
      </w: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321,644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283,371</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6,621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9,410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13,303</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13,243</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0.84</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0.82</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purposes of determining pro forma net income attributable to Universal Electronics Inc., adjustments were made to each period presented in the table above. Pro forma net income and pro forma net income attributable to Universal Electronics Inc. assume that amortization of acquired intangible assets and of fair value adjustments related to inventories began at January 1, 2014 rather than on September 1, 2015. The result is a net decrease in amortization expense of $38 thousand and $0.1 million for the three and six months ended June 30, 2016, respectively, and a net increase in amortization expense of $0.5 million and $1.0 million for the three and six months ended June 30, 2015, respectively. Additionally, acquisition costs totaling $0.2 million are excluded from pro forma net income and pro forma net income attributable to Universal Electronics Inc. All adjustments have been made net of their related tax effects.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and manufacture a broad line of pre-programmed universal remote control products, AV accessories, software and intelligent wireless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959,000 individual device functions and approximately 7,700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developed a comprehensive patent portfolio of 380 pending and issued patents related to remote controls and home automation.</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as one business segment. We have twenty-two international subsidiaries located in Argentina, Brazil, British Virgin Islands, Cayman Islands, France, Germany, Hong Kong (3), India, Italy, Japan, Mexico, the Netherlands, People's Republic of China (5),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2016:</w:t>
      </w:r>
    </w:p>
    <w:p>
      <w:pPr>
        <w:spacing w:after="0" w:line="63"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increased 15.9% to $171.0 million for the three months ended June 30, 2016 from $147.6 million for the three months ended June 30, 2015.</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margin percentage decreased from 27.3% for the three months ended June 30, 2015 to 25.4% for the three months ended June 30, 2016.</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as a percent of net sales, increased from 20.3% for the three months ended June 30, 2015 to 20.7% for the three months ended June 30, 2016.</w:t>
      </w:r>
    </w:p>
    <w:p>
      <w:pPr>
        <w:spacing w:after="0" w:line="8"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income decreased from $10.4 million for the three months ended June 30, 2015 to $8.0 million for the three months ended June 30, 2016, and our operating margin percentage decreased from 7.0% for the three months ended June 30, 2015 to 4.7% for the three months ended June 30, 2016.</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effective tax rate increased to 21.3% for the three months ended June 30, 2016, compared to 20.7% for the three months ended June 30,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2016 include the following:</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The critical accounting policy below supplements the items that we disclosed as our critical accounting policies and estimates in Item 7, "Management's Discussion and Analysis of Financial Condition and Results of Operations" contained in our Annual Report on Form 10-K for our fiscal year ended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To the extent that our projections change in the future as to the number of warrants that will vest, a cumulative catch-up adjustment will be recorded in the period in which our estimates change.</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and expected life in years.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7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74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90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72.3</w:t>
            </w:r>
          </w:p>
        </w:tc>
      </w:tr>
      <w:tr>
        <w:trPr>
          <w:trHeight w:val="27"/>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3.0</w:t>
            </w:r>
          </w:p>
        </w:tc>
      </w:tr>
      <w:tr>
        <w:trPr>
          <w:trHeight w:val="27"/>
        </w:trPr>
        <w:tc>
          <w:tcPr>
            <w:tcW w:w="5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5.9</w:t>
            </w:r>
          </w:p>
        </w:tc>
      </w:tr>
      <w:tr>
        <w:trPr>
          <w:trHeight w:val="27"/>
        </w:trPr>
        <w:tc>
          <w:tcPr>
            <w:tcW w:w="5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0.1</w:t>
            </w:r>
          </w:p>
        </w:tc>
      </w:tr>
      <w:tr>
        <w:trPr>
          <w:trHeight w:val="27"/>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w:t>
            </w:r>
          </w:p>
        </w:tc>
      </w:tr>
      <w:tr>
        <w:trPr>
          <w:trHeight w:val="27"/>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Three Months Ended June 30, 2015</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June 30, 2016 were $171.0 million, an increase of 15.9% compared to $147.6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8.2</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92.7% of net sales for the three months ended June 30, 2016 compared to 91.8% for the three months ended June 30, 2015. Net sales in our Business lines for the three months ended June 30, 2016 increased by 17.0% to $158.5 million from $135.5 million driven primarily by strong demand and increased market share with North American subscription broadcasters as more customers transition from lower end platforms to higher end platforms. Partially offsetting this increase was a decrease in net sales to consumer electronics companies in Asia.</w:t>
      </w:r>
    </w:p>
    <w:p>
      <w:pPr>
        <w:spacing w:after="0" w:line="13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7.3% of net sales for the three months ended June 30, 2016 compared to 8.2% for the three months ended June 30, 2015. Net sales in our Consumer lines for the three months ended June 30, 2016 increased by 3.3% to $12.5 million from $12.1 million in the three months ended June 30, 2015. This increase was driven mainly by stronger demand for our accessory products in Europe, partially offset by decreased sales in Latin America.</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June 30, 2016 was $43.5 million compared to $40.3 million for the three months ended June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 of sales decreased to 25.4% for the three months ended June 30, 2016 compared to 27.3% for the three months ended June 30, 2015. The gross margin percentage was unfavorably impacted by an increase in sales to certain large customers that yield a lower gross margin rate than our company average, the weakening of the Euro and British Pound relative to the U.S. Dollar, and a decrease in royalty revenue associated with the TV and mobile device markets. The impact of these unfavorable items was partially offset by the weakening of the Chinese Yuan Renminbi relative to the U.S. Dollar.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25.8% to $5.2 million for the three months ended June 30, 2016 from $4.1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2015 as we continue to develop new product offerings in existing categories as well as new categories such as the home security channel.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17.7% to $30.3 million for the three months ended June 30, 2016 from</w:t>
      </w:r>
      <w:r>
        <w:rPr>
          <w:rFonts w:ascii="Arial" w:cs="Arial" w:eastAsia="Arial" w:hAnsi="Arial"/>
          <w:sz w:val="17"/>
          <w:szCs w:val="17"/>
          <w:i w:val="1"/>
          <w:iCs w:val="1"/>
          <w:color w:val="auto"/>
        </w:rPr>
        <w:t xml:space="preserve"> </w:t>
      </w:r>
      <w:r>
        <w:rPr>
          <w:rFonts w:ascii="Arial" w:cs="Arial" w:eastAsia="Arial" w:hAnsi="Arial"/>
          <w:sz w:val="17"/>
          <w:szCs w:val="17"/>
          <w:color w:val="auto"/>
        </w:rPr>
        <w:t>$25.8 million for the three months ended June 30, 2015. This increase was driven in part by increased legal fees and the recording of a $2.0 million legal settlement related to a patent litigation lawsuit. In addition, payroll costs increased as a result of additional headcount required to support product development efforts and additional headcount related to our August 2015 acquisition of Ecolink Intelligent Technology, Inc.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$0.3 million for the three months ended June 30, 2016 compared to net interest income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2015 as a result of borrowings on our line of credit over the last 12 months.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$0.7 million for the three months ended June 30, 2016 compared to net other income of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2015. This change was driven primarily by foreign currency gains associated with fluctuations in the Chinese Yuan Renminbi exchange rate versus the U.S. dollar.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$1.8 million for the three months ended June 30, 2016 compared to $2.2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 Our effective tax rate was 21.3% for the three months ended June 30, 2016 compared to 20.7% for the three months ended June 30,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Six Months Ended June 30, 2015</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six months ended June 30, 2016 were $321.6 million, an increase of 14.8% compared to $280.3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Net sales by our Business and Consumer lines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8.3</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93.0% of net sales for the six months ended June 30, 2016 compared to 91.7% for the six months ended June 30, 2015. Net sales in our Business lines for the six months ended June 30, 2016 increased by 16.4% to $299.1 million from $257.0 million driven primarily by strong demand and increased market share with North American subscription broadcasters as more customers transition from lower end platforms to higher end platforms. Partially offsetting this increase was a decrease in net sales to consumer electronics companies in Asia.</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and private label) were 7.0% of net sales for the six months ended June 30, 2016 compared to 8.3% for the six months ended June 30, 2015. Net sales in our Consumer lines for the six months ended June 30, 2016 decreased by 3.4% to $22.5 million from $23.3 million in the six months ended June 30, 2015. This decrease was mainly due to decreased sales in the Latin American market.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2016 was $81.1 million compared to $77.7 million for the six months ended June 30, 2015.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as a percent of sales decreased to 25.2% for the six months ended June 30, 2016 compared to 27.7% for the six months ended June 30, 2015. The gross margin percentage was unfavorably impacted by an increase in sales to certain large customers that yield a lower gross margin rate than our company average and a decrease in royalty revenue associated with the TV and mobile device markets. The impact of these unfavorable items was partially offset by the weakening of the Chinese Yuan Renminbi relative to the U.S. Dollar.</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21.2% to $10.3 million for six months ended June 30, 2016 from $8.5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as we continue to develop new product offerings in existing categories as well as new categories such as the home security channel.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13.5% to $59.8 million for the six months ended June 30, 2016 from $52.7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This increase was driven primarily by the recording of a $2.0 million legal settlement related to a patent litigation lawsuit, increased payroll costs and severance costs associated with a factory transition. Payroll costs increased as a result of additional headcount required to support product development efforts as well as additional headcount related to our August 2015 acquisition of Ecolink Intelligent Technology, Inc. Severance costs were incurred related to the transitioning of certain manufacturing activities from our higher cost factory located in southern China to our lower cost factories located in other regions within China. We expect this transition to continue over the next 12-18 months. These increases were partially offset by the weakening of the Chinese Yuan Renminbi and Brazilian Real versus the U.S. Dollar.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$0.5 million for the six months ended June 30, 2016 compared to net interest income of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2015 as a result of borrowings on our line of credit over the last 12 months.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$1.4 million for the six months ended June 30, 2016 compared to net other income of $0.3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2015. This change was driven primarily by foreign currency gains associated with fluctuations in the Chinese Yuan Renminbi exchange rate versus the U.S. dollar, partially offset by foreign currency losses in the current year period associated with fluctuations in the foreign currency exchange rate related to the Euro versus the U.S. dollar.</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$2.5 million for the six months ended June 30, 2016 compared to $3.4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Our effective tax rate was 21.3% for the six months ended June 30, 2016 compared to 20.2% for the six months ended June 30, 2015. Our effective tax rate was lower in the prior year primarily due to the recording of a $0.5 million tax refund related to tax incentives in China for the years 2012 through 2014. This impact was partially offset by the exclusion of the estimated benefit of the federal R&amp;D tax credit in our prior year estimated tax rate as a result of the federal tax credit for 2015 not having been passed as of 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 2016</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52,966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10,423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100,200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was $23.3 million during the six months ended June 30, 2016 compared to $5.9 million of cash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during the six months ended June 30, 2015. The increase in net cash provided by operating activities was primarily due to working capital needs associated with inventories. Our inventory turns improved to 4.3 turns at June 30, 2016, compared to 4.1 turns at June 30, 2015, primarily as a result of more tightly managed inventory levels in the current year. Additionally, we made a strategic purchase of resin in the prior year period to take advantage of attractive pricing as we typically do when we see the opportunity to obtain favorable pricing on commonly used raw materials and components.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2016 was $18.9 million compared to $16.9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with both periods consisting of investments in property, plant and equipment as well as internally developed patents. We have increased our investment in machinery and equipment over the past two years in order to meet the increased demand for our advanced remote controls. In addition, we are increasing the amount of automation in our factories in an effort to mitigate the rising cost of labor in China. Based on our current projections, we anticipate that property, plant and equipment purchases in 2016 will total between $27 and $29 million as we continue to invest in manufacturing automation as well as implement a new ERP system in Asia and North America.</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was $5.4 million during the six months ended June 30, 2016 compared to net cash used for financing activities of $19.9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six months ended June 30, 2015. The decrease in cash used for financing activities was driven primarily by a decrease of $32.4 million in treasury stock purchases. This decrease was partly offset by borrowing activity on our line of credit. During the current year period, we made net payments of $7.0 million on our line of credit, compared to net borrowings on our line of credit of $12.0 million in the prior year period.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2016, we repurchased 36,329 shares of our common stock at a cost of $1.9 million compared to our repurchase of 648,708 shares at a cost of $34.3 million during the six months ended June 30, 2015. We hold these shares as treasury stock and they are available for reissue. Presently, we have no plans to distribute these shares, although we may change these plans if necessary to fulfill our on-going business objectives.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June 30, 2016, we had 375,000 shares available for repurchase on the open market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9"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 Intelligent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 of the net assets of Ecolink Intelligent Technology, Inc.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4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49,445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52,966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1620" w:type="dxa"/>
            <w:vAlign w:val="bottom"/>
          </w:tcPr>
          <w:p>
            <w:pPr>
              <w:jc w:val="right"/>
              <w:ind w:right="14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42,000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34,987</w:t>
            </w: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30, 2016, we had $6.5 million, $22.4 million, $4.5 million, $11.7 million and $4.3 million of cash and cash equivalents in the United States, the People's Republic of China ("PRC"), Asia (excluding the PRC), Europe, and South America, respectively. On December 31, 2015, we had $8.5 million, $28.7 million, $5.3 million, $8.1 million, and $2.4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On November 10, 2015, we entered into the Third Amendment to the Amended Credit Agreement in which the Credit Line was increased to $85.0 million. Amounts available for borrowing under the Credit Line are reduced by the balance of any outstanding letters of credit, of which there were $13 thousand at June 30, 2016.</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June 30, 2016 was 1.71%. There are no commitment fees or unused line fees under the Amended Credit Agreement.</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June 30, 2016,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we had an outstanding balance of $43.0 million on our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2015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factory production capacity on a timely basis; and other factors listed from time to time in our press releases and filings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an approximately $0.3 million annual impact on net income based on our outstanding line of credit balance at June 30, 2016.</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June 30, 2016 we had wholly-owned subsidiaries in Argentina, Brazil,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2016, we believe that movements in foreign currency rates may have a material effect on our financial position and results of operations. We estimate that if the exchange rates for the Chinese Yuan Renminbi, Euro, British Pound, Argentinian Peso, Mexican Peso, Brazilian Real and Indian Rupee relative to the U.S. Dollar fluctuate 10% from June 30, 2016, net income in the third quarter of 2016 would fluctuate by approximately $10.3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1A: Risk Factors" of the Company's 2015 Annual Report on Form 10-K incorporated herein by reference. These factors may cause our actual results to differ materially from those stated in forward-looking statements contained in this document and elsewhere.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June 30, 2016, we repurchased 3,395 shares of our issued and outstanding common stock for $0.2 million. We make stock repurchases under ongoing and systematic programs approved by our Board of Directors to manage the dilution created by shares issued under our stock incentive plans or when we deem a repurchase is a good use of our cash and the price to be paid is at or below a threshold approved by our Board from time to time. On June 30, 2016, we had 375,000 shares available for repurchase on the open market under the Board's authorizations. Shares may also be tendered by employees to satisfy tax withholding obligations in connection with the vesting of restricted stock.</w:t>
      </w:r>
    </w:p>
    <w:p>
      <w:pPr>
        <w:spacing w:after="0" w:line="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2016,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2016 - April 30,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May 1, 2016 - May 31,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2016 - June 30,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Of the repurchases in April, May and June, 187, 2,604 and 604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Company may purchase shares from time to time in open market purchases or privately negotiated transactions. The Company may make all or part of the purchases pursuant to accelerated share repurchases or Rule 10b5-1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180"/>
          </w:cols>
          <w:pgMar w:left="240" w:top="118" w:right="4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w w:val="92"/>
              </w:rPr>
              <w:t>Dated:August 8, 2016</w:t>
            </w: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740" w:type="dxa"/>
            <w:vAlign w:val="bottom"/>
          </w:tcPr>
          <w:p>
            <w:pPr>
              <w:spacing w:after="0"/>
              <w:rPr>
                <w:sz w:val="24"/>
                <w:szCs w:val="24"/>
                <w:color w:val="auto"/>
              </w:rPr>
            </w:pPr>
          </w:p>
        </w:tc>
        <w:tc>
          <w:tcPr>
            <w:tcW w:w="250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7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740" w:type="dxa"/>
            <w:vAlign w:val="bottom"/>
          </w:tcPr>
          <w:p>
            <w:pPr>
              <w:spacing w:after="0"/>
              <w:rPr>
                <w:sz w:val="24"/>
                <w:szCs w:val="24"/>
                <w:color w:val="auto"/>
              </w:rPr>
            </w:pPr>
          </w:p>
        </w:tc>
        <w:tc>
          <w:tcPr>
            <w:tcW w:w="2500" w:type="dxa"/>
            <w:vAlign w:val="bottom"/>
          </w:tcPr>
          <w:p>
            <w:pPr>
              <w:ind w:left="1840"/>
              <w:spacing w:after="0"/>
              <w:rPr>
                <w:sz w:val="20"/>
                <w:szCs w:val="20"/>
                <w:color w:val="auto"/>
              </w:rPr>
            </w:pPr>
            <w:r>
              <w:rPr>
                <w:rFonts w:ascii="Arial" w:cs="Arial" w:eastAsia="Arial" w:hAnsi="Arial"/>
                <w:sz w:val="18"/>
                <w:szCs w:val="18"/>
                <w:color w:val="auto"/>
              </w:rPr>
              <w:t>35</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18"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2019-12-29T11:07:03Z</dcterms:created>
  <dcterms:modified xsi:type="dcterms:W3CDTF">2019-12-29T11:07:03Z</dcterms:modified>
</cp:coreProperties>
</file>