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8" w:lineRule="auto"/>
        <w:rPr>
          <w:sz w:val="20"/>
          <w:szCs w:val="20"/>
          <w:color w:val="auto"/>
        </w:rPr>
      </w:pPr>
      <w:r>
        <w:rPr>
          <w:rFonts w:ascii="Arial" w:cs="Arial" w:eastAsia="Arial" w:hAnsi="Arial"/>
          <w:sz w:val="22"/>
          <w:szCs w:val="22"/>
          <w:b w:val="1"/>
          <w:bCs w:val="1"/>
          <w:color w:val="auto"/>
        </w:rPr>
        <w:t>WASHINGTON, D.C. 20549</w:t>
      </w:r>
    </w:p>
    <w:p>
      <w:pPr>
        <w:ind w:left="4300"/>
        <w:spacing w:after="0"/>
        <w:rPr>
          <w:sz w:val="20"/>
          <w:szCs w:val="20"/>
          <w:color w:val="auto"/>
        </w:rPr>
      </w:pPr>
      <w:r>
        <w:rPr>
          <w:rFonts w:ascii="Arial" w:cs="Arial" w:eastAsia="Arial" w:hAnsi="Arial"/>
          <w:sz w:val="14"/>
          <w:szCs w:val="14"/>
          <w:color w:val="auto"/>
        </w:rPr>
        <w:t>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ind w:left="43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2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2019</w:t>
      </w:r>
    </w:p>
    <w:p>
      <w:pPr>
        <w:spacing w:after="0" w:line="58"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p>
      <w:pPr>
        <w:ind w:left="238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33-0204817</w:t>
      </w:r>
    </w:p>
    <w:p>
      <w:pPr>
        <w:spacing w:after="0" w:line="59" w:lineRule="exact"/>
        <w:rPr>
          <w:sz w:val="24"/>
          <w:szCs w:val="24"/>
          <w:color w:val="auto"/>
        </w:rPr>
      </w:pPr>
    </w:p>
    <w:p>
      <w:pPr>
        <w:ind w:left="1820"/>
        <w:spacing w:after="0"/>
        <w:tabs>
          <w:tab w:leader="none" w:pos="81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780"/>
        <w:spacing w:after="0"/>
        <w:tabs>
          <w:tab w:leader="none" w:pos="81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5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15147 N. Scottsdale Road, Suite H300</w:t>
      </w:r>
    </w:p>
    <w:p>
      <w:pPr>
        <w:spacing w:after="0" w:line="27" w:lineRule="exact"/>
        <w:rPr>
          <w:sz w:val="24"/>
          <w:szCs w:val="24"/>
          <w:color w:val="auto"/>
        </w:rPr>
      </w:pPr>
    </w:p>
    <w:p>
      <w:pPr>
        <w:ind w:left="2000"/>
        <w:spacing w:after="0"/>
        <w:tabs>
          <w:tab w:leader="none" w:pos="8240" w:val="left"/>
        </w:tabs>
        <w:rPr>
          <w:sz w:val="20"/>
          <w:szCs w:val="20"/>
          <w:color w:val="auto"/>
        </w:rPr>
      </w:pPr>
      <w:r>
        <w:rPr>
          <w:rFonts w:ascii="Arial" w:cs="Arial" w:eastAsia="Arial" w:hAnsi="Arial"/>
          <w:sz w:val="18"/>
          <w:szCs w:val="18"/>
          <w:b w:val="1"/>
          <w:bCs w:val="1"/>
          <w:color w:val="auto"/>
        </w:rPr>
        <w:t>Scottsdale, Arizona</w:t>
      </w:r>
      <w:r>
        <w:rPr>
          <w:sz w:val="20"/>
          <w:szCs w:val="20"/>
          <w:color w:val="auto"/>
        </w:rPr>
        <w:tab/>
      </w:r>
      <w:r>
        <w:rPr>
          <w:rFonts w:ascii="Arial" w:cs="Arial" w:eastAsia="Arial" w:hAnsi="Arial"/>
          <w:sz w:val="16"/>
          <w:szCs w:val="16"/>
          <w:b w:val="1"/>
          <w:bCs w:val="1"/>
          <w:color w:val="auto"/>
        </w:rPr>
        <w:t>85254-2494</w:t>
      </w:r>
    </w:p>
    <w:p>
      <w:pPr>
        <w:spacing w:after="0" w:line="40" w:lineRule="exact"/>
        <w:rPr>
          <w:sz w:val="24"/>
          <w:szCs w:val="24"/>
          <w:color w:val="auto"/>
        </w:rPr>
      </w:pPr>
    </w:p>
    <w:p>
      <w:pPr>
        <w:ind w:left="1520"/>
        <w:spacing w:after="0"/>
        <w:tabs>
          <w:tab w:leader="none" w:pos="834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530-3000</w:t>
      </w:r>
    </w:p>
    <w:p>
      <w:pPr>
        <w:spacing w:after="0" w:line="36" w:lineRule="exact"/>
        <w:rPr>
          <w:sz w:val="24"/>
          <w:szCs w:val="24"/>
          <w:color w:val="auto"/>
        </w:rPr>
      </w:pPr>
    </w:p>
    <w:p>
      <w:pPr>
        <w:ind w:left="4480"/>
        <w:spacing w:after="0"/>
        <w:rPr>
          <w:sz w:val="20"/>
          <w:szCs w:val="20"/>
          <w:color w:val="auto"/>
        </w:rPr>
      </w:pPr>
      <w:r>
        <w:rPr>
          <w:rFonts w:ascii="Arial" w:cs="Arial" w:eastAsia="Arial" w:hAnsi="Arial"/>
          <w:sz w:val="14"/>
          <w:szCs w:val="14"/>
          <w:color w:val="auto"/>
        </w:rPr>
        <w:t>__________________________________</w:t>
      </w:r>
    </w:p>
    <w:p>
      <w:pPr>
        <w:spacing w:after="0" w:line="3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3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4"/>
          <w:szCs w:val="24"/>
          <w:color w:val="auto"/>
        </w:rPr>
      </w:pPr>
    </w:p>
    <w:p>
      <w:pPr>
        <w:ind w:left="40"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sectPr>
          <w:pgSz w:w="11900" w:h="16838" w:orient="portrait"/>
          <w:cols w:equalWidth="0" w:num="1">
            <w:col w:w="11440"/>
          </w:cols>
          <w:pgMar w:left="240" w:top="287" w:right="219" w:bottom="1440" w:gutter="0" w:footer="0" w:header="0"/>
        </w:sectPr>
      </w:pPr>
    </w:p>
    <w:p>
      <w:pPr>
        <w:ind w:right="36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13,859,401 shares of Common Stock, par value $0.01 per share, of the registrant were outstanding on May 6, 2019.</w:t>
      </w:r>
    </w:p>
    <w:p>
      <w:pPr>
        <w:sectPr>
          <w:pgSz w:w="11900" w:h="16838" w:orient="portrait"/>
          <w:cols w:equalWidth="0" w:num="1">
            <w:col w:w="11440"/>
          </w:cols>
          <w:pgMar w:left="240" w:top="287"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rPr>
              <w:t>UNIVERSAL ELECTRONICS INC.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40" w:type="dxa"/>
            <w:vAlign w:val="bottom"/>
            <w:gridSpan w:val="8"/>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04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5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6460" w:type="dxa"/>
            <w:vAlign w:val="bottom"/>
            <w:gridSpan w:val="4"/>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28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w:t>
              </w:r>
            </w:hyperlink>
          </w:p>
        </w:tc>
        <w:tc>
          <w:tcPr>
            <w:tcW w:w="7360" w:type="dxa"/>
            <w:vAlign w:val="bottom"/>
            <w:gridSpan w:val="9"/>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240" w:type="dxa"/>
            <w:vAlign w:val="bottom"/>
          </w:tcPr>
          <w:p>
            <w:pPr>
              <w:spacing w:after="0"/>
              <w:rPr>
                <w:sz w:val="21"/>
                <w:szCs w:val="21"/>
                <w:color w:val="auto"/>
              </w:rPr>
            </w:pPr>
          </w:p>
        </w:tc>
        <w:tc>
          <w:tcPr>
            <w:tcW w:w="101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(Loss)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404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w:t>
              </w:r>
            </w:hyperlink>
          </w:p>
        </w:tc>
        <w:tc>
          <w:tcPr>
            <w:tcW w:w="6140" w:type="dxa"/>
            <w:vAlign w:val="bottom"/>
            <w:gridSpan w:val="3"/>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3520" w:type="dxa"/>
            <w:vAlign w:val="bottom"/>
            <w:tcBorders>
              <w:top w:val="single" w:sz="8" w:color="0000EE"/>
            </w:tcBorders>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6660" w:type="dxa"/>
            <w:vAlign w:val="bottom"/>
            <w:gridSpan w:val="5"/>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 Management's Discussion and Analysis of Financial Condition and Results of Operations</w:t>
              </w:r>
            </w:hyperlink>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55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Item 4. Controls and Procedures</w:t>
              </w:r>
            </w:hyperlink>
          </w:p>
        </w:tc>
        <w:tc>
          <w:tcPr>
            <w:tcW w:w="2580" w:type="dxa"/>
            <w:vAlign w:val="bottom"/>
            <w:gridSpan w:val="10"/>
          </w:tcPr>
          <w:p>
            <w:pPr>
              <w:spacing w:after="0"/>
              <w:rPr>
                <w:sz w:val="21"/>
                <w:szCs w:val="21"/>
                <w:color w:val="auto"/>
              </w:rPr>
            </w:pPr>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2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7660" w:type="dxa"/>
            <w:vAlign w:val="bottom"/>
            <w:gridSpan w:val="10"/>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8540" w:type="dxa"/>
            <w:vAlign w:val="bottom"/>
            <w:gridSpan w:val="13"/>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2. Unregistered Sales of Equity Securities and Use of Proceeds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60" w:type="dxa"/>
            <w:vAlign w:val="bottom"/>
            <w:gridSpan w:val="13"/>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9280" w:type="dxa"/>
            <w:vAlign w:val="bottom"/>
            <w:gridSpan w:val="15"/>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40"/>
          </w:cols>
          <w:pgMar w:left="280" w:top="364" w:right="6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158,071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144,689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149,966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144,350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11,638</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997</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380,453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94,036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95,840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24,370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1,833</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4,615</w:t>
            </w:r>
          </w:p>
        </w:tc>
      </w:tr>
      <w:tr>
        <w:trPr>
          <w:trHeight w:val="284"/>
        </w:trPr>
        <w:tc>
          <w:tcPr>
            <w:tcW w:w="76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582,355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r>
      <w:tr>
        <w:trPr>
          <w:trHeight w:val="237"/>
        </w:trPr>
        <w:tc>
          <w:tcPr>
            <w:tcW w:w="766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107,282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106,500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101,500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33,965</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9,574</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3,524</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31,669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24,011</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289,442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279,856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4,846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8,435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1,647</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w:t>
            </w: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317,183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292,636</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24,018,606 and 23,932,703 shares issued on</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March 31, 2019 and December 31, 2018, respectively</w:t>
            </w:r>
          </w:p>
        </w:tc>
        <w:tc>
          <w:tcPr>
            <w:tcW w:w="26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276,103</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8"/>
              </w:rPr>
              <w:t>Treasury stock, at cost, 10,159,205 and 10,116,459 shares on March 31, 2019 and December 31, 2018,</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(277,104)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(275,889)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281,783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282,788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262,960</w:t>
            </w:r>
          </w:p>
        </w:tc>
      </w:tr>
      <w:tr>
        <w:trPr>
          <w:trHeight w:val="231"/>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582,355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12700</wp:posOffset>
            </wp:positionV>
            <wp:extent cx="238379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184,163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164,698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144,289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127,496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37,202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6,791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30,247</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Provision for income taxes (benefit)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share: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Shares used in computing earnings (loss) per share:</w:t>
            </w: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14,087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13,827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14,087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foreign currency translation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3,646</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3,059</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120" w:type="dxa"/>
            <w:vAlign w:val="bottom"/>
            <w:gridSpan w:val="6"/>
          </w:tcPr>
          <w:p>
            <w:pPr>
              <w:ind w:left="600"/>
              <w:spacing w:after="0"/>
              <w:rPr>
                <w:sz w:val="20"/>
                <w:szCs w:val="20"/>
                <w:color w:val="auto"/>
              </w:rPr>
            </w:pPr>
            <w:r>
              <w:rPr>
                <w:rFonts w:ascii="Arial" w:cs="Arial" w:eastAsia="Arial" w:hAnsi="Arial"/>
                <w:sz w:val="13"/>
                <w:szCs w:val="13"/>
                <w:b w:val="1"/>
                <w:bCs w:val="1"/>
                <w:color w:val="auto"/>
              </w:rPr>
              <w:t>Common Stock</w:t>
            </w:r>
          </w:p>
        </w:tc>
        <w:tc>
          <w:tcPr>
            <w:tcW w:w="20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gridSpan w:val="3"/>
          </w:tcPr>
          <w:p>
            <w:pPr>
              <w:jc w:val="right"/>
              <w:ind w:right="60"/>
              <w:spacing w:after="0" w:line="144" w:lineRule="exact"/>
              <w:rPr>
                <w:sz w:val="20"/>
                <w:szCs w:val="20"/>
                <w:color w:val="auto"/>
              </w:rPr>
            </w:pPr>
            <w:r>
              <w:rPr>
                <w:rFonts w:ascii="Arial" w:cs="Arial" w:eastAsia="Arial" w:hAnsi="Arial"/>
                <w:sz w:val="13"/>
                <w:szCs w:val="13"/>
                <w:b w:val="1"/>
                <w:bCs w:val="1"/>
                <w:color w:val="auto"/>
                <w:w w:val="77"/>
              </w:rPr>
              <w:t>Issued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60"/>
              <w:spacing w:after="0" w:line="144"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7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January 1, 2018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23,760</w:t>
            </w:r>
          </w:p>
        </w:tc>
        <w:tc>
          <w:tcPr>
            <w:tcW w:w="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(9,703)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(262,065)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265,195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(16,599)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270,864</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257,633</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400" w:type="dxa"/>
            <w:vAlign w:val="bottom"/>
            <w:gridSpan w:val="3"/>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3,646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 plan and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Employee and director stock-based compensation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 - based common stock warrants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40"/>
              <w:spacing w:after="0"/>
              <w:rPr>
                <w:sz w:val="20"/>
                <w:szCs w:val="20"/>
                <w:color w:val="auto"/>
              </w:rPr>
            </w:pPr>
            <w:r>
              <w:rPr>
                <w:rFonts w:ascii="Arial" w:cs="Arial" w:eastAsia="Arial" w:hAnsi="Arial"/>
                <w:sz w:val="14"/>
                <w:szCs w:val="14"/>
                <w:color w:val="auto"/>
              </w:rPr>
              <w:t>Balance at March 31, 2018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23,830</w:t>
            </w:r>
          </w:p>
        </w:tc>
        <w:tc>
          <w:tcPr>
            <w:tcW w:w="4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(9,716)</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(262,680)</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268,645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(12,953)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270,277</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263,527</w:t>
            </w:r>
          </w:p>
        </w:tc>
        <w:tc>
          <w:tcPr>
            <w:tcW w:w="0" w:type="dxa"/>
            <w:vAlign w:val="bottom"/>
          </w:tcPr>
          <w:p>
            <w:pPr>
              <w:spacing w:after="0"/>
              <w:rPr>
                <w:sz w:val="1"/>
                <w:szCs w:val="1"/>
                <w:color w:val="auto"/>
              </w:rPr>
            </w:pPr>
          </w:p>
        </w:tc>
      </w:tr>
      <w:tr>
        <w:trPr>
          <w:trHeight w:val="100"/>
        </w:trPr>
        <w:tc>
          <w:tcPr>
            <w:tcW w:w="3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Balance at January 1, 2019</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23,933</w:t>
            </w:r>
          </w:p>
        </w:tc>
        <w:tc>
          <w:tcPr>
            <w:tcW w:w="4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(10,116)</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(275,889)</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276,103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(20,281)</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282,788</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262,960</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 plan and</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40"/>
              <w:spacing w:after="0"/>
              <w:rPr>
                <w:sz w:val="20"/>
                <w:szCs w:val="20"/>
                <w:color w:val="auto"/>
              </w:rPr>
            </w:pPr>
            <w:r>
              <w:rPr>
                <w:rFonts w:ascii="Arial" w:cs="Arial" w:eastAsia="Arial" w:hAnsi="Arial"/>
                <w:sz w:val="14"/>
                <w:szCs w:val="14"/>
                <w:color w:val="auto"/>
              </w:rPr>
              <w:t>Employee and director stock-based compensation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common stock warrants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40"/>
              <w:spacing w:after="0"/>
              <w:rPr>
                <w:sz w:val="20"/>
                <w:szCs w:val="20"/>
                <w:color w:val="auto"/>
              </w:rPr>
            </w:pPr>
            <w:r>
              <w:rPr>
                <w:rFonts w:ascii="Arial" w:cs="Arial" w:eastAsia="Arial" w:hAnsi="Arial"/>
                <w:sz w:val="14"/>
                <w:szCs w:val="14"/>
                <w:color w:val="auto"/>
              </w:rPr>
              <w:t>Balance at March 31, 2019</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24,019</w:t>
            </w:r>
          </w:p>
        </w:tc>
        <w:tc>
          <w:tcPr>
            <w:tcW w:w="4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(10,159)</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(277,104)</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278,801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(18,548)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281,783</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265,172</w:t>
            </w:r>
          </w:p>
        </w:tc>
        <w:tc>
          <w:tcPr>
            <w:tcW w:w="0" w:type="dxa"/>
            <w:vAlign w:val="bottom"/>
          </w:tcPr>
          <w:p>
            <w:pPr>
              <w:spacing w:after="0"/>
              <w:rPr>
                <w:sz w:val="1"/>
                <w:szCs w:val="1"/>
                <w:color w:val="auto"/>
              </w:rPr>
            </w:pPr>
          </w:p>
        </w:tc>
      </w:tr>
      <w:tr>
        <w:trPr>
          <w:trHeight w:val="60"/>
        </w:trPr>
        <w:tc>
          <w:tcPr>
            <w:tcW w:w="3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13"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operating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(loss) to net cash provided by (used for) operating activities: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8,019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8,243</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2,537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756</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336</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w:t>
            </w: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Performance-based common stock warrants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471</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Accounts receivable and contract assets</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9"/>
              </w:rPr>
              <w:t>(14,056)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Inventories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w:t>
            </w: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(21,160)</w:t>
            </w:r>
          </w:p>
        </w:tc>
      </w:tr>
      <w:tr>
        <w:trPr>
          <w:trHeight w:val="264"/>
        </w:trPr>
        <w:tc>
          <w:tcPr>
            <w:tcW w:w="8120" w:type="dxa"/>
            <w:vAlign w:val="bottom"/>
            <w:tcBorders>
              <w:bottom w:val="single" w:sz="8" w:color="CCEEFF"/>
            </w:tcBorders>
          </w:tcPr>
          <w:p>
            <w:pPr>
              <w:ind w:left="1260"/>
              <w:spacing w:after="0"/>
              <w:rPr>
                <w:sz w:val="20"/>
                <w:szCs w:val="20"/>
                <w:color w:val="auto"/>
              </w:rPr>
            </w:pPr>
            <w:r>
              <w:rPr>
                <w:rFonts w:ascii="Arial" w:cs="Arial" w:eastAsia="Arial" w:hAnsi="Arial"/>
                <w:sz w:val="14"/>
                <w:szCs w:val="14"/>
                <w:color w:val="auto"/>
              </w:rPr>
              <w:t>Accrued income taxes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operating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(11,943)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Cash provided by (used for) investing activities: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(9,314)</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Acquisitions of intangible assets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r>
      <w:tr>
        <w:trPr>
          <w:trHeight w:val="202"/>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investing activities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Cash provided by (used for) financing activities: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line of credit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13,000</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Repayments on line of credit</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9"/>
              </w:rPr>
              <w:t>(20,000)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(10,000)</w:t>
            </w: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Treasury stock purchased</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 consideration payments in connection with business combinations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(4,251)</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(3,858)</w:t>
            </w:r>
          </w:p>
        </w:tc>
      </w:tr>
      <w:tr>
        <w:trPr>
          <w:trHeight w:val="250"/>
        </w:trPr>
        <w:tc>
          <w:tcPr>
            <w:tcW w:w="8120" w:type="dxa"/>
            <w:vAlign w:val="bottom"/>
          </w:tcPr>
          <w:p>
            <w:pPr>
              <w:ind w:left="600"/>
              <w:spacing w:after="0"/>
              <w:rPr>
                <w:sz w:val="20"/>
                <w:szCs w:val="20"/>
                <w:color w:val="auto"/>
              </w:rPr>
            </w:pPr>
            <w:r>
              <w:rPr>
                <w:rFonts w:ascii="Arial" w:cs="Arial" w:eastAsia="Arial" w:hAnsi="Arial"/>
                <w:sz w:val="14"/>
                <w:szCs w:val="14"/>
                <w:color w:val="auto"/>
              </w:rPr>
              <w:t>Net cash provided by (used for) financing activities</w:t>
            </w:r>
          </w:p>
        </w:tc>
        <w:tc>
          <w:tcPr>
            <w:tcW w:w="10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(8,312)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(22,030)</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year</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53,207</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67,339</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44,895</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45,309</w:t>
            </w:r>
          </w:p>
        </w:tc>
      </w:tr>
      <w:tr>
        <w:trPr>
          <w:trHeight w:val="224"/>
        </w:trPr>
        <w:tc>
          <w:tcPr>
            <w:tcW w:w="8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Supplemental cash flow information:</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paid</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2,893</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1,164</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2019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Accounting Standards Update ("ASU") 2016-02, "Leases," and all related amendments as of January 1, 2019. The impact of this new guidance on our accounting policies and consolidated financial statements is also described below. There have been no other significant changes in our accounting policies during the three months ended March 31, 2019 compared to the significant accounting policies described in our Annual Report on Form 10-K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liabilities on our consolidated balance sheets. We presently do not have any finance leases.</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Lease expense for lease payments is recognized on a straight-line basis over the lease term.</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2016, the Financial Accounting Standards Board ("FASB") issued ASU 2016-02 (with amendments issued in 2018), which changes the accounting for leases and requires expanded disclosures about leasing activities. This new guidance also requires lessees to recognize a right-of-use asset and a lease liability at the commencement date for all leases with terms greater than twelve months. Accounting by lessors is largely unchanged. ASU 2016-02 is effective for fiscal periods beginning after December 15, 2018. We adopted ASU 2016-02 on January 1, 2019 using the modified retrospective optional transition method. Thus, the standard was applied starting January 1, 2019 and prior periods were not restated.</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applied the package of practical expedients permitted under the transition guidance. As a result, we did not reassess the identification, classification and initial direct costs of leases commencing before the effective date. We also applied the practical expedient to not separate lease and non-lease components to all new leases as well as leases commencing before the effective date.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adoption, ASU 2016-02 resulted in the recognition of lease ROU assets, accrued liabilities and long-term liabilities related to operating leases of $20.7 million, $3.3 million and $17.0 million, respectively. In addition, assets and liabilities totaling $2.5 million and $2.3 million, respectively, were reclassified into the opening ROU asset balance. The adoption of ASU 2016-02 did not result in any cumulative-effect adjustment to the opening balance of retained earnings and did not have any impact on our results of operations, cash flows or debt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additional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The adoption of ASU 2018-07 did not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2016-13, “Measurement of Credit Losses on Financial Instruments.” This guidance updates existing guidance for measuring and recording credit losses on financial assets measured at amortized cost by replacing the “incurred loss” model with an “expected loss” model. Accordingly, these financial assets will be presented at the net amount expected to be collected. ASU 2016-13 is effective for fiscal years beginning after December 15, 2020. Early adoption is permitted. We are currently evaluating the impact that ASU 2016-13 will have on our consolidated financial statements.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which amends ASC 350-40, "Intangibles - Goodwill and Other - Internal-Use Software." The ASU aligns the requirements for capitalizing implementation costs incurred in a hosting arrangement that is a service contract with the requirements for capitalizing implementation costs incurred to develop or obtain internal-use software and requires the capitalized implementation costs to be expensed over the term of the hosting arrangement. The accounting for the service element of a hosting arrangement that is a service contract is not affected. ASU 2018-15 is effective for fiscal periods beginning after December 15, 2019, and interim periods within those fiscal years. We are currently evaluating the impact that ASU 2018-07 will have on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9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1,156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20,885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2,398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8,861</w:t>
            </w:r>
          </w:p>
        </w:tc>
        <w:tc>
          <w:tcPr>
            <w:tcW w:w="0" w:type="dxa"/>
            <w:vAlign w:val="bottom"/>
          </w:tcPr>
          <w:p>
            <w:pPr>
              <w:spacing w:after="0"/>
              <w:rPr>
                <w:sz w:val="1"/>
                <w:szCs w:val="1"/>
                <w:color w:val="auto"/>
              </w:rPr>
            </w:pP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53,207</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w w:val="95"/>
              </w:rPr>
              <w:t>Note 3 — Accounts Receivable, Net and Revenue Concentrations</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Accounts receivable, net were as follows: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9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143,752</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133,774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142,085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131,922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158,071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144,689</w:t>
            </w:r>
          </w:p>
        </w:tc>
        <w:tc>
          <w:tcPr>
            <w:tcW w:w="0" w:type="dxa"/>
            <w:vAlign w:val="bottom"/>
          </w:tcPr>
          <w:p>
            <w:pPr>
              <w:spacing w:after="0"/>
              <w:rPr>
                <w:sz w:val="1"/>
                <w:szCs w:val="1"/>
                <w:color w:val="auto"/>
              </w:rPr>
            </w:pPr>
          </w:p>
        </w:tc>
      </w:tr>
      <w:tr>
        <w:trPr>
          <w:trHeight w:val="27"/>
        </w:trPr>
        <w:tc>
          <w:tcPr>
            <w:tcW w:w="536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275"/>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175"/>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1,064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1,077</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i w:val="1"/>
                <w:iCs w:val="1"/>
                <w:color w:val="auto"/>
              </w:rPr>
              <w:t>Significant Customers</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80" w:type="dxa"/>
            <w:vAlign w:val="bottom"/>
            <w:gridSpan w:val="2"/>
          </w:tcPr>
          <w:p>
            <w:pPr>
              <w:spacing w:after="0"/>
              <w:rPr>
                <w:sz w:val="20"/>
                <w:szCs w:val="20"/>
                <w:color w:val="auto"/>
              </w:rPr>
            </w:pPr>
            <w:r>
              <w:rPr>
                <w:rFonts w:ascii="Arial" w:cs="Arial" w:eastAsia="Arial" w:hAnsi="Arial"/>
                <w:sz w:val="18"/>
                <w:szCs w:val="18"/>
                <w:color w:val="auto"/>
                <w:w w:val="93"/>
              </w:rPr>
              <w:t>Net sales to the following customers totaled more than 10% of our net sales: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w w:val="94"/>
              </w:rPr>
              <w:t>Three Months Ended March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2018</w:t>
            </w: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5"/>
              </w:rPr>
              <w:t>% of Net Sales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1"/>
              </w:rPr>
              <w:t>$ (thousands)</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Net Sales</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9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Dish Network L.L.C.</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19,678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20" w:hanging="188"/>
        <w:spacing w:after="0"/>
        <w:tabs>
          <w:tab w:leader="none" w:pos="52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Sales associated with this customer did not total more than 10% of our net sales for the three months ended March 31, 2018.</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33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120" w:type="dxa"/>
            <w:vAlign w:val="bottom"/>
            <w:vMerge w:val="restart"/>
          </w:tcPr>
          <w:p>
            <w:pPr>
              <w:spacing w:after="0"/>
              <w:rPr>
                <w:sz w:val="13"/>
                <w:szCs w:val="13"/>
                <w:color w:val="auto"/>
              </w:rPr>
            </w:pP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(thousands)</w:t>
            </w:r>
          </w:p>
        </w:tc>
        <w:tc>
          <w:tcPr>
            <w:tcW w:w="340" w:type="dxa"/>
            <w:vAlign w:val="bottom"/>
            <w:vMerge w:val="restart"/>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 of Accounts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17,917</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0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700" w:type="dxa"/>
            <w:vAlign w:val="bottom"/>
            <w:gridSpan w:val="2"/>
            <w:shd w:val="clear" w:color="auto" w:fill="CCEEFF"/>
          </w:tcPr>
          <w:p>
            <w:pPr>
              <w:ind w:left="1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20" w:hanging="188"/>
        <w:spacing w:after="0"/>
        <w:tabs>
          <w:tab w:leader="none" w:pos="52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Trade receivables associated with this customer did not total more than 10% of our accounts receivable, net at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16,759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58,053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149,966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144,350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7"/>
          </w:tcPr>
          <w:p>
            <w:pPr>
              <w:ind w:lef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$1.1 million and $0.1 million for the three months ended March 31, 2019 and 2018,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No suppliers totaled more than 10% of our total inventory purchases for the three months ended March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2018,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 purchases made from this supplier while it was a related party were $1.1 million during the three months ended March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March 31, 2019, our operating leases had remaining lease terms of up to 42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21,315</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92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3,762</w:t>
            </w:r>
          </w:p>
        </w:tc>
      </w:tr>
      <w:tr>
        <w:trPr>
          <w:trHeight w:val="27"/>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17,520</w:t>
            </w:r>
          </w:p>
        </w:tc>
      </w:tr>
      <w:tr>
        <w:trPr>
          <w:trHeight w:val="257"/>
        </w:trPr>
        <w:tc>
          <w:tcPr>
            <w:tcW w:w="9260" w:type="dxa"/>
            <w:vAlign w:val="bottom"/>
          </w:tcPr>
          <w:p>
            <w:pPr>
              <w:ind w:left="80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21,282</w:t>
            </w: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Operating lease expense, including short-term and variable lease costs, and operating lease cash flows and supplemental cash flow information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04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92"/>
        </w:trPr>
        <w:tc>
          <w:tcPr>
            <w:tcW w:w="926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9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51"/>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 use assets obtained in exchange for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Lease terms and discount rates were as follows:</w:t>
            </w: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lease term (in years)</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Weighed average discount rate</w:t>
            </w:r>
          </w:p>
        </w:tc>
        <w:tc>
          <w:tcPr>
            <w:tcW w:w="120" w:type="dxa"/>
            <w:vAlign w:val="bottom"/>
          </w:tcPr>
          <w:p>
            <w:pPr>
              <w:spacing w:after="0"/>
              <w:rPr>
                <w:sz w:val="21"/>
                <w:szCs w:val="21"/>
                <w:color w:val="auto"/>
              </w:rPr>
            </w:pPr>
          </w:p>
        </w:tc>
        <w:tc>
          <w:tcPr>
            <w:tcW w:w="2040" w:type="dxa"/>
            <w:vAlign w:val="bottom"/>
          </w:tcPr>
          <w:p>
            <w:pPr>
              <w:ind w:left="1540"/>
              <w:spacing w:after="0"/>
              <w:rPr>
                <w:sz w:val="20"/>
                <w:szCs w:val="20"/>
                <w:color w:val="auto"/>
              </w:rPr>
            </w:pPr>
            <w:r>
              <w:rPr>
                <w:rFonts w:ascii="Arial" w:cs="Arial" w:eastAsia="Arial" w:hAnsi="Arial"/>
                <w:sz w:val="18"/>
                <w:szCs w:val="18"/>
                <w:color w:val="auto"/>
                <w:w w:val="93"/>
              </w:rPr>
              <w:t>4.78%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March 31, 2019. The reconciliation excludes short-term leases that are not recorded on the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9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5,121</w:t>
            </w:r>
          </w:p>
        </w:tc>
      </w:tr>
      <w:tr>
        <w:trPr>
          <w:trHeight w:val="27"/>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4,435</w:t>
            </w:r>
          </w:p>
        </w:tc>
      </w:tr>
      <w:tr>
        <w:trPr>
          <w:trHeight w:val="27"/>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3,394</w:t>
            </w:r>
          </w:p>
        </w:tc>
      </w:tr>
      <w:tr>
        <w:trPr>
          <w:trHeight w:val="27"/>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7"/>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21,282</w:t>
            </w: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2019, we have an operating lease for a facility that has not yet commenced with an initial lease liability of approximately $1.6 million and a five-year term, which is not reflected within the maturity schedule above.</w:t>
      </w:r>
    </w:p>
    <w:p>
      <w:pPr>
        <w:sectPr>
          <w:pgSz w:w="11900" w:h="16838" w:orient="portrait"/>
          <w:cols w:equalWidth="0" w:num="1">
            <w:col w:w="11420"/>
          </w:cols>
          <w:pgMar w:left="240" w:top="118"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48,448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2019</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9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rights</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Patents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14,902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(5,837)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9,065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(5,704)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6"/>
                <w:szCs w:val="16"/>
                <w:color w:val="auto"/>
              </w:rPr>
              <w:t>8,856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Developed and core technology</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(8,591)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(23,645)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9,038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32,534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(22,675)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6"/>
                <w:szCs w:val="16"/>
                <w:color w:val="auto"/>
              </w:rPr>
              <w:t>9,859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24,370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$7.1 million and $7.1 million at March 31, 2019 and December 31, 2018, respectively.</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Estimated future annual amortization expense related to our intangible assets at March 31, 2019, was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9 months)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$130.0 million revolving line of credit ("Credit Line") through June 30, 2019 and a $125.0 million Credit Line thereafter and through its expiration date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2019.</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March 31, 2019 was 4.25%.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March 31, 2019, we were in compliance with the covenants and conditions of the Second Amended Credit Agreement.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we had $106.5 million outstanding under the Credit Line. Our total interest expense on borrowings was $1.3 million and $1.1 million during the three months ended March 31,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income tax expense of $1.0 million for the three months ended March 31, 2019 and an income tax benefit of $0.2 million for the three months ended March 31, 2018. Income tax expense for the three months ended March 31, 2019 increased primarily due to the remeasurement of certain deferred tax assets, partly offset by a tax refund received, both resulting from tax incentives at one of our China manufacturing facilities.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2018, we assessed the realizability of the Company's deferred tax assets by considering whether it is "more than likely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2018, we had a three year cumulative operating loss for our U.S. operations and accordingly, provided a full valuation allowance on our U.S. and state deferred tax assets. During the three months ended March 31, 2019, there has been no change to the Company's valuation allowance position.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2019, we had gross unrecognized tax benefits of $4.6 million, including interest and penalties, of which approximately $4.3 million of this amount, if not for the state Research and Experimentation income tax credit valuation allowance,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$0.2 million within the next twelve months. We have classified uncertain tax positions as non-current income tax liabilities unless expected to be paid within one year.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$0.5 million and $0.5 million at March 31, 2019 and December 31, 2018, respectively, are included in the unrecognized tax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70"/>
        </w:trPr>
        <w:tc>
          <w:tcPr>
            <w:tcW w:w="79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16,866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8,783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2,361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1,700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March 31, 2019 and December 31, 2018.</w:t>
      </w:r>
    </w:p>
    <w:p>
      <w:pPr>
        <w:spacing w:after="0" w:line="94"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$0.3 million and $0.4 million at March 31, 2019 and December 31, 2018, respectively.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3,217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1,930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Short-term contingent consideration</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4,190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6,989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716" w:lineRule="auto"/>
        <w:tabs>
          <w:tab w:leader="none" w:pos="652"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(the "EPO") has ruled on our Opposition (see below). Finally, the Court ruled that our original product (which we are no longer selling) infringes certain of Ruwido’s design rights, but stayed any decision of compensation and/or damages until all aspects of the case have been decided. We have filed an appeal as to the Court’s ruling of infringement, and submissions by the parties were due to the Court during the second quarter of 2018 with a hearing expected to take place in late 2018. 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were due during the second half of 2018 and early 2019 with a trial date set for January 2019. This trial date has since been moved to June 4, 2019. In September 2015, UEBV filed an Opposition with the EPO seeking to invalidate the one utility patent asserted against UEBV and Telenet by Ruwido. The hearing on this opposition was held in July 2017. During this hearing the panel requested additional information. We have assembled this additional information and the final hearing was scheduled for January 29, 2019. The EPO held this hearing on January 29 and 30, 2019 and revoked Ruwido's patent as originally filed. The EPO, however, maintained the patent in an amended form with a much narrower claim. The parties have the right to appeal the EPO's decision, but at this time, neither have done so. 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November 30, 2018 hearing date was set by the Court but it deferred its decision until the decision from the EPO has become final.</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5, 2018, we filed a lawsuit against Roku, Inc. (“Roku”) in the United States District Court, Central District of California (Universal Electronics Inc. v. Roku, Inc.)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Roku has answered our complaint with a general denial. In December 2018, the Court set a trial date of June 16, 2020. We are currently proceeding with discovery and motions.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Treasury Stock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On October 30, 2018, our Board approved an adjustment to the amount of common stock that we could purchase under our existing repurchase plan to an amount not to exceed $5.0 million of our common stock. As of March 31, 2019, we had $3.9 million of authorized repurchases remaining under the Board's authorizations. We may utilize various methods to effect the repurchases, which could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615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Foreign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79,751</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27,400</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20,117</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19,130</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10,030</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8,270</w:t>
            </w:r>
          </w:p>
        </w:tc>
      </w:tr>
      <w:tr>
        <w:trPr>
          <w:trHeight w:val="27"/>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164,698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74,001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79,382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6,569</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96,402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100,455</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1,528</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2,204</w:t>
            </w:r>
          </w:p>
        </w:tc>
      </w:tr>
      <w:tr>
        <w:trPr>
          <w:trHeight w:val="67"/>
        </w:trPr>
        <w:tc>
          <w:tcPr>
            <w:tcW w:w="83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8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March 31, 2019 </w:t>
            </w:r>
            <w:r>
              <w:rPr>
                <w:rFonts w:ascii="Arial" w:cs="Arial" w:eastAsia="Arial" w:hAnsi="Arial"/>
                <w:sz w:val="25"/>
                <w:szCs w:val="25"/>
                <w:color w:val="auto"/>
                <w:vertAlign w:val="superscript"/>
              </w:rPr>
              <w:t>(1)</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tcPr>
          <w:p>
            <w:pPr>
              <w:ind w:left="40"/>
              <w:spacing w:after="0" w:line="251" w:lineRule="exact"/>
              <w:rPr>
                <w:sz w:val="20"/>
                <w:szCs w:val="20"/>
                <w:color w:val="auto"/>
              </w:rPr>
            </w:pPr>
            <w:r>
              <w:rPr>
                <w:rFonts w:ascii="Arial" w:cs="Arial" w:eastAsia="Arial" w:hAnsi="Arial"/>
                <w:sz w:val="18"/>
                <w:szCs w:val="18"/>
                <w:color w:val="auto"/>
              </w:rPr>
              <w:t>Vested and expected to vest at March 31, 2019</w:t>
            </w:r>
            <w:r>
              <w:rPr>
                <w:rFonts w:ascii="Arial" w:cs="Arial" w:eastAsia="Arial" w:hAnsi="Arial"/>
                <w:sz w:val="25"/>
                <w:szCs w:val="25"/>
                <w:color w:val="auto"/>
                <w:vertAlign w:val="superscript"/>
              </w:rPr>
              <w:t>(1)</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747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Exercisable at March 31, 2019</w:t>
            </w:r>
            <w:r>
              <w:rPr>
                <w:rFonts w:ascii="Arial" w:cs="Arial" w:eastAsia="Arial" w:hAnsi="Arial"/>
                <w:sz w:val="25"/>
                <w:szCs w:val="25"/>
                <w:color w:val="auto"/>
                <w:vertAlign w:val="superscript"/>
              </w:rPr>
              <w:t>(1)</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2019 and the exercise price, multiplied by the number of in-the-money options) that would have been received by the option holders had they all exercised their options on March 31, 2019. This amount will change based on the fair market value of our stock.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14.26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20" w:type="dxa"/>
            <w:vAlign w:val="bottom"/>
          </w:tcPr>
          <w:p>
            <w:pPr>
              <w:spacing w:after="0"/>
              <w:rPr>
                <w:sz w:val="21"/>
                <w:szCs w:val="21"/>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4.53</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2019, we expect to recognize $3.1 million of total unrecognized pre-tax stock-based compensation expense related to non-vested stock options over a remaining weighted-average life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49.23</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28.36</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49.11</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39.53</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2019</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35.90</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we expect to recognize $11.6 million of total unrecognized pre-tax stock-based compensation expense related to non-vested restricted stock awards over a weighted-average life of 2.2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880" w:type="dxa"/>
            <w:vAlign w:val="bottom"/>
            <w:tcBorders>
              <w:bottom w:val="single" w:sz="8" w:color="auto"/>
            </w:tcBorders>
            <w:gridSpan w:val="5"/>
          </w:tcPr>
          <w:p>
            <w:pPr>
              <w:jc w:val="center"/>
              <w:ind w:left="141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4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8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January 1, 2020 -</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$260 million</w:t>
            </w:r>
          </w:p>
        </w:tc>
        <w:tc>
          <w:tcPr>
            <w:tcW w:w="17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$300 million</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$340 million</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March 31, 2019, 175,000 vested warrants were outstanding. To fully vest in the rights to purchase all of the remaining unearned 475,000 underlying shares, Comcast and its affiliates must purchase an aggregate of $680 million in goods and services from us during the remaining four-year vesting period.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March 31, 2019, none of the warrants had vested for the two-year period beginning January 1, 2018.</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 Scholes option pricing model and the resulting weighted average fair value of the warrants were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4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6"/>
              </w:rPr>
              <w:t>Three Months Ended March 31,</w:t>
            </w:r>
          </w:p>
        </w:tc>
        <w:tc>
          <w:tcPr>
            <w:tcW w:w="380" w:type="dxa"/>
            <w:vAlign w:val="bottom"/>
            <w:tcBorders>
              <w:bottom w:val="single" w:sz="8" w:color="auto"/>
            </w:tcBorders>
          </w:tcPr>
          <w:p>
            <w:pPr>
              <w:spacing w:after="0"/>
              <w:rPr>
                <w:sz w:val="16"/>
                <w:szCs w:val="16"/>
                <w:color w:val="auto"/>
              </w:rPr>
            </w:pPr>
          </w:p>
        </w:tc>
      </w:tr>
      <w:tr>
        <w:trPr>
          <w:trHeight w:val="264"/>
        </w:trPr>
        <w:tc>
          <w:tcPr>
            <w:tcW w:w="85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ind w:left="317"/>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ind w:left="294"/>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22"/>
                <w:szCs w:val="2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980" w:type="dxa"/>
            <w:vAlign w:val="bottom"/>
            <w:tcBorders>
              <w:bottom w:val="single" w:sz="8" w:color="CCEEFF"/>
            </w:tcBorders>
            <w:shd w:val="clear" w:color="auto" w:fill="CCEEFF"/>
          </w:tcPr>
          <w:p>
            <w:pPr>
              <w:jc w:val="center"/>
              <w:ind w:left="317"/>
              <w:spacing w:after="0"/>
              <w:rPr>
                <w:sz w:val="20"/>
                <w:szCs w:val="20"/>
                <w:color w:val="auto"/>
              </w:rPr>
            </w:pPr>
            <w:r>
              <w:rPr>
                <w:rFonts w:ascii="Arial" w:cs="Arial" w:eastAsia="Arial" w:hAnsi="Arial"/>
                <w:sz w:val="18"/>
                <w:szCs w:val="18"/>
                <w:color w:val="auto"/>
                <w:w w:val="93"/>
              </w:rPr>
              <w:t>$9.00</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294"/>
              <w:spacing w:after="0"/>
              <w:rPr>
                <w:sz w:val="20"/>
                <w:szCs w:val="20"/>
                <w:color w:val="auto"/>
              </w:rPr>
            </w:pPr>
            <w:r>
              <w:rPr>
                <w:rFonts w:ascii="Arial" w:cs="Arial" w:eastAsia="Arial" w:hAnsi="Arial"/>
                <w:sz w:val="18"/>
                <w:szCs w:val="18"/>
                <w:color w:val="auto"/>
                <w:w w:val="90"/>
              </w:rPr>
              <w:t>$16.88</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980" w:type="dxa"/>
            <w:vAlign w:val="bottom"/>
          </w:tcPr>
          <w:p>
            <w:pPr>
              <w:jc w:val="center"/>
              <w:ind w:left="317"/>
              <w:spacing w:after="0"/>
              <w:rPr>
                <w:sz w:val="20"/>
                <w:szCs w:val="20"/>
                <w:color w:val="auto"/>
              </w:rPr>
            </w:pPr>
            <w:r>
              <w:rPr>
                <w:rFonts w:ascii="Arial" w:cs="Arial" w:eastAsia="Arial" w:hAnsi="Arial"/>
                <w:sz w:val="18"/>
                <w:szCs w:val="18"/>
                <w:color w:val="auto"/>
                <w:w w:val="90"/>
              </w:rPr>
              <w:t>$37.46</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center"/>
              <w:ind w:left="294"/>
              <w:spacing w:after="0"/>
              <w:rPr>
                <w:sz w:val="20"/>
                <w:szCs w:val="20"/>
                <w:color w:val="auto"/>
              </w:rPr>
            </w:pPr>
            <w:r>
              <w:rPr>
                <w:rFonts w:ascii="Arial" w:cs="Arial" w:eastAsia="Arial" w:hAnsi="Arial"/>
                <w:sz w:val="18"/>
                <w:szCs w:val="18"/>
                <w:color w:val="auto"/>
                <w:w w:val="90"/>
              </w:rPr>
              <w:t>$52.43</w:t>
            </w:r>
          </w:p>
        </w:tc>
        <w:tc>
          <w:tcPr>
            <w:tcW w:w="3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jc w:val="center"/>
              <w:ind w:left="317"/>
              <w:spacing w:after="0"/>
              <w:rPr>
                <w:sz w:val="20"/>
                <w:szCs w:val="20"/>
                <w:color w:val="auto"/>
              </w:rPr>
            </w:pPr>
            <w:r>
              <w:rPr>
                <w:rFonts w:ascii="Arial" w:cs="Arial" w:eastAsia="Arial" w:hAnsi="Arial"/>
                <w:sz w:val="18"/>
                <w:szCs w:val="18"/>
                <w:color w:val="auto"/>
                <w:w w:val="90"/>
              </w:rPr>
              <w:t>2.22%</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294"/>
              <w:spacing w:after="0"/>
              <w:rPr>
                <w:sz w:val="20"/>
                <w:szCs w:val="20"/>
                <w:color w:val="auto"/>
              </w:rPr>
            </w:pPr>
            <w:r>
              <w:rPr>
                <w:rFonts w:ascii="Arial" w:cs="Arial" w:eastAsia="Arial" w:hAnsi="Arial"/>
                <w:sz w:val="18"/>
                <w:szCs w:val="18"/>
                <w:color w:val="auto"/>
                <w:w w:val="90"/>
              </w:rPr>
              <w:t>2.54%</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center"/>
              <w:ind w:left="317"/>
              <w:spacing w:after="0"/>
              <w:rPr>
                <w:sz w:val="20"/>
                <w:szCs w:val="20"/>
                <w:color w:val="auto"/>
              </w:rPr>
            </w:pPr>
            <w:r>
              <w:rPr>
                <w:rFonts w:ascii="Arial" w:cs="Arial" w:eastAsia="Arial" w:hAnsi="Arial"/>
                <w:sz w:val="18"/>
                <w:szCs w:val="18"/>
                <w:color w:val="auto"/>
                <w:w w:val="88"/>
              </w:rPr>
              <w:t>44.45%</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center"/>
              <w:ind w:left="294"/>
              <w:spacing w:after="0"/>
              <w:rPr>
                <w:sz w:val="20"/>
                <w:szCs w:val="20"/>
                <w:color w:val="auto"/>
              </w:rPr>
            </w:pPr>
            <w:r>
              <w:rPr>
                <w:rFonts w:ascii="Arial" w:cs="Arial" w:eastAsia="Arial" w:hAnsi="Arial"/>
                <w:sz w:val="18"/>
                <w:szCs w:val="18"/>
                <w:color w:val="auto"/>
                <w:w w:val="88"/>
              </w:rPr>
              <w:t>34.53%</w:t>
            </w:r>
          </w:p>
        </w:tc>
        <w:tc>
          <w:tcPr>
            <w:tcW w:w="3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980" w:type="dxa"/>
            <w:vAlign w:val="bottom"/>
            <w:tcBorders>
              <w:bottom w:val="single" w:sz="8" w:color="CCEEFF"/>
            </w:tcBorders>
            <w:shd w:val="clear" w:color="auto" w:fill="CCEEFF"/>
          </w:tcPr>
          <w:p>
            <w:pPr>
              <w:jc w:val="center"/>
              <w:ind w:left="317"/>
              <w:spacing w:after="0"/>
              <w:rPr>
                <w:sz w:val="20"/>
                <w:szCs w:val="20"/>
                <w:color w:val="auto"/>
              </w:rPr>
            </w:pPr>
            <w:r>
              <w:rPr>
                <w:rFonts w:ascii="Arial" w:cs="Arial" w:eastAsia="Arial" w:hAnsi="Arial"/>
                <w:sz w:val="18"/>
                <w:szCs w:val="18"/>
                <w:color w:val="auto"/>
                <w:w w:val="85"/>
              </w:rPr>
              <w:t>3.75</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294"/>
              <w:spacing w:after="0"/>
              <w:rPr>
                <w:sz w:val="20"/>
                <w:szCs w:val="20"/>
                <w:color w:val="auto"/>
              </w:rPr>
            </w:pPr>
            <w:r>
              <w:rPr>
                <w:rFonts w:ascii="Arial" w:cs="Arial" w:eastAsia="Arial" w:hAnsi="Arial"/>
                <w:sz w:val="18"/>
                <w:szCs w:val="18"/>
                <w:color w:val="auto"/>
                <w:w w:val="85"/>
              </w:rPr>
              <w:t>4.75</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540"/>
        </w:trPr>
        <w:tc>
          <w:tcPr>
            <w:tcW w:w="8520" w:type="dxa"/>
            <w:vAlign w:val="bottom"/>
          </w:tcPr>
          <w:p>
            <w:pPr>
              <w:spacing w:after="0"/>
              <w:rPr>
                <w:sz w:val="20"/>
                <w:szCs w:val="20"/>
                <w:color w:val="auto"/>
              </w:rPr>
            </w:pPr>
            <w:r>
              <w:rPr>
                <w:rFonts w:ascii="Arial" w:cs="Arial" w:eastAsia="Arial" w:hAnsi="Arial"/>
                <w:sz w:val="18"/>
                <w:szCs w:val="18"/>
                <w:color w:val="auto"/>
                <w:w w:val="92"/>
              </w:rPr>
              <w:t>The impact to net sales recorded in connection with the warrants and the related income tax benefit were as follows: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3"/>
        </w:trPr>
        <w:tc>
          <w:tcPr>
            <w:tcW w:w="8520" w:type="dxa"/>
            <w:vAlign w:val="bottom"/>
          </w:tcPr>
          <w:p>
            <w:pPr>
              <w:spacing w:after="0"/>
              <w:rPr>
                <w:sz w:val="24"/>
                <w:szCs w:val="24"/>
                <w:color w:val="auto"/>
              </w:rPr>
            </w:pPr>
          </w:p>
        </w:tc>
        <w:tc>
          <w:tcPr>
            <w:tcW w:w="24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5"/>
              </w:rPr>
              <w:t>Three Months Ended March 31,</w:t>
            </w:r>
          </w:p>
        </w:tc>
        <w:tc>
          <w:tcPr>
            <w:tcW w:w="380" w:type="dxa"/>
            <w:vAlign w:val="bottom"/>
            <w:tcBorders>
              <w:bottom w:val="single" w:sz="8" w:color="auto"/>
            </w:tcBorders>
          </w:tcPr>
          <w:p>
            <w:pPr>
              <w:spacing w:after="0"/>
              <w:rPr>
                <w:sz w:val="24"/>
                <w:szCs w:val="24"/>
                <w:color w:val="auto"/>
              </w:rPr>
            </w:pPr>
          </w:p>
        </w:tc>
      </w:tr>
      <w:tr>
        <w:trPr>
          <w:trHeight w:val="197"/>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jc w:val="center"/>
              <w:ind w:left="317"/>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274"/>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auto"/>
            </w:tcBorders>
          </w:tcPr>
          <w:p>
            <w:pPr>
              <w:spacing w:after="0"/>
              <w:rPr>
                <w:sz w:val="17"/>
                <w:szCs w:val="17"/>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471</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9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118</w:t>
            </w: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unrecognized estimated fair value of unvested warrants at March 31, 2019 was $3.7 million.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70"/>
        </w:trPr>
        <w:tc>
          <w:tcPr>
            <w:tcW w:w="8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725</w:t>
            </w:r>
          </w:p>
        </w:tc>
      </w:tr>
      <w:tr>
        <w:trPr>
          <w:trHeight w:val="27"/>
        </w:trPr>
        <w:tc>
          <w:tcPr>
            <w:tcW w:w="8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37"/>
        </w:trPr>
        <w:tc>
          <w:tcPr>
            <w:tcW w:w="85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8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460" w:hanging="5288"/>
        <w:spacing w:after="0" w:line="716" w:lineRule="auto"/>
        <w:tabs>
          <w:tab w:leader="none" w:pos="652"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 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14,087</w:t>
            </w:r>
          </w:p>
        </w:tc>
      </w:tr>
      <w:tr>
        <w:trPr>
          <w:trHeight w:val="297"/>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84"/>
        </w:trPr>
        <w:tc>
          <w:tcPr>
            <w:tcW w:w="8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14,087</w:t>
            </w: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14,087</w:t>
            </w:r>
          </w:p>
        </w:tc>
      </w:tr>
      <w:tr>
        <w:trPr>
          <w:trHeight w:val="27"/>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9"/>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86"/>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w w:val="86"/>
              </w:rPr>
              <w:t>227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86"/>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Note 18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Arial" w:cs="Arial" w:eastAsia="Arial" w:hAnsi="Arial"/>
                <w:sz w:val="18"/>
                <w:szCs w:val="18"/>
                <w:color w:val="auto"/>
                <w:w w:val="95"/>
              </w:rPr>
              <w:t>The following table sets forth the total net fair value of derivatives: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December 31, 2018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94"/>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6"/>
                <w:szCs w:val="6"/>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(249)</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14"/>
              <w:spacing w:after="0"/>
              <w:rPr>
                <w:sz w:val="20"/>
                <w:szCs w:val="20"/>
                <w:color w:val="auto"/>
              </w:rPr>
            </w:pPr>
            <w:r>
              <w:rPr>
                <w:rFonts w:ascii="Arial" w:cs="Arial" w:eastAsia="Arial" w:hAnsi="Arial"/>
                <w:sz w:val="18"/>
                <w:szCs w:val="18"/>
                <w:color w:val="auto"/>
              </w:rPr>
              <w:t>$   (249)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$0.3 million and a net pre-tax loss of $1.3 million for the three months ended March 31, 2019 and 2018, respectively (see Note 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Currency</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26,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March 31, 2019</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1.1331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26,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26, 2019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6.8969</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3.8651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8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control and sensor technology solutions and manufacture a broad line of pre-programmed and universal remote control products, AV accessories and intelligent wireless security and smart home products dedicated to redefining the home entertainment, automation and security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one million individual device functions and approximately 8,800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a comprehensive patent portfolio of over 500 issued and pending United States patents related to remote control, home security, safety and automation as well as hundreds of foreign counterpart patents and applications in various territories around the world.</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as one business segment. We have 24 international subsidiaries located in Argentina, Brazil, British Virgin Islands, Cayman Islands, France, Germany, Hong Kong (3), India, Italy, Japan, Korea, Mexico, the Netherlands, People's Republic of China (the "PRC") (6), Singapore, Spain, and the 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2019:</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increased 11.8% to $184.2 million for the three months ended March 31, 2019 from $164.7 million for the three months ended March 31, 2018.</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decreased from 22.6% for the three months ended March 31, 2018 to 21.7% for the three months ended March 31, 2019.</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decreased from 22.0% for the three months ended March 31, 2018 to 20.7% for the three months ended March 31, 2019.</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increased from $0.9 million for the three months ended March 31, 2018 to $1.7 million for the three months ended March 31, 2019, and our operating margin percentage increased from 0.5% for the three months ended March 31, 2018 to 0.9% for the three months ended March 31, 2019.</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was $1.0 million for the three months ended March 31, 2019, compared to an income tax benefit of $0.2 million for the three months ended March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2019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2019 to the items that we disclosed as our critical accounting policies and estimates in Item 7, "Management's Discussion and Analysis of Financial Condition and Results of Operations" contained in our Annual Report on Form 10-K for our fiscal year ended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23495</wp:posOffset>
            </wp:positionV>
            <wp:extent cx="2075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gridSpan w:val="2"/>
          </w:tcPr>
          <w:p>
            <w:pPr>
              <w:ind w:left="8740"/>
              <w:spacing w:after="0"/>
              <w:rPr>
                <w:sz w:val="20"/>
                <w:szCs w:val="20"/>
                <w:color w:val="auto"/>
              </w:rPr>
            </w:pPr>
            <w:r>
              <w:rPr>
                <w:rFonts w:ascii="Arial" w:cs="Arial" w:eastAsia="Arial" w:hAnsi="Arial"/>
                <w:sz w:val="14"/>
                <w:szCs w:val="14"/>
                <w:b w:val="1"/>
                <w:bCs w:val="1"/>
                <w:color w:val="auto"/>
                <w:w w:val="83"/>
              </w:rPr>
              <w:t>2019</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77.4</w:t>
            </w:r>
          </w:p>
        </w:tc>
      </w:tr>
      <w:tr>
        <w:trPr>
          <w:trHeight w:val="27"/>
        </w:trPr>
        <w:tc>
          <w:tcPr>
            <w:tcW w:w="8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22.6</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3.7</w:t>
            </w:r>
          </w:p>
        </w:tc>
      </w:tr>
      <w:tr>
        <w:trPr>
          <w:trHeight w:val="27"/>
        </w:trPr>
        <w:tc>
          <w:tcPr>
            <w:tcW w:w="8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18.4</w:t>
            </w:r>
          </w:p>
        </w:tc>
      </w:tr>
      <w:tr>
        <w:trPr>
          <w:trHeight w:val="237"/>
        </w:trPr>
        <w:tc>
          <w:tcPr>
            <w:tcW w:w="8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0.5</w:t>
            </w:r>
          </w:p>
        </w:tc>
      </w:tr>
      <w:tr>
        <w:trPr>
          <w:trHeight w:val="27"/>
        </w:trPr>
        <w:tc>
          <w:tcPr>
            <w:tcW w:w="8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(0.4)</w:t>
            </w:r>
          </w:p>
        </w:tc>
      </w:tr>
      <w:tr>
        <w:trPr>
          <w:trHeight w:val="27"/>
        </w:trPr>
        <w:tc>
          <w:tcPr>
            <w:tcW w:w="8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(0.5)</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 (benefit)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(0.1)</w:t>
            </w:r>
          </w:p>
        </w:tc>
      </w:tr>
      <w:tr>
        <w:trPr>
          <w:trHeight w:val="27"/>
        </w:trPr>
        <w:tc>
          <w:tcPr>
            <w:tcW w:w="8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versus Three Months Ended March 31, 2018</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2019 were $184.2 million, an increase of 11.8% compared to $164.7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The increase in net sales was primarily due to the recent launches of higher end platforms by existing customers, both in the subscription broadcasting and OEM channels, a newly acquired customer and continued strength in home automation.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March 31, 2019 was $39.9 million compared to $37.2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Gross profit as a percent of sales decreased to 21.7% for the three months ended March 31, 2019 compared to 22.6% for the three months ended March 31, 2018. The gross margin percentage was unfavorably impacted by higher U.S tariffs on many of our products that are manufactured in China and imported into the U.S. In an effort to mitigate the effect of the increased tariffs, we are in the process of transitioning the production of goods destined for the U.S. from our China factories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our factory in Mexico. In connection with this transition, which began in the fourth quarter of 2018, we have incurred costs related to the movement of materials and duplicative labor efforts as well as indirect costs including unabsorbed duplicative overhead and manufacturing inefficiencies. We expect this manufacturing transition to be completed by the summer of 2019. Until then, we expect our gross margin rate to continue to be negatively impacted by increased U.S. tariffs and manufacturing transition inefficiencies. These unfavorable impacts were partially offset by raw material cost savings.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12.2% to $6.8 million for the three months ended March 31, 2019 from $6.1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2018 primarily due to our continued investment in the development of new products that enhance the user experience in home entertainment and home automation.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to $31.4 million for the three months ended March 31, 2019 from $30.2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2018, primarily due to an increase in the amount of contingent consideration recorded in connection with our acquisition of the net assets of Ecolink Intelligent Technology, Inc. ("Ecolink"). This increase was partially offset by a decrease in payroll related expenses in connection with ongoing corporate restructuring initiatives.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$1.2 million for the three months ended March 31, 2019 compared to net interest expense of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2018 as a result of a higher interest rate on our line of credit offset by a decrease in our average quarterly loan balance.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$0.5 million for the three months ended March 31, 2019 compared to net other expense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2018.</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(benefit). </w:t>
      </w:r>
      <w:r>
        <w:rPr>
          <w:rFonts w:ascii="Arial" w:cs="Arial" w:eastAsia="Arial" w:hAnsi="Arial"/>
          <w:sz w:val="18"/>
          <w:szCs w:val="18"/>
          <w:color w:val="auto"/>
        </w:rPr>
        <w:t>Income tax expense was $1.0 million for the three months ended March 31, 2019 compared to a $0.2 million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for the three months ended March 31, 2018. Income tax expense for the three months ended March 31, 2019 increased primarily due to the remeasurement of certain deferred tax assets, partly offset by a tax refund received, both resulting from tax incentives at one of our China manufacturing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w w:val="90"/>
              </w:rPr>
              <w:t>Effect of exchange rate changes on cash, cash equivalents and restricted cash</w:t>
            </w: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Net increase (decrease) in cash, cash equivalents and restricted cash</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2019</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53,207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101,770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100,597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used for operating activities </w:t>
      </w:r>
      <w:r>
        <w:rPr>
          <w:rFonts w:ascii="Arial" w:cs="Arial" w:eastAsia="Arial" w:hAnsi="Arial"/>
          <w:sz w:val="17"/>
          <w:szCs w:val="17"/>
          <w:color w:val="auto"/>
        </w:rPr>
        <w:t>was $4.5 million during the three months ended March 31, 2019 compared to $11.9 million of net cash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during the three months ended March 31, 2018. The decrease in cash used for operating activities was primarily due to working capital needs associated with accounts receivable and contract assets, inventories and accounts payable. Accounts receivable and contract assets increased during the three months ended March 31, 2019 as a result of increased sales levels. At the same time, days sales outstanding decreased from 83 days at March 31, 2018 to 78 days at March 31, 2019. With respect to inventories, our inventory turns decreased to 3.4 turns at March 31, 2019 from 3.5 turns at March 31, 2018, largely as a result of holding higher levels of inventory at March 31, 2019 due to the transition of manufacturing activities from China to Mexico for certain products destined for the U.S. market. We expect inventory turns to improve in 2019 as we complete this transition. Cash outflows associated with accounts payable increased largely as a result of the timing of inventory purchases in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2019 was $3.5 million compared to net cash used for investing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$9.9 million during the three months ended March 31, 2018. The decrease in cash used for investing activities was primarily due to investments in factory equipment and a new global ERP system in the prior year period.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$0.5 million during the three months ended March 31, 2019, which was consistent with the $1.0 million of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financing activities during the three months ended March 31, 2018. Over the last twelve months, we have reduced outstanding borrowings on our line of credit by $34.5 million. As we improve our working capital management over the remainder of 2019, we expect to continue to reduce the level of borrowings on our line of credit.</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March 31, 2019, we repurchased 42,746 shares of our common stock at a cost of $1.2 million compared to our repurchase of 13,538 shares at a cost of $0.6 million during the three months ended March 31, 2018. We hold these shares as treasury stock and they are available for reissue. Presently, we have no plans to distribute these shares, although we may change these plans if necessary to fulfill our on-going business objectives. See Note 12 contained in "Notes to Consolidated Financial Statements" for further information regarding our share repurchase programs.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39,434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15,043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15,217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120"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Residential Control Systems, Inc. ("RCS").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Pr>
          <w:p>
            <w:pPr>
              <w:spacing w:after="0"/>
              <w:rPr>
                <w:sz w:val="16"/>
                <w:szCs w:val="16"/>
                <w:color w:val="auto"/>
              </w:rPr>
            </w:pPr>
          </w:p>
        </w:tc>
        <w:tc>
          <w:tcPr>
            <w:tcW w:w="18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6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53,207</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60" w:type="dxa"/>
            <w:vAlign w:val="bottom"/>
          </w:tcPr>
          <w:p>
            <w:pPr>
              <w:spacing w:after="0"/>
              <w:rPr>
                <w:sz w:val="21"/>
                <w:szCs w:val="21"/>
                <w:color w:val="auto"/>
              </w:rPr>
            </w:pPr>
          </w:p>
        </w:tc>
        <w:tc>
          <w:tcPr>
            <w:tcW w:w="1780" w:type="dxa"/>
            <w:vAlign w:val="bottom"/>
          </w:tcPr>
          <w:p>
            <w:pPr>
              <w:jc w:val="right"/>
              <w:ind w:right="36"/>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28,500</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not provided for the state income tax liability or foreign withholding tax on these amounts for financial statement purposes as this cash is considered indefinitely reinvested outside of the United States. Our intent is to meet our domestic liquidity needs through ongoing cash flows, external borrowings, or both.</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2019, we had $6.1 million, $13.0 million, $7.9 million, $8.7 million and $9.2 million of cash and cash equivalents in the United States, the PRC, Asia (excluding the PRC), Europe, and South America, respectively. On December 31, 2018, we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had $1.2 million, $20.9 million, $2.4 million, $19.9 million, and $8.9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$130.0 million revolving line of credit ("Credit Line") through June 30, 2019 and a $125.0 million Credit Line thereafter and through its expiration date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2019.</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March 31, 2019 was 4.25%.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March 31, 2019, we were in compliance with the covenants and conditions of the Second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had an outstanding balance of $106.5 million on our Credit Line and $20.8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2018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efforts to refocus their operations to broadband and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our inability to successfully, timely and profitably restructure and/or relocate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$0.8 million annual impact on net income based on our outstanding line of credit balance at March 31, 2019.</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March 31, 2019,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Philippine Peso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Philippine Peso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2019, we believe that movements in foreign currency rates may have a material effect on our financial position and results of operations. We estimate that if the exchange rates for the Chinese Yuan Renminbi, Euro, British Pound, Argentinian Peso, Mexican Peso, Brazilian Real, Indian Rupee, Philippine Peso and Japanese Yen relative to the U.S. Dollar fluctuate 10% from March 31, 2019, net income in the second quarter of 2019 would fluctuate by approximately $11.5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2019, we implemented the provisions of ASU 2016-02, which impacted certain of our accounting processes and polices around accounting for leases. As a result, we added and/or enhanced certain internal controls around the accumulation of accounting information and recording of right-of-use lease assets and lease liabilities.</w:t>
      </w: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as described above, there have been no other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11"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risk factors discussed in "Part I, Item 1A: Risk Factors" of the Company's 2018 Annual Report on Form 10-K incorporated herein by reference. These factors may cause our actual results to differ materially from those stated in forward-looking statements contained in this document and elsewhere.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2019,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Total Number of</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Total Dollar Value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162"/>
        </w:trPr>
        <w:tc>
          <w:tcPr>
            <w:tcW w:w="3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2019 - January 31, 2019</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12,094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297,054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4,116,634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February 1, 2019 - February 28, 2019</w:t>
            </w:r>
          </w:p>
        </w:tc>
        <w:tc>
          <w:tcPr>
            <w:tcW w:w="1280" w:type="dxa"/>
            <w:vAlign w:val="bottom"/>
          </w:tcPr>
          <w:p>
            <w:pPr>
              <w:jc w:val="right"/>
              <w:ind w:right="42"/>
              <w:spacing w:after="0"/>
              <w:rPr>
                <w:sz w:val="20"/>
                <w:szCs w:val="20"/>
                <w:color w:val="auto"/>
              </w:rPr>
            </w:pPr>
            <w:r>
              <w:rPr>
                <w:rFonts w:ascii="Arial" w:cs="Arial" w:eastAsia="Arial" w:hAnsi="Arial"/>
                <w:sz w:val="18"/>
                <w:szCs w:val="18"/>
                <w:color w:val="auto"/>
              </w:rPr>
              <w:t>29,891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182,373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2019 - March 31, 2019</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57"/>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42,746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479,427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27"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Of the repurchases in January, February and March, 1,594, 23,391 and 761 shares, respectively,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4"/>
          <w:szCs w:val="24"/>
          <w:color w:val="auto"/>
          <w:vertAlign w:val="superscript"/>
        </w:rPr>
      </w:pPr>
    </w:p>
    <w:p>
      <w:pPr>
        <w:ind w:left="66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in this column reflect the weighted average price paid for shares purchased under our share repurchase authorizations, inclusive of commissions paid to brokers.</w:t>
      </w:r>
    </w:p>
    <w:p>
      <w:pPr>
        <w:spacing w:after="0" w:line="95" w:lineRule="exact"/>
        <w:rPr>
          <w:rFonts w:ascii="Arial" w:cs="Arial" w:eastAsia="Arial" w:hAnsi="Arial"/>
          <w:sz w:val="25"/>
          <w:szCs w:val="25"/>
          <w:color w:val="auto"/>
          <w:vertAlign w:val="superscript"/>
        </w:rPr>
      </w:pPr>
    </w:p>
    <w:p>
      <w:pPr>
        <w:jc w:val="both"/>
        <w:ind w:left="660" w:hanging="328"/>
        <w:spacing w:after="0" w:line="232"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On October 30, 2018, our board of directors approved a repurchase plan authorizing the repurchase of up to $5.0 million of our common stock. Under these authorizations, shares may be repurchased in privately negotiated and/or open market transactions, including under plans complying with Rule 10b5-1 under the Exchange Act. As of March 31, 2019, we had $3.9 million of authorized repurchases remaining under the Board's authorizations.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0" w:type="dxa"/>
            <w:vAlign w:val="bottom"/>
            <w:gridSpan w:val="2"/>
          </w:tcPr>
          <w:p>
            <w:pPr>
              <w:ind w:left="84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1340" w:type="dxa"/>
            <w:vAlign w:val="bottom"/>
          </w:tcPr>
          <w:p>
            <w:pPr>
              <w:jc w:val="right"/>
              <w:ind w:right="950"/>
              <w:spacing w:after="0"/>
              <w:rPr>
                <w:sz w:val="20"/>
                <w:szCs w:val="20"/>
                <w:color w:val="auto"/>
              </w:rPr>
            </w:pPr>
            <w:r>
              <w:rPr>
                <w:rFonts w:ascii="Arial" w:cs="Arial" w:eastAsia="Arial" w:hAnsi="Arial"/>
                <w:sz w:val="18"/>
                <w:szCs w:val="18"/>
                <w:color w:val="auto"/>
                <w:w w:val="79"/>
              </w:rPr>
              <w:t>31.1</w:t>
            </w:r>
          </w:p>
        </w:tc>
        <w:tc>
          <w:tcPr>
            <w:tcW w:w="940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460" w:type="dxa"/>
            <w:vAlign w:val="bottom"/>
          </w:tcPr>
          <w:p>
            <w:pPr>
              <w:spacing w:after="0"/>
              <w:rPr>
                <w:sz w:val="24"/>
                <w:szCs w:val="24"/>
                <w:color w:val="auto"/>
              </w:rPr>
            </w:pPr>
          </w:p>
        </w:tc>
      </w:tr>
      <w:tr>
        <w:trPr>
          <w:trHeight w:val="372"/>
        </w:trPr>
        <w:tc>
          <w:tcPr>
            <w:tcW w:w="1340" w:type="dxa"/>
            <w:vAlign w:val="bottom"/>
          </w:tcPr>
          <w:p>
            <w:pPr>
              <w:jc w:val="right"/>
              <w:ind w:right="950"/>
              <w:spacing w:after="0"/>
              <w:rPr>
                <w:sz w:val="20"/>
                <w:szCs w:val="20"/>
                <w:color w:val="auto"/>
              </w:rPr>
            </w:pPr>
            <w:r>
              <w:rPr>
                <w:rFonts w:ascii="Arial" w:cs="Arial" w:eastAsia="Arial" w:hAnsi="Arial"/>
                <w:sz w:val="18"/>
                <w:szCs w:val="18"/>
                <w:color w:val="auto"/>
                <w:w w:val="79"/>
              </w:rPr>
              <w:t>31.2</w:t>
            </w:r>
          </w:p>
        </w:tc>
        <w:tc>
          <w:tcPr>
            <w:tcW w:w="986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Rule 13a-14(a) Certifications of Bryan M. Hackworth, Chief Financial Officer (principal financial officer and principal accounting</w:t>
              </w:r>
            </w:hyperlink>
          </w:p>
        </w:tc>
      </w:tr>
      <w:tr>
        <w:trPr>
          <w:trHeight w:val="196"/>
        </w:trPr>
        <w:tc>
          <w:tcPr>
            <w:tcW w:w="134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34">
              <w:r>
                <w:rPr>
                  <w:rFonts w:ascii="Arial" w:cs="Arial" w:eastAsia="Arial" w:hAnsi="Arial"/>
                  <w:sz w:val="18"/>
                  <w:szCs w:val="18"/>
                  <w:color w:val="0000FF"/>
                  <w:w w:val="93"/>
                </w:rPr>
                <w:t>officer) of Universal Electronics Inc.</w:t>
              </w:r>
            </w:hyperlink>
          </w:p>
        </w:tc>
        <w:tc>
          <w:tcPr>
            <w:tcW w:w="7200" w:type="dxa"/>
            <w:vAlign w:val="bottom"/>
            <w:gridSpan w:val="2"/>
          </w:tcPr>
          <w:p>
            <w:pPr>
              <w:spacing w:after="0"/>
              <w:rPr>
                <w:sz w:val="17"/>
                <w:szCs w:val="17"/>
                <w:color w:val="auto"/>
              </w:rPr>
            </w:pPr>
          </w:p>
        </w:tc>
      </w:tr>
    </w:tbl>
    <w:p>
      <w:pPr>
        <w:spacing w:after="0" w:line="188" w:lineRule="exact"/>
        <w:rPr>
          <w:sz w:val="20"/>
          <w:szCs w:val="20"/>
          <w:color w:val="auto"/>
        </w:rPr>
      </w:pPr>
    </w:p>
    <w:p>
      <w:pPr>
        <w:jc w:val="both"/>
        <w:ind w:left="1520" w:hanging="1350"/>
        <w:spacing w:after="0" w:line="264" w:lineRule="auto"/>
        <w:tabs>
          <w:tab w:leader="none" w:pos="1520" w:val="left"/>
        </w:tabs>
        <w:numPr>
          <w:ilvl w:val="0"/>
          <w:numId w:val="16"/>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Bryan M. Hackworth, Chief Financial Officer (principal financial officer and principal accounting officer) of Universal Electronics Inc.,</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pursuant to 18 U.S.C. Section 1350</w:t>
        </w:r>
      </w:hyperlink>
    </w:p>
    <w:p>
      <w:pPr>
        <w:spacing w:after="0" w:line="141" w:lineRule="exact"/>
        <w:rPr>
          <w:rFonts w:ascii="Arial" w:cs="Arial" w:eastAsia="Arial" w:hAnsi="Arial"/>
          <w:sz w:val="18"/>
          <w:szCs w:val="18"/>
          <w:u w:val="single" w:color="auto"/>
          <w:color w:val="0000FF"/>
        </w:rPr>
      </w:pPr>
    </w:p>
    <w:tbl>
      <w:tblPr>
        <w:tblLayout w:type="fixed"/>
        <w:tblInd w:w="18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3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3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3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w w:val="92"/>
              </w:rPr>
              <w:t>Dated:May 8, 2019</w:t>
            </w:r>
          </w:p>
        </w:tc>
        <w:tc>
          <w:tcPr>
            <w:tcW w:w="7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60" w:type="dxa"/>
            <w:vAlign w:val="bottom"/>
          </w:tcPr>
          <w:p>
            <w:pPr>
              <w:spacing w:after="0"/>
              <w:rPr>
                <w:sz w:val="24"/>
                <w:szCs w:val="24"/>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(principal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2019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2019-12-28T12:24:52Z</dcterms:created>
  <dcterms:modified xsi:type="dcterms:W3CDTF">2019-12-28T12:24:52Z</dcterms:modified>
</cp:coreProperties>
</file>