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ind w:left="0" w:right="0" w:firstLine="495"/>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erif" w:hAnsi="Times New Roman;serif"/>
          <w:b/>
          <w:color w:val="000000"/>
          <w:sz w:val="24"/>
        </w:rPr>
      </w:pPr>
      <w:r>
        <w:rPr>
          <w:rFonts w:ascii="Times New Roman;serif" w:hAnsi="Times New Roman;serif"/>
          <w:b/>
          <w:color w:val="000000"/>
          <w:sz w:val="24"/>
        </w:rPr>
        <w:t>For the transition period from            to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0-21044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137" w:type="dxa"/>
        <w:jc w:val="center"/>
        <w:tblInd w:w="0" w:type="dxa"/>
        <w:tblLayout w:type="fixed"/>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33-0204817</w:t>
            </w:r>
          </w:p>
        </w:tc>
      </w:tr>
      <w:tr>
        <w:trP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15147 N. Scottsdale Road, Suite H300, Scottsdale, Arizona 85254-2494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(480) 530-3000</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pPr>
      <w:r>
        <w:rPr>
          <w:rFonts w:ascii="Times New Roman;serif" w:hAnsi="Times New Roman;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082"/>
        <w:gridCol w:w="951"/>
        <w:gridCol w:w="953"/>
        <w:gridCol w:w="169"/>
        <w:gridCol w:w="169"/>
        <w:gridCol w:w="169"/>
        <w:gridCol w:w="169"/>
        <w:gridCol w:w="169"/>
        <w:gridCol w:w="169"/>
        <w:gridCol w:w="169"/>
        <w:gridCol w:w="169"/>
        <w:gridCol w:w="169"/>
        <w:gridCol w:w="169"/>
        <w:gridCol w:w="169"/>
        <w:gridCol w:w="169"/>
        <w:gridCol w:w="169"/>
        <w:gridCol w:w="169"/>
        <w:gridCol w:w="169"/>
        <w:gridCol w:w="169"/>
        <w:gridCol w:w="169"/>
        <w:gridCol w:w="169"/>
        <w:gridCol w:w="1195"/>
        <w:gridCol w:w="1195"/>
        <w:gridCol w:w="1202"/>
        <w:gridCol w:w="169"/>
        <w:gridCol w:w="169"/>
        <w:gridCol w:w="247"/>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Act).Yes ☐ No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12,885,062 shares of Common Stock, par value $0.01 per share, of the registrant were outstanding on August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8685" w:type="dxa"/>
        <w:jc w:val="left"/>
        <w:tblInd w:w="0" w:type="dxa"/>
        <w:tblLayout w:type="fixed"/>
        <w:tblCellMar>
          <w:top w:w="28" w:type="dxa"/>
          <w:left w:w="28" w:type="dxa"/>
          <w:bottom w:w="28" w:type="dxa"/>
          <w:right w:w="28" w:type="dxa"/>
        </w:tblCellMar>
      </w:tblPr>
      <w:tblGrid>
        <w:gridCol w:w="2879"/>
        <w:gridCol w:w="2529"/>
        <w:gridCol w:w="2541"/>
        <w:gridCol w:w="215"/>
        <w:gridCol w:w="215"/>
        <w:gridCol w:w="306"/>
      </w:tblGrid>
      <w:tr>
        <w:trPr/>
        <w:tc>
          <w:tcPr>
            <w:tcW w:w="287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0">
              <w:r>
                <w:rPr>
                  <w:rStyle w:val="InternetLink"/>
                  <w:rFonts w:ascii="Times New Roman;serif" w:hAnsi="Times New Roman;serif"/>
                  <w:b/>
                  <w:color w:val="0000FF"/>
                  <w:sz w:val="20"/>
                  <w:u w:val="single"/>
                </w:rPr>
                <w:t>PART I.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0">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3">
              <w:r>
                <w:rPr>
                  <w:rStyle w:val="InternetLink"/>
                  <w:rFonts w:ascii="Times New Roman;serif" w:hAnsi="Times New Roman;serif"/>
                  <w:b w:val="false"/>
                  <w:color w:val="0000FF"/>
                  <w:sz w:val="20"/>
                  <w:u w:val="single"/>
                </w:rPr>
                <w:t>Item 1. Consolidated Financial Statements (Unaudited)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3">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6">
              <w:r>
                <w:rPr>
                  <w:rStyle w:val="InternetLink"/>
                  <w:rFonts w:ascii="Times New Roman;serif" w:hAnsi="Times New Roman;serif"/>
                  <w:b w:val="false"/>
                  <w:color w:val="0000FF"/>
                  <w:sz w:val="20"/>
                  <w:u w:val="single"/>
                </w:rPr>
                <w:t>Consolidated Balance Sheets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6">
              <w:r>
                <w:rPr>
                  <w:rStyle w:val="InternetLink"/>
                  <w:rFonts w:ascii="Times New Roman;serif" w:hAnsi="Times New Roman;serif"/>
                  <w:b w:val="false"/>
                  <w:color w:val="0000FF"/>
                  <w:sz w:val="20"/>
                  <w:u w:val="single"/>
                </w:rPr>
                <w:t>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9">
              <w:r>
                <w:rPr>
                  <w:rStyle w:val="InternetLink"/>
                  <w:rFonts w:ascii="Times New Roman;serif" w:hAnsi="Times New Roman;serif"/>
                  <w:b w:val="false"/>
                  <w:color w:val="0000FF"/>
                  <w:sz w:val="20"/>
                  <w:u w:val="single"/>
                </w:rPr>
                <w:t>Consolidated Statements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9">
              <w:r>
                <w:rPr>
                  <w:rStyle w:val="InternetLink"/>
                  <w:rFonts w:ascii="Times New Roman;serif" w:hAnsi="Times New Roman;serif"/>
                  <w:b w:val="false"/>
                  <w:color w:val="0000FF"/>
                  <w:sz w:val="20"/>
                  <w:u w:val="single"/>
                </w:rPr>
                <w:t>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22">
              <w:r>
                <w:rPr>
                  <w:rStyle w:val="InternetLink"/>
                  <w:rFonts w:ascii="Times New Roman;serif" w:hAnsi="Times New Roman;serif"/>
                  <w:b w:val="false"/>
                  <w:color w:val="0000FF"/>
                  <w:sz w:val="20"/>
                  <w:u w:val="single"/>
                </w:rPr>
                <w:t>Consolidated Statements of Comprehensive Income (Loss)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22">
              <w:r>
                <w:rPr>
                  <w:rStyle w:val="InternetLink"/>
                  <w:rFonts w:ascii="Times New Roman;serif" w:hAnsi="Times New Roman;serif"/>
                  <w:b w:val="false"/>
                  <w:color w:val="0000FF"/>
                  <w:sz w:val="20"/>
                  <w:u w:val="single"/>
                </w:rPr>
                <w:t>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25">
              <w:r>
                <w:rPr>
                  <w:rStyle w:val="InternetLink"/>
                  <w:rFonts w:ascii="Times New Roman;serif" w:hAnsi="Times New Roman;serif"/>
                  <w:b w:val="false"/>
                  <w:color w:val="0000FF"/>
                  <w:sz w:val="20"/>
                  <w:u w:val="single"/>
                </w:rPr>
                <w:t>Consolidated Statements of Stockholders'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25">
              <w:r>
                <w:rPr>
                  <w:rStyle w:val="InternetLink"/>
                  <w:rFonts w:ascii="Times New Roman;serif" w:hAnsi="Times New Roman;serif"/>
                  <w:b w:val="false"/>
                  <w:color w:val="0000FF"/>
                  <w:sz w:val="20"/>
                  <w:u w:val="single"/>
                </w:rPr>
                <w:t>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28">
              <w:r>
                <w:rPr>
                  <w:rStyle w:val="InternetLink"/>
                  <w:rFonts w:ascii="Times New Roman;serif" w:hAnsi="Times New Roman;serif"/>
                  <w:b w:val="false"/>
                  <w:color w:val="0000FF"/>
                  <w:sz w:val="20"/>
                  <w:u w:val="single"/>
                </w:rPr>
                <w:t>Consolidated Statements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28">
              <w:r>
                <w:rPr>
                  <w:rStyle w:val="InternetLink"/>
                  <w:rFonts w:ascii="Times New Roman;serif" w:hAnsi="Times New Roman;serif"/>
                  <w:b w:val="false"/>
                  <w:color w:val="0000FF"/>
                  <w:sz w:val="20"/>
                  <w:u w:val="single"/>
                </w:rPr>
                <w:t>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31">
              <w:r>
                <w:rPr>
                  <w:rStyle w:val="InternetLink"/>
                  <w:rFonts w:ascii="Times New Roman;serif" w:hAnsi="Times New Roman;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31">
              <w:r>
                <w:rPr>
                  <w:rStyle w:val="InternetLink"/>
                  <w:rFonts w:ascii="Times New Roman;serif" w:hAnsi="Times New Roman;serif"/>
                  <w:b w:val="false"/>
                  <w:color w:val="0000FF"/>
                  <w:sz w:val="20"/>
                  <w:u w:val="single"/>
                </w:rPr>
                <w:t>9</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97">
              <w:r>
                <w:rPr>
                  <w:rStyle w:val="InternetLink"/>
                  <w:rFonts w:ascii="Times New Roman;serif" w:hAnsi="Times New Roman;serif"/>
                  <w:b w:val="false"/>
                  <w:color w:val="0000FF"/>
                  <w:sz w:val="20"/>
                  <w:u w:val="single"/>
                </w:rPr>
                <w:t>28</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06">
              <w:r>
                <w:rPr>
                  <w:rStyle w:val="InternetLink"/>
                  <w:rFonts w:ascii="Times New Roman;serif" w:hAnsi="Times New Roman;serif"/>
                  <w:b w:val="false"/>
                  <w:color w:val="0000FF"/>
                  <w:sz w:val="20"/>
                  <w:u w:val="single"/>
                </w:rPr>
                <w:t>Item 3.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06">
              <w:r>
                <w:rPr>
                  <w:rStyle w:val="InternetLink"/>
                  <w:rFonts w:ascii="Times New Roman;serif" w:hAnsi="Times New Roman;serif"/>
                  <w:b w:val="false"/>
                  <w:color w:val="0000FF"/>
                  <w:sz w:val="20"/>
                  <w:u w:val="single"/>
                </w:rPr>
                <w:t>34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09">
              <w:r>
                <w:rPr>
                  <w:rStyle w:val="InternetLink"/>
                  <w:rFonts w:ascii="Times New Roman;serif" w:hAnsi="Times New Roman;serif"/>
                  <w:b w:val="false"/>
                  <w:color w:val="0000FF"/>
                  <w:sz w:val="20"/>
                  <w:u w:val="single"/>
                </w:rPr>
                <w:t>Item 4.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09">
              <w:r>
                <w:rPr>
                  <w:rStyle w:val="InternetLink"/>
                  <w:rFonts w:ascii="Times New Roman;serif" w:hAnsi="Times New Roman;serif"/>
                  <w:b w:val="false"/>
                  <w:color w:val="0000FF"/>
                  <w:sz w:val="20"/>
                  <w:u w:val="single"/>
                </w:rPr>
                <w:t>35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12">
              <w:r>
                <w:rPr>
                  <w:rStyle w:val="InternetLink"/>
                  <w:rFonts w:ascii="Times New Roman;serif" w:hAnsi="Times New Roman;serif"/>
                  <w:b/>
                  <w:color w:val="0000FF"/>
                  <w:sz w:val="20"/>
                  <w:u w:val="single"/>
                </w:rPr>
                <w:t>PART II.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12">
              <w:r>
                <w:rPr>
                  <w:rStyle w:val="InternetLink"/>
                  <w:rFonts w:ascii="Times New Roman;serif" w:hAnsi="Times New Roman;serif"/>
                  <w:b w:val="false"/>
                  <w:color w:val="0000FF"/>
                  <w:sz w:val="20"/>
                  <w:u w:val="single"/>
                </w:rPr>
                <w:t>35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15">
              <w:r>
                <w:rPr>
                  <w:rStyle w:val="InternetLink"/>
                  <w:rFonts w:ascii="Times New Roman;serif" w:hAnsi="Times New Roman;serif"/>
                  <w:b w:val="false"/>
                  <w:color w:val="0000FF"/>
                  <w:sz w:val="20"/>
                  <w:u w:val="single"/>
                </w:rPr>
                <w:t>Item 1.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15">
              <w:r>
                <w:rPr>
                  <w:rStyle w:val="InternetLink"/>
                  <w:rFonts w:ascii="Times New Roman;serif" w:hAnsi="Times New Roman;serif"/>
                  <w:b w:val="false"/>
                  <w:color w:val="0000FF"/>
                  <w:sz w:val="20"/>
                  <w:u w:val="single"/>
                </w:rPr>
                <w:t>35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18">
              <w:r>
                <w:rPr>
                  <w:rStyle w:val="InternetLink"/>
                  <w:rFonts w:ascii="Times New Roman;serif" w:hAnsi="Times New Roman;serif"/>
                  <w:b w:val="false"/>
                  <w:color w:val="0000FF"/>
                  <w:sz w:val="20"/>
                  <w:u w:val="single"/>
                </w:rPr>
                <w:t>Item 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18">
              <w:r>
                <w:rPr>
                  <w:rStyle w:val="InternetLink"/>
                  <w:rFonts w:ascii="Times New Roman;serif" w:hAnsi="Times New Roman;serif"/>
                  <w:b w:val="false"/>
                  <w:color w:val="0000FF"/>
                  <w:sz w:val="20"/>
                  <w:u w:val="single"/>
                </w:rPr>
                <w:t>35</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21">
              <w:r>
                <w:rPr>
                  <w:rStyle w:val="InternetLink"/>
                  <w:rFonts w:ascii="Times New Roman;serif" w:hAnsi="Times New Roman;serif"/>
                  <w:b w:val="false"/>
                  <w:color w:val="0000FF"/>
                  <w:sz w:val="20"/>
                  <w:u w:val="single"/>
                </w:rPr>
                <w:t>Item 2. 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21">
              <w:r>
                <w:rPr>
                  <w:rStyle w:val="InternetLink"/>
                  <w:rFonts w:ascii="Times New Roman;serif" w:hAnsi="Times New Roman;serif"/>
                  <w:b w:val="false"/>
                  <w:color w:val="0000FF"/>
                  <w:sz w:val="20"/>
                  <w:u w:val="single"/>
                </w:rPr>
                <w:t>36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24">
              <w:r>
                <w:rPr>
                  <w:rStyle w:val="InternetLink"/>
                  <w:rFonts w:ascii="Times New Roman;serif" w:hAnsi="Times New Roman;serif"/>
                  <w:b w:val="false"/>
                  <w:color w:val="0000FF"/>
                  <w:sz w:val="20"/>
                  <w:u w:val="single"/>
                </w:rPr>
                <w:t>Item 5.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24">
              <w:r>
                <w:rPr>
                  <w:rStyle w:val="InternetLink"/>
                  <w:rFonts w:ascii="Times New Roman;serif" w:hAnsi="Times New Roman;serif"/>
                  <w:b w:val="false"/>
                  <w:color w:val="0000FF"/>
                  <w:sz w:val="20"/>
                  <w:u w:val="single"/>
                </w:rPr>
                <w:t>36</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27">
              <w:r>
                <w:rPr>
                  <w:rStyle w:val="InternetLink"/>
                  <w:rFonts w:ascii="Times New Roman;serif" w:hAnsi="Times New Roman;serif"/>
                  <w:b w:val="false"/>
                  <w:color w:val="0000FF"/>
                  <w:sz w:val="20"/>
                  <w:u w:val="single"/>
                </w:rPr>
                <w:t>Item 6. 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27">
              <w:r>
                <w:rPr>
                  <w:rStyle w:val="InternetLink"/>
                  <w:rFonts w:ascii="Times New Roman;serif" w:hAnsi="Times New Roman;serif"/>
                  <w:b w:val="false"/>
                  <w:color w:val="0000FF"/>
                  <w:sz w:val="20"/>
                  <w:u w:val="single"/>
                </w:rPr>
                <w:t>37</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7528057d14a04b60e0691e09d7fc1_130">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47528057d14a04b60e0691e09d7fc1_130">
              <w:r>
                <w:rPr>
                  <w:rStyle w:val="InternetLink"/>
                  <w:rFonts w:ascii="Times New Roman;serif" w:hAnsi="Times New Roman;serif"/>
                  <w:b w:val="false"/>
                  <w:color w:val="0000FF"/>
                  <w:sz w:val="20"/>
                  <w:u w:val="single"/>
                </w:rPr>
                <w:t>38</w:t>
              </w:r>
            </w:hyperlink>
          </w:p>
        </w:tc>
      </w:tr>
    </w:tbl>
    <w:p>
      <w:pPr>
        <w:pStyle w:val="TextBody"/>
        <w:bidi w:val="0"/>
        <w:spacing w:before="80" w:after="283"/>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share-related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03"/>
        <w:gridCol w:w="2273"/>
        <w:gridCol w:w="2258"/>
        <w:gridCol w:w="205"/>
        <w:gridCol w:w="770"/>
        <w:gridCol w:w="113"/>
        <w:gridCol w:w="109"/>
        <w:gridCol w:w="109"/>
        <w:gridCol w:w="109"/>
        <w:gridCol w:w="244"/>
        <w:gridCol w:w="917"/>
        <w:gridCol w:w="195"/>
      </w:tblGrid>
      <w:tr>
        <w:trPr/>
        <w:tc>
          <w:tcPr>
            <w:tcW w:w="290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205,119 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Lines of credit and short term financing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discounts, rebates and royalties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119,310 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127,813 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shares authorized; none issued or outstanding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 shares authorized; 26,441,443 and 26,146,367 shares issued on June 30, 2026 and December 31, 2025,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13,537,944 and 13,537,944 shares on June 30, 2026 and December 31, 2025,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267,329 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8930" w:type="dxa"/>
        <w:jc w:val="center"/>
        <w:tblInd w:w="0" w:type="dxa"/>
        <w:tblLayout w:type="fixed"/>
        <w:tblCellMar>
          <w:top w:w="28" w:type="dxa"/>
          <w:left w:w="28" w:type="dxa"/>
          <w:bottom w:w="28" w:type="dxa"/>
          <w:right w:w="28" w:type="dxa"/>
        </w:tblCellMar>
      </w:tblPr>
      <w:tblGrid>
        <w:gridCol w:w="1362"/>
        <w:gridCol w:w="1201"/>
        <w:gridCol w:w="1217"/>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share:</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earnings (loss) per share:</w:t>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8480" w:type="dxa"/>
        <w:jc w:val="center"/>
        <w:tblInd w:w="0" w:type="dxa"/>
        <w:tblLayout w:type="fixed"/>
        <w:tblCellMar>
          <w:top w:w="28" w:type="dxa"/>
          <w:left w:w="28" w:type="dxa"/>
          <w:bottom w:w="28" w:type="dxa"/>
          <w:right w:w="28" w:type="dxa"/>
        </w:tblCellMar>
      </w:tblPr>
      <w:tblGrid>
        <w:gridCol w:w="1316"/>
        <w:gridCol w:w="1161"/>
        <w:gridCol w:w="1168"/>
        <w:gridCol w:w="209"/>
        <w:gridCol w:w="593"/>
        <w:gridCol w:w="116"/>
        <w:gridCol w:w="116"/>
        <w:gridCol w:w="116"/>
        <w:gridCol w:w="116"/>
        <w:gridCol w:w="209"/>
        <w:gridCol w:w="673"/>
        <w:gridCol w:w="116"/>
        <w:gridCol w:w="109"/>
        <w:gridCol w:w="109"/>
        <w:gridCol w:w="109"/>
        <w:gridCol w:w="196"/>
        <w:gridCol w:w="631"/>
        <w:gridCol w:w="109"/>
        <w:gridCol w:w="109"/>
        <w:gridCol w:w="109"/>
        <w:gridCol w:w="109"/>
        <w:gridCol w:w="196"/>
        <w:gridCol w:w="63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w:t>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following summarizes the changes in total equity for six months ended June 30, 2026:</w:t>
      </w:r>
    </w:p>
    <w:tbl>
      <w:tblPr>
        <w:tblW w:w="11250" w:type="dxa"/>
        <w:jc w:val="left"/>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00" w:after="283"/>
        <w:jc w:val="left"/>
        <w:rPr/>
      </w:pPr>
      <w:r>
        <w:rPr>
          <w:rFonts w:ascii="Times New Roman;serif" w:hAnsi="Times New Roman;serif"/>
          <w:b w:val="false"/>
          <w:color w:val="000000"/>
          <w:sz w:val="18"/>
        </w:rPr>
        <w:t xml:space="preserve">The following summarizes the changes in total equity for six months ended </w:t>
      </w:r>
      <w:r>
        <w:rPr>
          <w:rFonts w:ascii="Times New Roman;serif" w:hAnsi="Times New Roman;serif"/>
          <w:b w:val="false"/>
          <w:color w:val="000000"/>
          <w:sz w:val="20"/>
        </w:rPr>
        <w:t>June 30, 2025</w:t>
      </w:r>
      <w:r>
        <w:rPr>
          <w:rFonts w:ascii="Times New Roman;serif" w:hAnsi="Times New Roman;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tbl>
      <w:tblPr>
        <w:tblW w:w="11250" w:type="dxa"/>
        <w:jc w:val="center"/>
        <w:tblInd w:w="0" w:type="dxa"/>
        <w:tblLayout w:type="fixed"/>
        <w:tblCellMar>
          <w:top w:w="28" w:type="dxa"/>
          <w:left w:w="28" w:type="dxa"/>
          <w:bottom w:w="28" w:type="dxa"/>
          <w:right w:w="28" w:type="dxa"/>
        </w:tblCellMar>
      </w:tblPr>
      <w:tblGrid>
        <w:gridCol w:w="55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9264" w:type="dxa"/>
        <w:jc w:val="left"/>
        <w:tblInd w:w="0" w:type="dxa"/>
        <w:tblLayout w:type="fixed"/>
        <w:tblCellMar>
          <w:top w:w="28" w:type="dxa"/>
          <w:left w:w="28" w:type="dxa"/>
          <w:bottom w:w="28" w:type="dxa"/>
          <w:right w:w="28" w:type="dxa"/>
        </w:tblCellMar>
      </w:tblPr>
      <w:tblGrid>
        <w:gridCol w:w="2532"/>
        <w:gridCol w:w="2220"/>
        <w:gridCol w:w="2238"/>
        <w:gridCol w:w="196"/>
        <w:gridCol w:w="646"/>
        <w:gridCol w:w="109"/>
        <w:gridCol w:w="109"/>
        <w:gridCol w:w="109"/>
        <w:gridCol w:w="109"/>
        <w:gridCol w:w="196"/>
        <w:gridCol w:w="646"/>
        <w:gridCol w:w="154"/>
      </w:tblGrid>
      <w:tr>
        <w:trPr/>
        <w:tc>
          <w:tcPr>
            <w:tcW w:w="2532"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for)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Blue Chip Swap securities (Note 15)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Blue Chip Swap securities (Note 15)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lines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 term financing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rates on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restructuring charges, monetization of IEEPA tariff refund claims, and re-acquisition of assets held for sale, as described in Notes 12, 8, and 19, respectively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"UEI," "we," "us," and "our" refer to Universal Electronics Inc. and its subsidiaries, unless the context indicates to the contrary.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for the three and six months ended June 30, 2026,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Estimates and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and intangible assets,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the exception of the following policy, our significant accounting policies are unchanged from those disclosed in Note 2 to the consolidated financial statements included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Significant Accounting Policy Updates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IEEPA Tariff Refund Claims/ Monetization of Tariff refund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the U.S. Supreme Court ruled that tariffs imposed under the International Emergency Economic Powers Act (“IEEPA”) were unlawful and therefore invalid. As a result, the Company intended to seek reimbursement from the US Customs and Border Protection ("CBP") for IEEPA tariffs paid during calendar years 2025 and 2026.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The Company has applied the loss recovery guidance under FASB ASC 450</w:t>
      </w:r>
      <w:r>
        <w:rPr>
          <w:color w:val="000000"/>
        </w:rPr>
        <w:t xml:space="preserve"> – </w:t>
      </w:r>
      <w:r>
        <w:rPr>
          <w:rFonts w:ascii="Times New Roman;serif" w:hAnsi="Times New Roman;serif"/>
          <w:b w:val="false"/>
          <w:i/>
          <w:color w:val="000000"/>
          <w:sz w:val="20"/>
        </w:rPr>
        <w:t>Contingencies</w:t>
      </w:r>
      <w:r>
        <w:rPr>
          <w:color w:val="000000"/>
        </w:rPr>
        <w:t xml:space="preserve"> </w:t>
      </w:r>
      <w:r>
        <w:rPr>
          <w:rFonts w:ascii="Times New Roman;serif" w:hAnsi="Times New Roman;serif"/>
          <w:b w:val="false"/>
          <w:color w:val="000000"/>
          <w:sz w:val="20"/>
        </w:rPr>
        <w:t xml:space="preserve">to account for the recognition of these claims. Any future recovery of tariff refund claims will be recognized as a receivable when the claim becomes probable and will be reflected as a reduction of Cost of goods sold for inventory previously sold, or as a reduction of inventory for goods that remain unsold. In the first quarter of 2026, the Company did not recognize an asset for recovery of tariff refund claims based on available information at that time, and considered recovery was not probable. As of the end of the second quarter of 2026, following a reassessment of the facts and circumstances, management concluded that recovery of the tariff refund claims had become probable. Accordingly, the Company recognized an asset for the expected recovery of the tariff refund claims.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entered into the Tariff Claim Agreement with a third-party financial institution ("Buyer") to monetize its claims for refunds of tariffs previously paid to CBP in consideration for the Purchase Price (as defined below), which reflects a discount to the aggregate amount payable by CBP pursuant to the Claims (as defined below) as mutually agreed between the Company and Buyer. The monetization of tariff refund claims was accounted for in accordance with FASB ASC 470 – Debt and presented as a short-term financing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(the "FASB") issued Accounting Standards Update ("ASU") 2025-05, "Financial Instruments-Credit Losses (Topic 326): Measurement of Credit Losses for Accounts Receivable and Contract Assets". This guidance allows entities to elect a practical expedient that assumes that the current conditions as of the balance sheet date do not change for the remaining life of the asset. This guidance is effective for annual periods beginning after December 15, 2025, and interim reporting periods within those annual reporting periods. The guidance is to be applied on a prospective basis, with early adoption permitted. The Company adopted this standard on a prospective basis for the year beginning January 1, 2026 and elected the practical expedient allowed by ASU. The adoption of this ASU is not expected to have a material impact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 Use Software (Subtopic 350-40): Targeted Improvements to the Accounting for Internal-Use Software". This guidance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This guidance is effective for annual periods beginning after December 15, 2027, and interim reporting periods within those annual reporting periods. The guidance is to be applied on a prospective basis, or on a modified transition approach or a retrospective transition approach, with early adoption permitted. We are currently evaluating the impact of adopting this guidance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Cash and Cash Equivalents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held in the following geographic regions:</w:t>
      </w:r>
    </w:p>
    <w:tbl>
      <w:tblPr>
        <w:tblW w:w="6010" w:type="dxa"/>
        <w:jc w:val="left"/>
        <w:tblInd w:w="0" w:type="dxa"/>
        <w:tblLayout w:type="fixed"/>
        <w:tblCellMar>
          <w:top w:w="28" w:type="dxa"/>
          <w:left w:w="28" w:type="dxa"/>
          <w:bottom w:w="28" w:type="dxa"/>
          <w:right w:w="28" w:type="dxa"/>
        </w:tblCellMar>
      </w:tblPr>
      <w:tblGrid>
        <w:gridCol w:w="1089"/>
        <w:gridCol w:w="961"/>
        <w:gridCol w:w="964"/>
        <w:gridCol w:w="228"/>
        <w:gridCol w:w="779"/>
        <w:gridCol w:w="117"/>
        <w:gridCol w:w="109"/>
        <w:gridCol w:w="109"/>
        <w:gridCol w:w="109"/>
        <w:gridCol w:w="300"/>
        <w:gridCol w:w="1026"/>
        <w:gridCol w:w="219"/>
      </w:tblGrid>
      <w:tr>
        <w:trPr/>
        <w:tc>
          <w:tcPr>
            <w:tcW w:w="108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 ("PRC")</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PRC)</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Revenue and 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Details    </w:t>
      </w:r>
    </w:p>
    <w:p>
      <w:pPr>
        <w:pStyle w:val="TextBody"/>
        <w:bidi w:val="0"/>
        <w:spacing w:before="0" w:after="6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pattern of revenue recognition was as follows:</w:t>
      </w:r>
    </w:p>
    <w:tbl>
      <w:tblPr>
        <w:tblW w:w="9404" w:type="dxa"/>
        <w:jc w:val="center"/>
        <w:tblInd w:w="0" w:type="dxa"/>
        <w:tblLayout w:type="fixed"/>
        <w:tblCellMar>
          <w:top w:w="28" w:type="dxa"/>
          <w:left w:w="28" w:type="dxa"/>
          <w:bottom w:w="28" w:type="dxa"/>
          <w:right w:w="28" w:type="dxa"/>
        </w:tblCellMar>
      </w:tblPr>
      <w:tblGrid>
        <w:gridCol w:w="1447"/>
        <w:gridCol w:w="1277"/>
        <w:gridCol w:w="128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over time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channel were as follows:</w:t>
      </w:r>
    </w:p>
    <w:tbl>
      <w:tblPr>
        <w:tblW w:w="7379" w:type="dxa"/>
        <w:jc w:val="center"/>
        <w:tblInd w:w="0" w:type="dxa"/>
        <w:tblLayout w:type="fixed"/>
        <w:tblCellMar>
          <w:top w:w="28" w:type="dxa"/>
          <w:left w:w="28" w:type="dxa"/>
          <w:bottom w:w="28" w:type="dxa"/>
          <w:right w:w="28" w:type="dxa"/>
        </w:tblCellMar>
      </w:tblPr>
      <w:tblGrid>
        <w:gridCol w:w="715"/>
        <w:gridCol w:w="631"/>
        <w:gridCol w:w="63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Connected home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Home entertainment </w:t>
            </w:r>
            <w:r>
              <w:rPr>
                <w:rFonts w:ascii="Times New Roman;serif" w:hAnsi="Times New Roman;serif"/>
                <w:b w:val="false"/>
                <w:color w:val="000000"/>
                <w:sz w:val="13"/>
              </w:rPr>
              <w:t>(2)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connected home channel represents climate control, smart home and security product sales sold primarily to HVAC, security, home automation and home appliance customers.</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geographic area were as follows:</w:t>
      </w:r>
    </w:p>
    <w:tbl>
      <w:tblPr>
        <w:tblW w:w="7289" w:type="dxa"/>
        <w:jc w:val="left"/>
        <w:tblInd w:w="0" w:type="dxa"/>
        <w:tblLayout w:type="fixed"/>
        <w:tblCellMar>
          <w:top w:w="28" w:type="dxa"/>
          <w:left w:w="28" w:type="dxa"/>
          <w:bottom w:w="28" w:type="dxa"/>
          <w:right w:w="28" w:type="dxa"/>
        </w:tblCellMar>
      </w:tblPr>
      <w:tblGrid>
        <w:gridCol w:w="682"/>
        <w:gridCol w:w="602"/>
        <w:gridCol w:w="60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PRC)</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46,808</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 identification of the customer billing location was the basis used for attributing revenues from external customers to geographic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Accounts receivable, net were as follows:</w:t>
      </w:r>
    </w:p>
    <w:tbl>
      <w:tblPr>
        <w:tblW w:w="5320" w:type="dxa"/>
        <w:jc w:val="center"/>
        <w:tblInd w:w="0" w:type="dxa"/>
        <w:tblLayout w:type="fixed"/>
        <w:tblCellMar>
          <w:top w:w="28" w:type="dxa"/>
          <w:left w:w="28" w:type="dxa"/>
          <w:bottom w:w="28" w:type="dxa"/>
          <w:right w:w="28" w:type="dxa"/>
        </w:tblCellMar>
      </w:tblPr>
      <w:tblGrid>
        <w:gridCol w:w="840"/>
        <w:gridCol w:w="741"/>
        <w:gridCol w:w="743"/>
        <w:gridCol w:w="228"/>
        <w:gridCol w:w="779"/>
        <w:gridCol w:w="117"/>
        <w:gridCol w:w="109"/>
        <w:gridCol w:w="109"/>
        <w:gridCol w:w="109"/>
        <w:gridCol w:w="300"/>
        <w:gridCol w:w="1026"/>
        <w:gridCol w:w="219"/>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gross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IEEPA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receivable, net </w:t>
            </w:r>
            <w:r>
              <w:rPr>
                <w:rFonts w:ascii="Times New Roman;serif" w:hAnsi="Times New Roman;serif"/>
                <w:b w:val="false"/>
                <w:color w:val="000000"/>
                <w:sz w:val="13"/>
              </w:rPr>
              <w:t>(2)</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Other accounts receivable is primarily comprised of supplier, supplier rebate and interest receivables.</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Accounts receivable, net at December 31, 2024, was $114.2 million.</w:t>
      </w:r>
    </w:p>
    <w:p>
      <w:pPr>
        <w:pStyle w:val="TextBody"/>
        <w:bidi w:val="0"/>
        <w:spacing w:before="0" w:after="0"/>
        <w:jc w:val="both"/>
        <w:rPr/>
      </w:pPr>
      <w:r>
        <w:rPr/>
      </w:r>
    </w:p>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Changes in the allowance for credit losses were as follows:</w:t>
      </w:r>
    </w:p>
    <w:tbl>
      <w:tblPr>
        <w:tblW w:w="5979" w:type="dxa"/>
        <w:jc w:val="center"/>
        <w:tblInd w:w="0" w:type="dxa"/>
        <w:tblLayout w:type="fixed"/>
        <w:tblCellMar>
          <w:top w:w="28" w:type="dxa"/>
          <w:left w:w="28" w:type="dxa"/>
          <w:bottom w:w="28" w:type="dxa"/>
          <w:right w:w="28" w:type="dxa"/>
        </w:tblCellMar>
      </w:tblPr>
      <w:tblGrid>
        <w:gridCol w:w="1350"/>
        <w:gridCol w:w="1191"/>
        <w:gridCol w:w="1194"/>
        <w:gridCol w:w="211"/>
        <w:gridCol w:w="616"/>
        <w:gridCol w:w="109"/>
        <w:gridCol w:w="109"/>
        <w:gridCol w:w="109"/>
        <w:gridCol w:w="109"/>
        <w:gridCol w:w="211"/>
        <w:gridCol w:w="61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Write-offs/Foreign exchange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were $8.4 million and $8.1 million at June 30, 2026 and December 31, 2025, respectively. The change in balances between periods is due to the fluctuation of custom product inventory balances for which we have an enforceable right to payment for performance completed to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current and non-current contract liability balances primarily consisting of cash received in advance of providing our cloud-based software services. Contract liabilities are included within other accrued liabilities and other long-term liabilities in our consolidated balance sheets.</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contract liabilities were as follows: </w:t>
      </w:r>
    </w:p>
    <w:tbl>
      <w:tblPr>
        <w:tblW w:w="7473" w:type="dxa"/>
        <w:jc w:val="left"/>
        <w:tblInd w:w="0" w:type="dxa"/>
        <w:tblLayout w:type="fixed"/>
        <w:tblCellMar>
          <w:top w:w="28" w:type="dxa"/>
          <w:left w:w="28" w:type="dxa"/>
          <w:bottom w:w="28" w:type="dxa"/>
          <w:right w:w="28" w:type="dxa"/>
        </w:tblCellMar>
      </w:tblPr>
      <w:tblGrid>
        <w:gridCol w:w="954"/>
        <w:gridCol w:w="842"/>
        <w:gridCol w:w="84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effects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sales to the following customers totaled more than 10% of our net sales:</w:t>
      </w:r>
      <w:r>
        <w:rPr>
          <w:color w:val="000000"/>
        </w:rPr>
        <w:t> </w:t>
      </w:r>
    </w:p>
    <w:tbl>
      <w:tblPr>
        <w:tblW w:w="8119" w:type="dxa"/>
        <w:jc w:val="left"/>
        <w:tblInd w:w="0" w:type="dxa"/>
        <w:tblLayout w:type="fixed"/>
        <w:tblCellMar>
          <w:top w:w="28" w:type="dxa"/>
          <w:left w:w="28" w:type="dxa"/>
          <w:bottom w:w="28" w:type="dxa"/>
          <w:right w:w="28" w:type="dxa"/>
        </w:tblCellMar>
      </w:tblPr>
      <w:tblGrid>
        <w:gridCol w:w="820"/>
        <w:gridCol w:w="720"/>
        <w:gridCol w:w="724"/>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2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Daikin Industries Ltd.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Trade receivables associated with significant customers that totaled more than 10% of our accounts receivable, net was as follows:</w:t>
      </w:r>
    </w:p>
    <w:tbl>
      <w:tblPr>
        <w:tblW w:w="10173" w:type="dxa"/>
        <w:jc w:val="left"/>
        <w:tblInd w:w="0" w:type="dxa"/>
        <w:tblLayout w:type="fixed"/>
        <w:tblCellMar>
          <w:top w:w="28" w:type="dxa"/>
          <w:left w:w="28" w:type="dxa"/>
          <w:bottom w:w="28" w:type="dxa"/>
          <w:right w:w="28" w:type="dxa"/>
        </w:tblCellMar>
      </w:tblPr>
      <w:tblGrid>
        <w:gridCol w:w="701"/>
        <w:gridCol w:w="615"/>
        <w:gridCol w:w="619"/>
        <w:gridCol w:w="359"/>
        <w:gridCol w:w="359"/>
        <w:gridCol w:w="361"/>
        <w:gridCol w:w="125"/>
        <w:gridCol w:w="125"/>
        <w:gridCol w:w="125"/>
        <w:gridCol w:w="779"/>
        <w:gridCol w:w="779"/>
        <w:gridCol w:w="781"/>
        <w:gridCol w:w="109"/>
        <w:gridCol w:w="109"/>
        <w:gridCol w:w="109"/>
        <w:gridCol w:w="243"/>
        <w:gridCol w:w="710"/>
        <w:gridCol w:w="127"/>
        <w:gridCol w:w="109"/>
        <w:gridCol w:w="109"/>
        <w:gridCol w:w="109"/>
        <w:gridCol w:w="521"/>
        <w:gridCol w:w="521"/>
        <w:gridCol w:w="1297"/>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Accounts Receivable, Net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Trade receivables associated with this customer did not total more than 10% of our accounts receivable, net for the indicated period.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Inventories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Inventories were as follows:</w:t>
      </w:r>
    </w:p>
    <w:tbl>
      <w:tblPr>
        <w:tblW w:w="4420" w:type="dxa"/>
        <w:jc w:val="left"/>
        <w:tblInd w:w="0" w:type="dxa"/>
        <w:tblLayout w:type="fixed"/>
        <w:tblCellMar>
          <w:top w:w="28" w:type="dxa"/>
          <w:left w:w="28" w:type="dxa"/>
          <w:bottom w:w="28" w:type="dxa"/>
          <w:right w:w="28" w:type="dxa"/>
        </w:tblCellMar>
      </w:tblPr>
      <w:tblGrid>
        <w:gridCol w:w="514"/>
        <w:gridCol w:w="454"/>
        <w:gridCol w:w="456"/>
        <w:gridCol w:w="228"/>
        <w:gridCol w:w="779"/>
        <w:gridCol w:w="117"/>
        <w:gridCol w:w="109"/>
        <w:gridCol w:w="109"/>
        <w:gridCol w:w="109"/>
        <w:gridCol w:w="300"/>
        <w:gridCol w:w="1026"/>
        <w:gridCol w:w="219"/>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Supplier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purchases from suppliers that totaled more than 10% of our total inventory purchases for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trade payable balances to suppliers that totaled more than 10% of our total accounts payable at June 30, 2026, and December 31, 2025,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Long-lived Tangible Assets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Long-lived tangible assets by geographic area, which include property, plant, and equipment, net ("PP&amp;E") and operating lease right-of-use assets, were as follows:</w:t>
      </w:r>
    </w:p>
    <w:tbl>
      <w:tblPr>
        <w:tblW w:w="5680" w:type="dxa"/>
        <w:jc w:val="left"/>
        <w:tblInd w:w="0" w:type="dxa"/>
        <w:tblLayout w:type="fixed"/>
        <w:tblCellMar>
          <w:top w:w="28" w:type="dxa"/>
          <w:left w:w="28" w:type="dxa"/>
          <w:bottom w:w="28" w:type="dxa"/>
          <w:right w:w="28" w:type="dxa"/>
        </w:tblCellMar>
      </w:tblPr>
      <w:tblGrid>
        <w:gridCol w:w="970"/>
        <w:gridCol w:w="856"/>
        <w:gridCol w:w="858"/>
        <w:gridCol w:w="228"/>
        <w:gridCol w:w="779"/>
        <w:gridCol w:w="117"/>
        <w:gridCol w:w="109"/>
        <w:gridCol w:w="109"/>
        <w:gridCol w:w="109"/>
        <w:gridCol w:w="300"/>
        <w:gridCol w:w="1026"/>
        <w:gridCol w:w="219"/>
      </w:tblGrid>
      <w:tr>
        <w:trP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tangible assets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PP&amp;E are shown net of accumulated depreciation of $170.0 million and $163.7 million at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$1.8 million and $2.4 million for the three months ended June 30, 2026 and 2025, respectively. Depreciation expense was $3.7 million and $5.1 million for the six months ended June 30,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Intangible Assets,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(23,963)</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table excludes the gross value of fully amortized intangible assets totaling $52.6 million and $52.5 million at June 30, 2026 and December 31, 2025, respectively.</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8568" w:type="dxa"/>
        <w:jc w:val="left"/>
        <w:tblInd w:w="0" w:type="dxa"/>
        <w:tblLayout w:type="fixed"/>
        <w:tblCellMar>
          <w:top w:w="28" w:type="dxa"/>
          <w:left w:w="28" w:type="dxa"/>
          <w:bottom w:w="28" w:type="dxa"/>
          <w:right w:w="28" w:type="dxa"/>
        </w:tblCellMar>
      </w:tblPr>
      <w:tblGrid>
        <w:gridCol w:w="1348"/>
        <w:gridCol w:w="1189"/>
        <w:gridCol w:w="119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Estimated future annual amortization expense related to our intangible assets at June 30, 2026, was as follows:</w:t>
      </w:r>
    </w:p>
    <w:tbl>
      <w:tblPr>
        <w:tblW w:w="3410" w:type="dxa"/>
        <w:jc w:val="left"/>
        <w:tblInd w:w="0" w:type="dxa"/>
        <w:tblLayout w:type="fixed"/>
        <w:tblCellMar>
          <w:top w:w="28" w:type="dxa"/>
          <w:left w:w="28" w:type="dxa"/>
          <w:bottom w:w="28" w:type="dxa"/>
          <w:right w:w="28" w:type="dxa"/>
        </w:tblCellMar>
      </w:tblPr>
      <w:tblGrid>
        <w:gridCol w:w="840"/>
        <w:gridCol w:w="741"/>
        <w:gridCol w:w="743"/>
        <w:gridCol w:w="211"/>
        <w:gridCol w:w="72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6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operating lease agreements for automobiles, offices and manufacturing facilities throughout the world. At June 30, 2026, our operating leases had remaining lease terms of up to 34 years, including any reasonably probable extensions.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balances within our consolidated balance sheets were as follows:</w:t>
      </w:r>
    </w:p>
    <w:tbl>
      <w:tblPr>
        <w:tblW w:w="6221" w:type="dxa"/>
        <w:jc w:val="center"/>
        <w:tblInd w:w="0" w:type="dxa"/>
        <w:tblLayout w:type="fixed"/>
        <w:tblCellMar>
          <w:top w:w="28" w:type="dxa"/>
          <w:left w:w="28" w:type="dxa"/>
          <w:bottom w:w="28" w:type="dxa"/>
          <w:right w:w="28" w:type="dxa"/>
        </w:tblCellMar>
      </w:tblPr>
      <w:tblGrid>
        <w:gridCol w:w="1166"/>
        <w:gridCol w:w="1028"/>
        <w:gridCol w:w="1031"/>
        <w:gridCol w:w="228"/>
        <w:gridCol w:w="779"/>
        <w:gridCol w:w="117"/>
        <w:gridCol w:w="109"/>
        <w:gridCol w:w="109"/>
        <w:gridCol w:w="109"/>
        <w:gridCol w:w="300"/>
        <w:gridCol w:w="1026"/>
        <w:gridCol w:w="219"/>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expense, operating lease cash flows and supplemental cash flow information were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943"/>
        <w:gridCol w:w="1713"/>
        <w:gridCol w:w="1727"/>
        <w:gridCol w:w="215"/>
        <w:gridCol w:w="630"/>
        <w:gridCol w:w="111"/>
        <w:gridCol w:w="111"/>
        <w:gridCol w:w="111"/>
        <w:gridCol w:w="111"/>
        <w:gridCol w:w="215"/>
        <w:gridCol w:w="630"/>
        <w:gridCol w:w="111"/>
        <w:gridCol w:w="109"/>
        <w:gridCol w:w="109"/>
        <w:gridCol w:w="109"/>
        <w:gridCol w:w="211"/>
        <w:gridCol w:w="616"/>
        <w:gridCol w:w="109"/>
        <w:gridCol w:w="109"/>
        <w:gridCol w:w="109"/>
        <w:gridCol w:w="109"/>
        <w:gridCol w:w="211"/>
        <w:gridCol w:w="616"/>
        <w:gridCol w:w="160"/>
      </w:tblGrid>
      <w:tr>
        <w:trPr/>
        <w:tc>
          <w:tcPr>
            <w:tcW w:w="194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83" w:type="dxa"/>
            <w:gridSpan w:val="3"/>
            <w:vMerge w:val="continue"/>
            <w:tcBorders/>
            <w:tcMar>
              <w:top w:w="0" w:type="dxa"/>
              <w:left w:w="0" w:type="dxa"/>
              <w:bottom w:w="0" w:type="dxa"/>
              <w:right w:w="0" w:type="dxa"/>
            </w:tcMar>
            <w:vAlign w:val="center"/>
          </w:tcPr>
          <w:p>
            <w:pPr>
              <w:pStyle w:val="Normal"/>
              <w:bidi w:val="0"/>
              <w:jc w:val="left"/>
              <w:rPr/>
            </w:pPr>
            <w:r>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expenses from variable and short-term lease costs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liability term and the weighted average discount rate were as follows:</w:t>
      </w:r>
    </w:p>
    <w:tbl>
      <w:tblPr>
        <w:tblW w:w="6952" w:type="dxa"/>
        <w:jc w:val="center"/>
        <w:tblInd w:w="0" w:type="dxa"/>
        <w:tblLayout w:type="fixed"/>
        <w:tblCellMar>
          <w:top w:w="28" w:type="dxa"/>
          <w:left w:w="28" w:type="dxa"/>
          <w:bottom w:w="28" w:type="dxa"/>
          <w:right w:w="28" w:type="dxa"/>
        </w:tblCellMar>
      </w:tblPr>
      <w:tblGrid>
        <w:gridCol w:w="1430"/>
        <w:gridCol w:w="1253"/>
        <w:gridCol w:w="1262"/>
        <w:gridCol w:w="255"/>
        <w:gridCol w:w="256"/>
        <w:gridCol w:w="624"/>
        <w:gridCol w:w="109"/>
        <w:gridCol w:w="109"/>
        <w:gridCol w:w="109"/>
        <w:gridCol w:w="314"/>
        <w:gridCol w:w="314"/>
        <w:gridCol w:w="91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liability term (in years)</w:t>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undiscounted cash flows for each of the next five years and thereafter to the operating lease liabilities recognized in our consolidated balance sheets at June 30, 2026. The reconciliation excludes short-term leases that are not recorded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3493" w:type="dxa"/>
        <w:jc w:val="center"/>
        <w:tblInd w:w="0" w:type="dxa"/>
        <w:tblLayout w:type="fixed"/>
        <w:tblCellMar>
          <w:top w:w="28" w:type="dxa"/>
          <w:left w:w="28" w:type="dxa"/>
          <w:bottom w:w="28" w:type="dxa"/>
          <w:right w:w="28" w:type="dxa"/>
        </w:tblCellMar>
      </w:tblPr>
      <w:tblGrid>
        <w:gridCol w:w="840"/>
        <w:gridCol w:w="741"/>
        <w:gridCol w:w="743"/>
        <w:gridCol w:w="251"/>
        <w:gridCol w:w="735"/>
        <w:gridCol w:w="183"/>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9 months)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we did not have any operating leases that had not yet commenced.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Lines of Credit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 Line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Second Amended and Restated Credit Agreement, as amended ("Second Amended Credit Agreement") with U.S. Bank National Association ("U.S. Bank") provides for a revolving line of credit ("U.S. Credit Line") through September 30, 2027. The U.S. Credit Line may be used for working capital and other general corporate purposes including acquisitions, share repurchases and capital expenditures.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Credit Line has a maximum availability of up to $60.0 million, subject to meeting certain financial conditions. Availability is based on "Borrowing Base", which is defined as 75% of accounts receivable aged less than 90 days less reserves for doubtful accounts and returns. The Borrowing Base is calculated monthly. At June 30, 2026, the U.S. Credit Line total availability was $43.3 million. At August 5, 2026, the U.S. Credit Line total availability was $38.9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U.S. Credit Line are reduced by the balance of any outstanding letters of credit, of which there was $1.9 million at June 30, 2026 and $0.5 million at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U.S. Credit Line are secured by substantially all of our U.S. personal property and tangible and intangible assets, as well as a guaranty of the U.S. Credit Line by our wholly-owned subsidiary, Universal Electronics BV.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Second Amended Credit Agreement, we pay interest on the U.S. Credit Line based on the Secured Overnight Financing Rate ("SOFR") plus a 3.00% margin. The Second Amended Credit Agreement also contains a facility fee of 0.25%. The interest rates in effect at June 30, 2026 and December 31, 2025 were 6.75% and 6.65%,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Credit Agreement includes financial covenants and contains other customary affirmative and negative covenants and events of default. Our covenants are based upon a minimum fixed charge coverage ratio and a maximum cash flow leverage ratio. We were in compliance with the covenants and conditions of the Second Amended Credit Agreement at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$0.0 million and $5.5 million outstanding under the U.S. Credit Line, respectively. At June 30, 2026, our remaining availability under our U.S. Credit Line was $41.4 million. Our total interest expense on borrowings under the U.S. Credit Line was $0.2 million and $0.5 million during the three months ended June 30, 2026 and 2025, respectively. Our total interest expense on borrowings under the U.S. Credit Line was $0.4 million and $1.1 million during the six months ended June 30, 2026 and 2025, respectively. Our total facility fee expense under the U.S. Credit Line was $28 thousand and $47 thousand during the three months ended June 30, 2026 and 2025, respectively. Our total facility fee expense under the U.S. Credit Line was $65 thousand and $94 thousand during the six months ended June 30, 2026 and 2025,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China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subsidiary, Gemstar Technology (Yangzhou) Co. Ltd. ("GTY"), executed a Line of Credit Agreement (the "Line of Credit Agreement") with the Bank of China, which provides for a revolving line of credit (the "China Credit Line"). As a continuation of the agreement, on July 30, 2025, we executed an amendment to the Line of Credit Agreement, which extends the term of the China Credit Line to July 16, 2026. As a continuation of the agreement, on July 15, 2026, we executed an amendment to the Line of Credit Agreement, which extends the term of the China Credit Line to July 9, 2027. The China Credit Line may be used for working capital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China Credit Line had a maximum availability of up to RMB 130.0 million (approximately $19.1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China Credit Line are reduced by the balance of any outstanding letters of credit, of which there were none at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China Credit Line are secured by GTY's buildings and land use rights.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Line of Credit Agreement, we pay interest on the China Credit Line based on the one-year rate from the National Interbank Funding Center less a 0.1% margin. There are no associated commitment fees on the China Credit Line. The interest rates in effect at June 30, 2026 and December 31, 2025 were 2.90% and 2.92%,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three months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RMB 80.0 million (approximately $11.8 million) and RMB 130.0 million (approximately $19.1 million), respectively, outstanding under the China Credit Line. At June 30, 2026, we had RMB 50.0 million (approximately 7.4 million) of availability under our China Credit Line. Our total interest expense on borrowings under the China Credit Line was RMB 0.9 million (approximately $0.1 million) and RMB 0.6 million (approximately $0.1 million) during the three months ended June 30, 2026 and 2025, respectively. Our total interest expense on borrowings under the China Credit Line was RMB 1.9 million (approximately $0.3 million) and RMB 1.2 million (approximately $0.2 million) during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Monetization of IEEPA Tariff Refund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9, 2026, the Company entered into a Claim Sale and Purchase Agreement (the "Tariff Claim Agreement") with a third party financial institution ("Buyer") pursuant to which the Company agreed to sell, grant and convey to Buyer all of the Company’s and its affiliates’ claims, interests and causes of action, and all related rights, distributions, amounts, payments related thereto and other proceeds thereof, including without limitation any interest thereon and other amounts paid or reimbursed in relation thereto, directly arising from or relating to tariffs previously paid by the Company or its affiliates to Customs and Border Protection (“CBP”) in connection with tariffs originally invoked under the International Emergency Economics Powers Act (“IEEPA”), for which such tariffs were ruled unlawful by the United States Supreme Court on February 20, 2026 (the "Claims"), in consideration for a payment of approximately $7.6 million (the "Purchase Price"). The Purchase Price reflects a discount to the aggregate amount payable by CBP pursuant to the Claims as mutually agreed between the Company and Buyer and is subject to full or partial refund, together with interest, under certain circumstances in which the Claims may be impaired. The Company is subject to certain post-closing cooperation obligations with Buyer with respect to the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received a total of $8.8 million, including interest, from CBP as of August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monetization of the Company`s tariff refund claims were accounted for in accordance with FASB ASC 470 – Debt and presented as a short-term financing on the consolidated balance sheet. As of June 30, 2026, the unamortized financing costs amounted to $1.3 million. The costs are being amortized through the expected settlement date of the claim and recorded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(expense) on the consolidated statements of operations. Refer to “Note 1. Basis of Preparation" for related accounting policy update on tariff refund claims.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expected recovery of IEEPA tariffs, the Company evaluated its contractual and customary business practices with customers and concluded that a portion of the expected recovery is likely to be refunded to certain customers. These anticipated customer refunds represent consideration payable to customers under ASC 606, Revenue from Contracts with Customers, and therefore reduce the transaction price associated with the related customer contracts. Accordingly, the Company recorded an estimated liability of approximately $3.9 million as of June 30, 2026 for expected tariff refunds payable to customers, with a corresponding reduction of net sales in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$1.1 million and $1.8 million for the three months ended June 30, 2026 and 2025, respectively. We recorded income tax expense of $4.7 million and $4.0 million for the six months ended June 30, 2026 and 2025, respectively. The difference between the Company’s effective tax rate and the 21.0% U.S. federal statutory rate for the three months ended June 30, 2026 primarily related to the mix of pre-tax income and loss among jurisdictions and permanent tax items including a tax on net controlled foreign corporation tested income. The Company's income tax provision can be affected by other factors, including changes in tax laws and regulations in the jurisdictions in which we operate, changes in the valuation allowances on deferred tax assets, and other discrete items.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December 31, 2025,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income in making this assessment. At December 31, 2025, we had a three-year world wide cumulative pre-tax loss and have accordingly provided a full valuation allowance on our U.S. federal and state deferred tax assets and on certain foreign deferred tax assets. During the three months ended June 30, 2026, there was no change to our valuation allowance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we had gross unrecognized tax benefits of approximately $3.8 million including interest and penalties, which, if not for the valuation allowance recorded against the state Research and Experimentation income tax credit, would affect the annual effective tax rate if the tax benefits are realized. We have classified uncertain tax positions as non-current income tax liabilities unless they are expected to be paid within one year.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and penalties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elected to classify interest and penalties as a component of tax expense. Accrued interest and penalties are immaterial at June 30, 2026 and December 31, 2025 and are included in the unrecognized tax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Enactment of H.R.1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H.R. 1, commonly referred to as the One Big Beautiful Bill Act, was enacted in the United States H.R. 1 includes significant provisions, including the permanent extension of certain expiring provisions of the Tax Cuts and Jobs Act of 2017, modifications to the U.S. international tax framework, and the restoration of favorable tax treatment for certain business provisions. This legislation has multiple effective dates, with certain provisions that became effective in 2025 and others to be implemented in 2026 and 2027. Due to the U.S. valuation allowance position, the legislation is not expected to have a material impact on the Company's estimated annual effective tax rate or cash tax position.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Accrued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accrued compensation were as follows:</w:t>
      </w:r>
    </w:p>
    <w:tbl>
      <w:tblPr>
        <w:tblW w:w="5425" w:type="dxa"/>
        <w:jc w:val="left"/>
        <w:tblInd w:w="0" w:type="dxa"/>
        <w:tblLayout w:type="fixed"/>
        <w:tblCellMar>
          <w:top w:w="28" w:type="dxa"/>
          <w:left w:w="28" w:type="dxa"/>
          <w:bottom w:w="28" w:type="dxa"/>
          <w:right w:w="28" w:type="dxa"/>
        </w:tblCellMar>
      </w:tblPr>
      <w:tblGrid>
        <w:gridCol w:w="878"/>
        <w:gridCol w:w="775"/>
        <w:gridCol w:w="776"/>
        <w:gridCol w:w="228"/>
        <w:gridCol w:w="779"/>
        <w:gridCol w:w="117"/>
        <w:gridCol w:w="109"/>
        <w:gridCol w:w="109"/>
        <w:gridCol w:w="109"/>
        <w:gridCol w:w="300"/>
        <w:gridCol w:w="1026"/>
        <w:gridCol w:w="219"/>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salary/wages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social insurance </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vacation/holiday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compensation</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As of December 31, 2025, this includes $0.8 million of accrued severance expenses related to our 2025 restructuring plan and global reduction in force. As of June 30, 2026, this includes $0.1 million of accrued severance expenses related to our 2025 restructuring plan and global reduction in force. </w:t>
      </w:r>
    </w:p>
    <w:p>
      <w:pPr>
        <w:pStyle w:val="TextBody"/>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2026,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Other Accrued Liabilities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other accrued liabilities were as follows:</w:t>
      </w:r>
    </w:p>
    <w:tbl>
      <w:tblPr>
        <w:tblW w:w="7825" w:type="dxa"/>
        <w:jc w:val="left"/>
        <w:tblInd w:w="0" w:type="dxa"/>
        <w:tblLayout w:type="fixed"/>
        <w:tblCellMar>
          <w:top w:w="28" w:type="dxa"/>
          <w:left w:w="28" w:type="dxa"/>
          <w:bottom w:w="28" w:type="dxa"/>
          <w:right w:w="28" w:type="dxa"/>
        </w:tblCellMar>
      </w:tblPr>
      <w:tblGrid>
        <w:gridCol w:w="1746"/>
        <w:gridCol w:w="1540"/>
        <w:gridCol w:w="1543"/>
        <w:gridCol w:w="228"/>
        <w:gridCol w:w="779"/>
        <w:gridCol w:w="117"/>
        <w:gridCol w:w="109"/>
        <w:gridCol w:w="109"/>
        <w:gridCol w:w="109"/>
        <w:gridCol w:w="300"/>
        <w:gridCol w:w="1026"/>
        <w:gridCol w:w="219"/>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associated with fulfilled performance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and handling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judgment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claims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value added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amount relates to the judgment of a lawsuit with an employment agency in the PRC. See Note 12 for further information related to this matter.</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$0.4 million and $0.2 million at June 30, 2026 and December 31, 2025, respectively, associated with the purchase of property, plant and equipment.</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Commitments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inventory and property, plant and equipment related purchase agreements with suppliers. Certain of these agreements have provisions for a binding forecast (inventory) or non-cancellable purchase orders (inventory and PP&amp;E).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non-cancellable purchase commitments were as follows:</w:t>
      </w:r>
    </w:p>
    <w:p>
      <w:pPr>
        <w:pStyle w:val="TextBody"/>
        <w:bidi w:val="0"/>
        <w:spacing w:before="0" w:after="0"/>
        <w:jc w:val="both"/>
        <w:rPr/>
      </w:pPr>
      <w:r>
        <w:rPr/>
      </w:r>
    </w:p>
    <w:tbl>
      <w:tblPr>
        <w:tblW w:w="5814" w:type="dxa"/>
        <w:jc w:val="left"/>
        <w:tblInd w:w="0" w:type="dxa"/>
        <w:tblLayout w:type="fixed"/>
        <w:tblCellMar>
          <w:top w:w="28" w:type="dxa"/>
          <w:left w:w="28" w:type="dxa"/>
          <w:bottom w:w="28" w:type="dxa"/>
          <w:right w:w="28" w:type="dxa"/>
        </w:tblCellMar>
      </w:tblPr>
      <w:tblGrid>
        <w:gridCol w:w="1018"/>
        <w:gridCol w:w="897"/>
        <w:gridCol w:w="904"/>
        <w:gridCol w:w="228"/>
        <w:gridCol w:w="779"/>
        <w:gridCol w:w="117"/>
        <w:gridCol w:w="109"/>
        <w:gridCol w:w="109"/>
        <w:gridCol w:w="109"/>
        <w:gridCol w:w="332"/>
        <w:gridCol w:w="970"/>
        <w:gridCol w:w="242"/>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 commitments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PP&amp;E purchase commitments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amounts are expected to be paid within the next twelve months.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Warranties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Changes in the liability for product warranty claims costs were as follows:</w:t>
      </w:r>
    </w:p>
    <w:tbl>
      <w:tblPr>
        <w:tblW w:w="5848" w:type="dxa"/>
        <w:jc w:val="left"/>
        <w:tblInd w:w="0" w:type="dxa"/>
        <w:tblLayout w:type="fixed"/>
        <w:tblCellMar>
          <w:top w:w="28" w:type="dxa"/>
          <w:left w:w="28" w:type="dxa"/>
          <w:bottom w:w="28" w:type="dxa"/>
          <w:right w:w="28" w:type="dxa"/>
        </w:tblCellMar>
      </w:tblPr>
      <w:tblGrid>
        <w:gridCol w:w="1350"/>
        <w:gridCol w:w="1191"/>
        <w:gridCol w:w="1194"/>
        <w:gridCol w:w="257"/>
        <w:gridCol w:w="440"/>
        <w:gridCol w:w="133"/>
        <w:gridCol w:w="133"/>
        <w:gridCol w:w="133"/>
        <w:gridCol w:w="133"/>
        <w:gridCol w:w="257"/>
        <w:gridCol w:w="440"/>
        <w:gridCol w:w="187"/>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(in cash or in kind)</w:t>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2024, we downsized our factory in Mexico due to decreased demand in the U.S. market and our Vietnam facility's ability to supply our North American customers. and in 2025, we ultimately ceased production activities and wound down the factory in Mexico. We have recognized a cumulative total of $4.2 million in factory restructuring charges in connection with the wind down of our Mexico manufacturing facility, and we do not expect to incur additional factory restructuring charges in connection with this shutdown.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liabilities are included in accrued compensation, accounts payable and other accrued liabilities on our consolidated balance sheets. Ending balances for these restructuring liabilities were $0.2 million at June 30, 2026 and $0.4 million at December 31,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Roku Matters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serif" w:hAnsi="Times New Roman;serif"/>
          <w:b w:val="false"/>
          <w:i/>
          <w:color w:val="000000"/>
          <w:sz w:val="20"/>
        </w:rPr>
        <w:t xml:space="preserve">ex parte </w:t>
      </w:r>
      <w:r>
        <w:rPr>
          <w:rFonts w:ascii="Times New Roman;serif" w:hAnsi="Times New Roman;serif"/>
          <w:b w:val="false"/>
          <w:color w:val="000000"/>
          <w:sz w:val="20"/>
        </w:rPr>
        <w:t xml:space="preserve">reexams) and the Patent and Trademark Appeals Board ("PTAB"). The CDCA cases were all stayed on various grounds. The 2018 case was stayed in November 2019 pending resolution of Roku-initiated PTO and PTAB matters, all of which have since been resolved.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2020 case was also immediately stayed due to UEI's related ITC action against Roku, in which UEI ultimately prevailed when in July 2021, the Administrative Law Judge ("ALJ") issued an initial determination finding Roku in violation of Section 337. The Commission issued a final determination in November 2021, affirming the ALJ’s finding. The Commission then issued a limited exclusion order and cease and desist order against Roku, which went into effect following the expiration of the Presidential Review Period in January 2022. The Federal Circuit affirmed in January 2024. Following UEI's win and affirmance by the Federal Circuit, Roku sought rehearing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and sought cert from the Supreme Court on a domestic industry question. In January 2025, the Supreme Court denied cert.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pPr>
      <w:r>
        <w:rPr>
          <w:rFonts w:ascii="Times New Roman;serif" w:hAnsi="Times New Roman;serif"/>
          <w:b w:val="false"/>
          <w:color w:val="000000"/>
          <w:sz w:val="20"/>
        </w:rPr>
        <w:t>While this ITC matter has been finally resolved and Roku has no more ability to appeal, we agreed to continue the stay of the CDCA cases pending the outcome of one final PTAB action involving one of our patents. UEI and Roku participated in a hearing in July 2025 regarding the consolidation of the 2018 and 2020 cases, the stay of the cases, and amending the claims that UEI would be allowed to move forward with a consolidated case by the court if unstayed. On July 29, 2025 the Judge issued an order lifting the stay, consolidating the cases and allowing UEI to move forward on 25 claims in the case. O</w:t>
      </w:r>
      <w:r>
        <w:rPr>
          <w:rFonts w:ascii="Times New Roman;serif" w:hAnsi="Times New Roman;serif"/>
          <w:b w:val="false"/>
          <w:color w:val="212121"/>
          <w:sz w:val="20"/>
        </w:rPr>
        <w:t>n September 4, 2025, the Court set various dates and deadlines for the case, including a trial date beginning in March 2027, which date has now been rescheduled to a date beginning in May 2027 pursuant to mutual agreement of UEI and Roku.. On December 15, 2025, UEI filed a second amended complaint in the consolidated 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Roku also filed its own retaliatory ITC action against UEI and certain of our customers on two patents it purchased for this purpose. Roku’s action failed when in June 2022, the ALJ found one of Roku’s patents to be invalid as indefinite. Thereafter, in June 2022, the ALJ issued its initial determination ("ID") fully exonerating us and our customers, finding Roku’s second patent invalid and that Roku failed to establish the requisite domestic industry and thus no violation of the Tariff Act. Roku and UEI filed petitions to appeal certain portions of the ID. In October 2022, the full ITC issued its final determination affirming the ID, ruling there was no violation of the Tariff Act and terminating the investigation. In December 2022, Roku filed an appeal. Further, in October 2023, the PTAB issued its Final Written Decision invalidating all of Roku's infringement claims. Roku also filed an appeal of this decision. On June 17, 2025, the Federal Circuit affirmed the PTAB decision that invalidated the Roku patent and also remanded the case to the PTAB with respect to one remaining claim. On January 21, 2026, the PTAB issued a ruling invalidating the remaining claim, and thus all claims of both asserted patents have been invalidated. As a companion to its ITC request, on April 8, 2021, Roku also filed a lawsuit against us in Federal CDCA alleging that we are infringing the same two patents they alleged were infringed in the ITC investigation explained above. On February 27, 2026, Roku voluntarily dismissed this District Court 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Court of International Trade Action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we filed a complaint in the Court of International Trade (the "CIT") against the United States of America, U.S. Customs &amp; Border Protection and Rodney S. Scott, U.S. Customs &amp; Border Protection Commissioner, challenging both the substantive and procedural processes related to instituting tariffs under the International Emergency Economic Powers Act (“IEEPA”) and seeking declaratory and permanent injunctive relief related to refunding of all IEEPA duties paid by UEI.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Litigation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Treasury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our Board of Directors authorizes management to repurchase shares of our issued and outstanding common stock. On October 26, 2023, our Board of Directors approved a share repurchase program with an effective date of November 7, 2023 (as subsequently amended, the "Share Repurchase Program"). Pursuant to the Share Repurchase Program, we are authorized to repurchase up to 1,000,000 shares of our common stock and to date, we have repurchased 986,444 shares of our common stock. On March 11, 2026, the Board of Directors authorized an amendment to the Share Repurchase Program to authorize the repurchase, from time to time, of up to an additional 1,000,000 shares of the Company's outstanding common stock, or a total of 1,013,556 shares (including the 13,556 shares remaining available under the prior Board authorization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 We also repurchase shares of our issued and outstanding common stock to satisfy income tax withholding obligations relating to the stock-based compensation of our employees and directors and/or the cost of stock option exercises. There have been no shares repurchased for the three and six months ended June 30,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Repurchased shares of our common stock were as follows: </w:t>
      </w:r>
    </w:p>
    <w:tbl>
      <w:tblPr>
        <w:tblW w:w="7165" w:type="dxa"/>
        <w:jc w:val="left"/>
        <w:tblInd w:w="0" w:type="dxa"/>
        <w:tblLayout w:type="fixed"/>
        <w:tblCellMar>
          <w:top w:w="28" w:type="dxa"/>
          <w:left w:w="28" w:type="dxa"/>
          <w:bottom w:w="28" w:type="dxa"/>
          <w:right w:w="28" w:type="dxa"/>
        </w:tblCellMar>
      </w:tblPr>
      <w:tblGrid>
        <w:gridCol w:w="1827"/>
        <w:gridCol w:w="1612"/>
        <w:gridCol w:w="1616"/>
        <w:gridCol w:w="236"/>
        <w:gridCol w:w="455"/>
        <w:gridCol w:w="122"/>
        <w:gridCol w:w="122"/>
        <w:gridCol w:w="122"/>
        <w:gridCol w:w="122"/>
        <w:gridCol w:w="236"/>
        <w:gridCol w:w="523"/>
        <w:gridCol w:w="172"/>
      </w:tblGrid>
      <w:tr>
        <w:trP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shares repurchased</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shares repurchased</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open market shares repurchased</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stock-based compensation related shares repurchased</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shares repurchased</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Repurchased shares are recorded as shares held in treasury at cost. We hold these shares for future use as management and the Board of Directors deem appropriate.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10142" w:type="dxa"/>
        <w:jc w:val="left"/>
        <w:tblInd w:w="0" w:type="dxa"/>
        <w:tblLayout w:type="fixed"/>
        <w:tblCellMar>
          <w:top w:w="28" w:type="dxa"/>
          <w:left w:w="28" w:type="dxa"/>
          <w:bottom w:w="28" w:type="dxa"/>
          <w:right w:w="28" w:type="dxa"/>
        </w:tblCellMar>
      </w:tblPr>
      <w:tblGrid>
        <w:gridCol w:w="1917"/>
        <w:gridCol w:w="1687"/>
        <w:gridCol w:w="1705"/>
        <w:gridCol w:w="233"/>
        <w:gridCol w:w="515"/>
        <w:gridCol w:w="120"/>
        <w:gridCol w:w="120"/>
        <w:gridCol w:w="120"/>
        <w:gridCol w:w="120"/>
        <w:gridCol w:w="233"/>
        <w:gridCol w:w="681"/>
        <w:gridCol w:w="120"/>
        <w:gridCol w:w="109"/>
        <w:gridCol w:w="109"/>
        <w:gridCol w:w="109"/>
        <w:gridCol w:w="211"/>
        <w:gridCol w:w="616"/>
        <w:gridCol w:w="109"/>
        <w:gridCol w:w="109"/>
        <w:gridCol w:w="109"/>
        <w:gridCol w:w="109"/>
        <w:gridCol w:w="211"/>
        <w:gridCol w:w="61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Outside directors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employee and director stock-based compensation expense</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award activity was as follows:</w:t>
      </w:r>
    </w:p>
    <w:tbl>
      <w:tblPr>
        <w:tblW w:w="7540" w:type="dxa"/>
        <w:jc w:val="left"/>
        <w:tblInd w:w="0" w:type="dxa"/>
        <w:tblLayout w:type="fixed"/>
        <w:tblCellMar>
          <w:top w:w="28" w:type="dxa"/>
          <w:left w:w="28" w:type="dxa"/>
          <w:bottom w:w="28" w:type="dxa"/>
          <w:right w:w="28" w:type="dxa"/>
        </w:tblCellMar>
      </w:tblPr>
      <w:tblGrid>
        <w:gridCol w:w="1038"/>
        <w:gridCol w:w="912"/>
        <w:gridCol w:w="914"/>
        <w:gridCol w:w="374"/>
        <w:gridCol w:w="374"/>
        <w:gridCol w:w="376"/>
        <w:gridCol w:w="109"/>
        <w:gridCol w:w="109"/>
        <w:gridCol w:w="109"/>
        <w:gridCol w:w="776"/>
        <w:gridCol w:w="1881"/>
        <w:gridCol w:w="56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expect to recognize $1.7 million of total unrecognized pre-tax stock-based compensation expense related to non-vested restricted stock awards over a weighted-average life of 1.3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Performance Stock</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Non-vested performance stock award activity was as follows:</w:t>
      </w:r>
    </w:p>
    <w:tbl>
      <w:tblPr>
        <w:tblW w:w="7540" w:type="dxa"/>
        <w:jc w:val="left"/>
        <w:tblInd w:w="0" w:type="dxa"/>
        <w:tblLayout w:type="fixed"/>
        <w:tblCellMar>
          <w:top w:w="28" w:type="dxa"/>
          <w:left w:w="28" w:type="dxa"/>
          <w:bottom w:w="28" w:type="dxa"/>
          <w:right w:w="28" w:type="dxa"/>
        </w:tblCellMar>
      </w:tblPr>
      <w:tblGrid>
        <w:gridCol w:w="1038"/>
        <w:gridCol w:w="912"/>
        <w:gridCol w:w="914"/>
        <w:gridCol w:w="374"/>
        <w:gridCol w:w="374"/>
        <w:gridCol w:w="376"/>
        <w:gridCol w:w="109"/>
        <w:gridCol w:w="109"/>
        <w:gridCol w:w="109"/>
        <w:gridCol w:w="776"/>
        <w:gridCol w:w="1881"/>
        <w:gridCol w:w="568"/>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Monte Carlo simulation model and the resulting weighted average fair value of performance stock grants were the following:</w:t>
      </w:r>
    </w:p>
    <w:tbl>
      <w:tblPr>
        <w:tblW w:w="8148" w:type="dxa"/>
        <w:jc w:val="left"/>
        <w:tblInd w:w="0" w:type="dxa"/>
        <w:tblLayout w:type="fixed"/>
        <w:tblCellMar>
          <w:top w:w="28" w:type="dxa"/>
          <w:left w:w="28" w:type="dxa"/>
          <w:bottom w:w="28" w:type="dxa"/>
          <w:right w:w="28" w:type="dxa"/>
        </w:tblCellMar>
      </w:tblPr>
      <w:tblGrid>
        <w:gridCol w:w="1142"/>
        <w:gridCol w:w="1001"/>
        <w:gridCol w:w="1007"/>
        <w:gridCol w:w="211"/>
        <w:gridCol w:w="511"/>
        <w:gridCol w:w="271"/>
        <w:gridCol w:w="109"/>
        <w:gridCol w:w="109"/>
        <w:gridCol w:w="109"/>
        <w:gridCol w:w="211"/>
        <w:gridCol w:w="511"/>
        <w:gridCol w:w="271"/>
        <w:gridCol w:w="109"/>
        <w:gridCol w:w="109"/>
        <w:gridCol w:w="109"/>
        <w:gridCol w:w="211"/>
        <w:gridCol w:w="511"/>
        <w:gridCol w:w="271"/>
        <w:gridCol w:w="109"/>
        <w:gridCol w:w="109"/>
        <w:gridCol w:w="109"/>
        <w:gridCol w:w="211"/>
        <w:gridCol w:w="511"/>
        <w:gridCol w:w="316"/>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expect to recognize $1.0 million of total unrecognized pre-tax stock-based compensation expense related to non-vested performance stock awards over a weighted-average period of 2.4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Stock option activity was as follows:    </w:t>
      </w:r>
    </w:p>
    <w:tbl>
      <w:tblPr>
        <w:tblW w:w="10205" w:type="dxa"/>
        <w:jc w:val="left"/>
        <w:tblInd w:w="0" w:type="dxa"/>
        <w:tblLayout w:type="fixed"/>
        <w:tblCellMar>
          <w:top w:w="28" w:type="dxa"/>
          <w:left w:w="28" w:type="dxa"/>
          <w:bottom w:w="28" w:type="dxa"/>
          <w:right w:w="28" w:type="dxa"/>
        </w:tblCellMar>
      </w:tblPr>
      <w:tblGrid>
        <w:gridCol w:w="870"/>
        <w:gridCol w:w="765"/>
        <w:gridCol w:w="766"/>
        <w:gridCol w:w="370"/>
        <w:gridCol w:w="370"/>
        <w:gridCol w:w="371"/>
        <w:gridCol w:w="109"/>
        <w:gridCol w:w="109"/>
        <w:gridCol w:w="109"/>
        <w:gridCol w:w="432"/>
        <w:gridCol w:w="1265"/>
        <w:gridCol w:w="224"/>
        <w:gridCol w:w="109"/>
        <w:gridCol w:w="109"/>
        <w:gridCol w:w="109"/>
        <w:gridCol w:w="799"/>
        <w:gridCol w:w="799"/>
        <w:gridCol w:w="801"/>
        <w:gridCol w:w="109"/>
        <w:gridCol w:w="109"/>
        <w:gridCol w:w="109"/>
        <w:gridCol w:w="351"/>
        <w:gridCol w:w="776"/>
        <w:gridCol w:w="265"/>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br/>
              <w:t>(in thousands)</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Forfeited/canceled/expired</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at June 30, 2026</w:t>
            </w:r>
            <w:r>
              <w:rPr>
                <w:color w:val="000000"/>
              </w:rPr>
              <w:t xml:space="preserve"> </w:t>
            </w:r>
            <w:r>
              <w:rPr>
                <w:rFonts w:ascii="Times New Roman;serif" w:hAnsi="Times New Roman;serif"/>
                <w:b w:val="false"/>
                <w:color w:val="000000"/>
                <w:sz w:val="13"/>
              </w:rPr>
              <w:t>(1)</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 and expected to vest at June 30, 2026</w:t>
            </w:r>
            <w:r>
              <w:rPr>
                <w:color w:val="000000"/>
              </w:rPr>
              <w:t xml:space="preserve"> </w:t>
            </w:r>
            <w:r>
              <w:rPr>
                <w:rFonts w:ascii="Times New Roman;serif" w:hAnsi="Times New Roman;serif"/>
                <w:b w:val="false"/>
                <w:color w:val="000000"/>
                <w:sz w:val="13"/>
              </w:rPr>
              <w:t>(1)</w:t>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Exercisable at June 30, 2026</w:t>
            </w:r>
            <w:r>
              <w:rPr>
                <w:color w:val="000000"/>
              </w:rPr>
              <w:t xml:space="preserve"> </w:t>
            </w:r>
            <w:r>
              <w:rPr>
                <w:rFonts w:ascii="Times New Roman;serif" w:hAnsi="Times New Roman;serif"/>
                <w:b w:val="false"/>
                <w:color w:val="000000"/>
                <w:sz w:val="13"/>
              </w:rPr>
              <w:t>(1)</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The aggregate intrinsic value represents the total pre-tax value (the difference between our closing stock price on the last trading day of the first quarter of 2026 and the exercise price, multiplied by the number of in-the-money options) that would have been received by the option holders had they all exercised their options on June 30, 2026. This amount will change based on the fair market value of our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Black-Scholes pricing model and the resulting weighted average fair value of stock option grants were the following:</w:t>
      </w:r>
    </w:p>
    <w:tbl>
      <w:tblPr>
        <w:tblW w:w="7991" w:type="dxa"/>
        <w:jc w:val="left"/>
        <w:tblInd w:w="0" w:type="dxa"/>
        <w:tblLayout w:type="fixed"/>
        <w:tblCellMar>
          <w:top w:w="28" w:type="dxa"/>
          <w:left w:w="28" w:type="dxa"/>
          <w:bottom w:w="28" w:type="dxa"/>
          <w:right w:w="28" w:type="dxa"/>
        </w:tblCellMar>
      </w:tblPr>
      <w:tblGrid>
        <w:gridCol w:w="1142"/>
        <w:gridCol w:w="1001"/>
        <w:gridCol w:w="1007"/>
        <w:gridCol w:w="216"/>
        <w:gridCol w:w="524"/>
        <w:gridCol w:w="278"/>
        <w:gridCol w:w="111"/>
        <w:gridCol w:w="111"/>
        <w:gridCol w:w="111"/>
        <w:gridCol w:w="216"/>
        <w:gridCol w:w="416"/>
        <w:gridCol w:w="278"/>
        <w:gridCol w:w="109"/>
        <w:gridCol w:w="109"/>
        <w:gridCol w:w="109"/>
        <w:gridCol w:w="211"/>
        <w:gridCol w:w="511"/>
        <w:gridCol w:w="271"/>
        <w:gridCol w:w="109"/>
        <w:gridCol w:w="109"/>
        <w:gridCol w:w="109"/>
        <w:gridCol w:w="211"/>
        <w:gridCol w:w="406"/>
        <w:gridCol w:w="316"/>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expect to recognize $0.4 million of total unrecognized pre-tax stock-based compensation expense related to non-vested stock options over a remaining weighted-average life of 2.5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Other Income (Expense),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three and six months ended June 30, 2025, in order to collect an open accounts receivable balance with an Argentine customer, we purchased $1.3 million and $2.5 million, respectively, and sold BCS securities of $1.2 million and $2.3 million, respectively, and incurred a loss on the transactions of $0.1 million and $0.2 million, respectively, which is recorded in other income (expense) on our consolidated statements of operations. There has been no activity for the three and six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60"/>
        <w:jc w:val="left"/>
        <w:rPr/>
      </w:pPr>
      <w:r>
        <w:rPr>
          <w:rFonts w:ascii="Times New Roman;serif" w:hAnsi="Times New Roman;serif"/>
          <w:b w:val="false"/>
          <w:color w:val="000000"/>
          <w:sz w:val="20"/>
        </w:rPr>
        <w:t>Other income (expense), net consisted of the following:</w:t>
      </w:r>
      <w:r>
        <w:rPr>
          <w:color w:val="000000"/>
        </w:rPr>
        <w:t> </w:t>
      </w:r>
    </w:p>
    <w:tbl>
      <w:tblPr>
        <w:tblW w:w="9840" w:type="dxa"/>
        <w:jc w:val="left"/>
        <w:tblInd w:w="0" w:type="dxa"/>
        <w:tblLayout w:type="fixed"/>
        <w:tblCellMar>
          <w:top w:w="28" w:type="dxa"/>
          <w:left w:w="28" w:type="dxa"/>
          <w:bottom w:w="28" w:type="dxa"/>
          <w:right w:w="28" w:type="dxa"/>
        </w:tblCellMar>
      </w:tblPr>
      <w:tblGrid>
        <w:gridCol w:w="1724"/>
        <w:gridCol w:w="1521"/>
        <w:gridCol w:w="1525"/>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Net gain (loss) on foreign currency exchange contracts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foreign currency exchange transactions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w:t>
            </w:r>
            <w:r>
              <w:rPr>
                <w:color w:val="000000"/>
              </w:rPr>
              <w:t xml:space="preserve"> </w:t>
            </w:r>
            <w:r>
              <w:rPr>
                <w:rFonts w:ascii="Times New Roman;serif" w:hAnsi="Times New Roman;serif"/>
                <w:b w:val="false"/>
                <w:color w:val="000000"/>
                <w:sz w:val="13"/>
              </w:rPr>
              <w:t>(2)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represents the gains (losses) incurred on foreign currency hedging derivatives (see Note 17 for further details).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this amount is $0.1 million and $0.2 million of loss related to BCS security transactions during the three and six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Earnings (Loss) Per Share</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Earnings (loss) per share was calculated as follows:</w:t>
      </w:r>
    </w:p>
    <w:tbl>
      <w:tblPr>
        <w:tblW w:w="10205" w:type="dxa"/>
        <w:jc w:val="left"/>
        <w:tblInd w:w="0" w:type="dxa"/>
        <w:tblLayout w:type="fixed"/>
        <w:tblCellMar>
          <w:top w:w="28" w:type="dxa"/>
          <w:left w:w="28" w:type="dxa"/>
          <w:bottom w:w="28" w:type="dxa"/>
          <w:right w:w="28" w:type="dxa"/>
        </w:tblCellMar>
      </w:tblPr>
      <w:tblGrid>
        <w:gridCol w:w="2014"/>
        <w:gridCol w:w="1616"/>
        <w:gridCol w:w="1622"/>
        <w:gridCol w:w="211"/>
        <w:gridCol w:w="616"/>
        <w:gridCol w:w="109"/>
        <w:gridCol w:w="109"/>
        <w:gridCol w:w="109"/>
        <w:gridCol w:w="109"/>
        <w:gridCol w:w="211"/>
        <w:gridCol w:w="676"/>
        <w:gridCol w:w="109"/>
        <w:gridCol w:w="109"/>
        <w:gridCol w:w="109"/>
        <w:gridCol w:w="109"/>
        <w:gridCol w:w="211"/>
        <w:gridCol w:w="676"/>
        <w:gridCol w:w="109"/>
        <w:gridCol w:w="109"/>
        <w:gridCol w:w="109"/>
        <w:gridCol w:w="109"/>
        <w:gridCol w:w="211"/>
        <w:gridCol w:w="676"/>
        <w:gridCol w:w="157"/>
      </w:tblGrid>
      <w:tr>
        <w:trPr/>
        <w:tc>
          <w:tcPr>
            <w:tcW w:w="2014"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for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performance stock awards and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on a diluted basis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(loss) per share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number of stock options, shares of restricted stock and shares of performance stock were excluded from the computation of diluted earnings per common share as their inclusion would have been anti-dilutive: </w:t>
      </w:r>
    </w:p>
    <w:tbl>
      <w:tblPr>
        <w:tblW w:w="7035" w:type="dxa"/>
        <w:jc w:val="left"/>
        <w:tblInd w:w="0" w:type="dxa"/>
        <w:tblLayout w:type="fixed"/>
        <w:tblCellMar>
          <w:top w:w="28" w:type="dxa"/>
          <w:left w:w="28" w:type="dxa"/>
          <w:bottom w:w="28" w:type="dxa"/>
          <w:right w:w="28" w:type="dxa"/>
        </w:tblCellMar>
      </w:tblPr>
      <w:tblGrid>
        <w:gridCol w:w="797"/>
        <w:gridCol w:w="703"/>
        <w:gridCol w:w="704"/>
        <w:gridCol w:w="251"/>
        <w:gridCol w:w="251"/>
        <w:gridCol w:w="251"/>
        <w:gridCol w:w="251"/>
        <w:gridCol w:w="251"/>
        <w:gridCol w:w="251"/>
        <w:gridCol w:w="251"/>
        <w:gridCol w:w="251"/>
        <w:gridCol w:w="251"/>
        <w:gridCol w:w="109"/>
        <w:gridCol w:w="109"/>
        <w:gridCol w:w="109"/>
        <w:gridCol w:w="292"/>
        <w:gridCol w:w="224"/>
        <w:gridCol w:w="224"/>
        <w:gridCol w:w="224"/>
        <w:gridCol w:w="224"/>
        <w:gridCol w:w="224"/>
        <w:gridCol w:w="292"/>
        <w:gridCol w:w="224"/>
        <w:gridCol w:w="317"/>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awards</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Derivatives</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net fair value of derivatives:</w:t>
      </w:r>
    </w:p>
    <w:tbl>
      <w:tblPr>
        <w:tblW w:w="10205" w:type="dxa"/>
        <w:jc w:val="center"/>
        <w:tblInd w:w="0" w:type="dxa"/>
        <w:tblLayout w:type="fixed"/>
        <w:tblCellMar>
          <w:top w:w="28" w:type="dxa"/>
          <w:left w:w="28" w:type="dxa"/>
          <w:bottom w:w="28" w:type="dxa"/>
          <w:right w:w="28" w:type="dxa"/>
        </w:tblCellMar>
      </w:tblPr>
      <w:tblGrid>
        <w:gridCol w:w="570"/>
        <w:gridCol w:w="464"/>
        <w:gridCol w:w="466"/>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247"/>
        <w:gridCol w:w="422"/>
        <w:gridCol w:w="127"/>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33"/>
        <w:gridCol w:w="515"/>
        <w:gridCol w:w="174"/>
      </w:tblGrid>
      <w:tr>
        <w:trPr/>
        <w:tc>
          <w:tcPr>
            <w:tcW w:w="57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held foreign currency exchange contracts, which resulted in a net pre-tax gain of $0.3 million and net pre-tax loss $0.4 million for the three months ended June 30, 2026, and 2025, respectively.</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518"/>
        <w:gridCol w:w="413"/>
        <w:gridCol w:w="313"/>
        <w:gridCol w:w="109"/>
        <w:gridCol w:w="109"/>
        <w:gridCol w:w="109"/>
        <w:gridCol w:w="285"/>
        <w:gridCol w:w="285"/>
        <w:gridCol w:w="286"/>
        <w:gridCol w:w="109"/>
        <w:gridCol w:w="109"/>
        <w:gridCol w:w="109"/>
        <w:gridCol w:w="283"/>
        <w:gridCol w:w="283"/>
        <w:gridCol w:w="284"/>
        <w:gridCol w:w="109"/>
        <w:gridCol w:w="109"/>
        <w:gridCol w:w="109"/>
        <w:gridCol w:w="249"/>
        <w:gridCol w:w="604"/>
        <w:gridCol w:w="128"/>
        <w:gridCol w:w="109"/>
        <w:gridCol w:w="109"/>
        <w:gridCol w:w="109"/>
        <w:gridCol w:w="379"/>
        <w:gridCol w:w="357"/>
        <w:gridCol w:w="304"/>
        <w:gridCol w:w="109"/>
        <w:gridCol w:w="109"/>
        <w:gridCol w:w="109"/>
        <w:gridCol w:w="559"/>
        <w:gridCol w:w="1239"/>
        <w:gridCol w:w="292"/>
        <w:gridCol w:w="109"/>
        <w:gridCol w:w="109"/>
        <w:gridCol w:w="109"/>
        <w:gridCol w:w="343"/>
        <w:gridCol w:w="343"/>
        <w:gridCol w:w="496"/>
      </w:tblGrid>
      <w:tr>
        <w:trPr/>
        <w:tc>
          <w:tcPr>
            <w:tcW w:w="51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Unrealized Gain/(Loss) Recorded at June 30, 2026 </w:t>
            </w:r>
          </w:p>
          <w:p>
            <w:pPr>
              <w:pStyle w:val="TableContents"/>
              <w:bidi w:val="0"/>
              <w:spacing w:lineRule="auto" w:line="240" w:before="0" w:after="0"/>
              <w:jc w:val="center"/>
              <w:rPr/>
            </w:pPr>
            <w:r>
              <w:rPr>
                <w:rFonts w:ascii="Times New Roman;serif" w:hAnsi="Times New Roman;serif"/>
                <w:b/>
                <w:color w:val="000000"/>
                <w:sz w:val="16"/>
              </w:rPr>
              <w:t>(in thousands)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Date</w:t>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2026</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2026</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 Reportable Segment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our interim chief executive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reported segment revenue, segment profit or loss, and significant segment expenses were as follows:</w:t>
      </w:r>
    </w:p>
    <w:p>
      <w:pPr>
        <w:pStyle w:val="TextBody"/>
        <w:bidi w:val="0"/>
        <w:spacing w:before="0" w:after="0"/>
        <w:jc w:val="left"/>
        <w:rPr/>
      </w:pPr>
      <w:r>
        <w:rPr/>
      </w:r>
    </w:p>
    <w:tbl>
      <w:tblPr>
        <w:tblW w:w="9704" w:type="dxa"/>
        <w:jc w:val="left"/>
        <w:tblInd w:w="0" w:type="dxa"/>
        <w:tblLayout w:type="fixed"/>
        <w:tblCellMar>
          <w:top w:w="28" w:type="dxa"/>
          <w:left w:w="28" w:type="dxa"/>
          <w:bottom w:w="28" w:type="dxa"/>
          <w:right w:w="28" w:type="dxa"/>
        </w:tblCellMar>
      </w:tblPr>
      <w:tblGrid>
        <w:gridCol w:w="1553"/>
        <w:gridCol w:w="1370"/>
        <w:gridCol w:w="138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research and development expenses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operating expenses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Cost of sales from the consolidated statements of operations, adjusted to exclude stock-based compensation and impairment expenses.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R&amp;D expenses from the consolidated statements of operations, adjusted to exclude stock-based compensation expense.</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Operating expenses less R&amp;D expenses from the consolidated statements of operations, adjusted to exclude stock-based compensation, amortization of acquired intangible assets, factory restructuring charges, severance, lease abandonment costs and costs associated with our Roku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Other segment items include the adjustments described in the notes above; as well as interest income (expense), net; other income (expense), net; and provision for income taxes.</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consolidated balance sheets as consolidated total assets. Long-lived assets by geographic area are disclosed in Note 5. The measure of revenues from external customers is reported on the consolidated statements of operations as net sales. Revenues by sales channel, geographic region and information about major customers are disclosed in Note 3. Depreciation expense is disclosed in Note 5. Amortization expense is disclosed in Note 6. Interest expense is disclosed in Note 8 and income taxes are disclosed in Note 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 Long-Lived Assets Classified as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re-acquired certain manufacturing equipment within Mexico previously sold in December 2025 following an amendment to the original sales agreement under which legal title was returned to the Company and all payment obligations were waived. Management has committed to a plan to sell the equipment, which is available for immediate sale and is being actively marketed to potential buyers. The Company expects the sale to be completed within one year and has therefore classified the equipment as held for sale as of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15, 2026, Gemstar Technology (Yangzhou) Co.ltd.(“GTY”), a subsidiary of the Company, extended its existing line of credit with Bank of China Limited, Baoying sub-branch. Under the amended loan agreement, GTY`s borrowing capacity remains 130,000,000 RMB for general business purposes through July 9, 2027.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and the related notes that appear elsewhere in this report.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in this report are made as of the date this Quarterly Report on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Quarterly Report on Form 10-Q is filed with the SEC. Forward-looking statements include: supply chain issues; customer demand for our products and solutions; expectations with respect to the markets in which we operate, including for specific geographic markets; other future demand and recovery trends and expectations; the delay by or failure of our customers to order products from us; expectations related to the shut down of our Mexico manufacturing facility, including related costs; expected benefits of our restructuring and cost-reduction activities; continued availability of cash through borrowing under our revolving lines of credit; risks related to interest rates and foreign currency exchange rates; expectations with respect to tariff recovery; the effects of doing business internationally, including expanded use of tariffs, pertaining to the importation of our products, particularly in light of the recent U.S. presidential administrative actions and the responsive retaliatory actions of foreign governments; our expectations regarding our ability to meet our liquidity requirements; our capital expenditures and other investment spending expectations; our expectations with respect to the impact of changes in tax laws;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2025 (the "2025 Form 10-K"), Part II, Item 1A of this Quarterly Report on Form 10-Q, and other factors we describe from time to time in our periodic filings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Our channel offerings include: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Connected home:</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Climate Control Solutions:</w:t>
      </w:r>
      <w:r>
        <w:rPr>
          <w:color w:val="000000"/>
        </w:rPr>
        <w:t xml:space="preserve"> </w:t>
      </w:r>
      <w:r>
        <w:rPr>
          <w:rFonts w:ascii="Times New Roman;serif" w:hAnsi="Times New Roman;serif"/>
          <w:b w:val="false"/>
          <w:color w:val="000000"/>
          <w:sz w:val="20"/>
        </w:rPr>
        <w:t>Our innovative climate control solutions include wireless and wired controllers, smart thermostats and connected 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Smart Home and Security Products:</w:t>
      </w:r>
      <w:r>
        <w:rPr>
          <w:color w:val="000000"/>
        </w:rPr>
        <w:t xml:space="preserve"> </w:t>
      </w:r>
      <w:r>
        <w:rPr>
          <w:rFonts w:ascii="Times New Roman;serif" w:hAnsi="Times New Roman;serif"/>
          <w:b w:val="false"/>
          <w:color w:val="000000"/>
          <w:sz w:val="20"/>
        </w:rPr>
        <w:t xml:space="preserve">We offer proprietary and standards-based radio frequency ("RF") wireless remote controls and sensors designed for residential security, safety and a broad variety of home automation applications, such as smart lighting and motorized shades.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Home entertainment:</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Home Entertainment Products:</w:t>
      </w:r>
      <w:r>
        <w:rPr>
          <w:color w:val="000000"/>
        </w:rPr>
        <w:t xml:space="preserve"> </w:t>
      </w:r>
      <w:r>
        <w:rPr>
          <w:rFonts w:ascii="Times New Roman;serif" w:hAnsi="Times New Roman;serif"/>
          <w:b w:val="false"/>
          <w:color w:val="000000"/>
          <w:sz w:val="20"/>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Software and Cloud Services:</w:t>
      </w:r>
      <w:r>
        <w:rPr>
          <w:color w:val="000000"/>
        </w:rPr>
        <w:t xml:space="preserve"> </w:t>
      </w:r>
      <w:r>
        <w:rPr>
          <w:rFonts w:ascii="Times New Roman;serif" w:hAnsi="Times New Roman;serif"/>
          <w:b w:val="false"/>
          <w:color w:val="000000"/>
          <w:sz w:val="20"/>
        </w:rPr>
        <w:t>Our software, firmware and technology solutions enable devices such as smart TVs, hybrid set-top boxes, game 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Intellectual Property and Licensing:</w:t>
      </w:r>
      <w:r>
        <w:rPr>
          <w:color w:val="000000"/>
        </w:rPr>
        <w:t xml:space="preserve"> </w:t>
      </w:r>
      <w:r>
        <w:rPr>
          <w:rFonts w:ascii="Times New Roman;serif" w:hAnsi="Times New Roman;serif"/>
          <w:b w:val="false"/>
          <w:color w:val="000000"/>
          <w:sz w:val="20"/>
        </w:rPr>
        <w:t>We license our intellectual property primarily to OEMs and video service providers. Our cloud-enabled 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as one business segment. We have one domestic subsidiary and 23 international subsidiaries located in Brazil, France, Germany, Hong Kong (3), India, Italy, Japan, Korea, Mexico (2), the Netherlands, the People's Republic of China (the "PRC") (7), Singapore, Spain, United Kingdom and Vietnam.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recap our results for the three months ended June 30, 2026: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sales decreased 25.0% to $73.2 million for the three months ended June 30, 2026 from $97.7 million for the three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gross margin percentage increased to 35.4% for the three months ended June 30, 2026 from 29.9% for the three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Operating expenses, as a percentage of net sales, decreased to 28.8% for the three months ended June 30, 2026 from 28.9% for the three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operating income was $4.8 million for the three months ended June 30, 2026 compared to operating income of $1.0 million for the three months ended June 30, 2025. Our operating income percentage was 6.5% for the three months ended June 30, 2026 compared to our operating income percentage of 1.0% for the three months ended June 30, 2025.</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Income tax expense was $1.1 million for the three months ended June 30, 2026 compared to $1.8 million for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Macroeconomic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negatively impacted and we expect to continue to be negatively impacted by adverse macroeconomic conditions, including tariffs imposed or to be imposed on goods manufactured in Vietnam, Taiwan, the PRC, and Mexico, and reduced consumer spending on durable goods. Economic tensions and changes in international trade policies, including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and income taxes. Actual results may differ from these judgments and estimates, and they may be adjusted as more information becomes available. Any adjustment may be significant and may have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six months ended June 30, 2026 to the items that we disclosed as our critical accounting policies and estimates in Item 7, "Management's Discussion and Analysis of Financial Condition and Results of Operations" contained in the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 contained in the "Notes to Consolidated Financial Statements" for a discussion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reported results of operations expressed as a percentage of net sales for the periods indicated.</w:t>
      </w:r>
    </w:p>
    <w:tbl>
      <w:tblPr>
        <w:tblW w:w="9687" w:type="dxa"/>
        <w:jc w:val="left"/>
        <w:tblInd w:w="0" w:type="dxa"/>
        <w:tblLayout w:type="fixed"/>
        <w:tblCellMar>
          <w:top w:w="28" w:type="dxa"/>
          <w:left w:w="28" w:type="dxa"/>
          <w:bottom w:w="28" w:type="dxa"/>
          <w:right w:w="28" w:type="dxa"/>
        </w:tblCellMar>
      </w:tblPr>
      <w:tblGrid>
        <w:gridCol w:w="1630"/>
        <w:gridCol w:w="1158"/>
        <w:gridCol w:w="1172"/>
        <w:gridCol w:w="308"/>
        <w:gridCol w:w="308"/>
        <w:gridCol w:w="470"/>
        <w:gridCol w:w="189"/>
        <w:gridCol w:w="189"/>
        <w:gridCol w:w="189"/>
        <w:gridCol w:w="308"/>
        <w:gridCol w:w="308"/>
        <w:gridCol w:w="470"/>
        <w:gridCol w:w="109"/>
        <w:gridCol w:w="109"/>
        <w:gridCol w:w="109"/>
        <w:gridCol w:w="308"/>
        <w:gridCol w:w="308"/>
        <w:gridCol w:w="424"/>
        <w:gridCol w:w="170"/>
        <w:gridCol w:w="170"/>
        <w:gridCol w:w="170"/>
        <w:gridCol w:w="308"/>
        <w:gridCol w:w="308"/>
        <w:gridCol w:w="495"/>
      </w:tblGrid>
      <w:tr>
        <w:trPr/>
        <w:tc>
          <w:tcPr>
            <w:tcW w:w="163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Three Months Ended June 30, 2026 versus Three Months Ended June 30, 2025</w:t>
      </w:r>
    </w:p>
    <w:p>
      <w:pPr>
        <w:pStyle w:val="TextBody"/>
        <w:bidi w:val="0"/>
        <w:spacing w:lineRule="auto" w:line="288" w:before="0" w:after="60"/>
        <w:jc w:val="both"/>
        <w:rPr/>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the three months ended June 30, 2026 were $73.2 million compared to $97.7 million for the three months ended June 30, 2025. Net sales by channel were as follows:</w:t>
      </w:r>
    </w:p>
    <w:tbl>
      <w:tblPr>
        <w:tblW w:w="4223" w:type="dxa"/>
        <w:jc w:val="left"/>
        <w:tblInd w:w="0" w:type="dxa"/>
        <w:tblLayout w:type="fixed"/>
        <w:tblCellMar>
          <w:top w:w="28" w:type="dxa"/>
          <w:left w:w="28" w:type="dxa"/>
          <w:bottom w:w="28" w:type="dxa"/>
          <w:right w:w="28" w:type="dxa"/>
        </w:tblCellMar>
      </w:tblPr>
      <w:tblGrid>
        <w:gridCol w:w="640"/>
        <w:gridCol w:w="564"/>
        <w:gridCol w:w="565"/>
        <w:gridCol w:w="211"/>
        <w:gridCol w:w="721"/>
        <w:gridCol w:w="109"/>
        <w:gridCol w:w="109"/>
        <w:gridCol w:w="109"/>
        <w:gridCol w:w="109"/>
        <w:gridCol w:w="211"/>
        <w:gridCol w:w="72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in connected home were $25.1 million for the three months ended June 30, 2026 compared to $34.1 million for the three months ended June 30, 2025. This decrease is driven primarily by reduced demand from our large climate control and home entertainment customers.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home entertainment were $48.1 million for the three months ended June 30, 2026 compared to $63.6 million for the three months ended June 30, 2025. The decrease in sales within the home entertainment channel was primarily driven by lower demand for subscription broadcasting products, particularly for basic remote controls with lower price points and limited or no advanced features.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three months ended June 30, 2026 was $25.9 million compared to $29.2 million for the three months ended June 30, 2025. Gross profit as a percentage of sales increased to 35.4% for the three months ended June 30, 2026 from 29.9% for the three months ended June 30, 2025. The improvement in gross margin was primarily driven by the sale of tariff claims and the associated mix impact, which contributed approximately 690 basis points and 160 basis points respectively, and improved management of inbound freight costs and other costs, which contributed approximately 90 basis points. These favorable impacts were partially offset by higher component costs driven by market conditions, which reduced gross margin by approximately 240 basis points, as well as the weaker U.S. dollar relative to the Chinese Renminbi, which had an adverse impact of approximately 150 basis points.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Research and development ("R&amp;D") expenses. </w:t>
      </w:r>
      <w:r>
        <w:rPr>
          <w:rFonts w:ascii="Times New Roman;serif" w:hAnsi="Times New Roman;serif"/>
          <w:b w:val="false"/>
          <w:color w:val="000000"/>
          <w:sz w:val="20"/>
        </w:rPr>
        <w:t>R&amp;D expenses decreased to $4.3 million for the three months ended June 30, 2026 from $7.0 million for the three months ended June 30, 2025 attributable to reductions in payroll and related personnel expenses following headcount optimization 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Selling, general and administrative ("SG&amp;A") expenses.</w:t>
      </w:r>
      <w:r>
        <w:rPr>
          <w:color w:val="000000"/>
        </w:rPr>
        <w:t xml:space="preserve"> </w:t>
      </w:r>
      <w:r>
        <w:rPr>
          <w:rFonts w:ascii="Times New Roman;serif" w:hAnsi="Times New Roman;serif"/>
          <w:b w:val="false"/>
          <w:color w:val="000000"/>
          <w:sz w:val="20"/>
        </w:rPr>
        <w:t>SG&amp;A expenses decreased to $16.8 million for the three months ended June 30, 2026 from $21.2 million for the three months ended June 30, 2025. The decrease reflects lower volume-driven expenses of $0.6 million, consistent with the decline in sales volume. In addition, ongoing cost-reduction initiatives, including organizational rightsizing, resulted in savings from headcount reductions. People-related expenses decreased by $3.6 million, complemented by an additional $0.8 million reduction in other discretionary spending including travel expense and professional fees. These savings were partially offset by $0.6 million increase of reserve for uncollectible accounts receivable during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expense, net decreased to $0.2 million for the three months ended June 30, 2026 from $0.4 million for the three months ended June 30, 2025, as a result of a lower average loan balance and lower interest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net was $1.8 million for the three months ended June 30, 2026 compared to other income, net of $1.8 million for the three months ended June 30, 2025. The amount was primarily attributable to foreign currency losses incurred in the second quarter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Income tax expense was $1.1 million for the three months ended June 30, 2026, relative to a pre-tax loss of $2.8 million, compared to income tax expense of $1.8 million for the three months ended June 30, 2025, relative to a pre-tax loss of $1.1 million. Consistent with 2025, we expect the U.S. to be in a pre-tax loss position without benefit for the full year 2026, resulting in an elevated effective tax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Six Months Ended June 30, 2026 versus Six Months Ended June 30, 2025</w:t>
      </w:r>
    </w:p>
    <w:p>
      <w:pPr>
        <w:pStyle w:val="TextBody"/>
        <w:bidi w:val="0"/>
        <w:spacing w:before="0" w:after="0"/>
        <w:jc w:val="both"/>
        <w:rPr/>
      </w:pPr>
      <w:r>
        <w:rPr/>
      </w:r>
    </w:p>
    <w:tbl>
      <w:tblPr>
        <w:tblW w:w="4433" w:type="dxa"/>
        <w:jc w:val="left"/>
        <w:tblInd w:w="0" w:type="dxa"/>
        <w:tblLayout w:type="fixed"/>
        <w:tblCellMar>
          <w:top w:w="28" w:type="dxa"/>
          <w:left w:w="28" w:type="dxa"/>
          <w:bottom w:w="28" w:type="dxa"/>
          <w:right w:w="28" w:type="dxa"/>
        </w:tblCellMar>
      </w:tblPr>
      <w:tblGrid>
        <w:gridCol w:w="640"/>
        <w:gridCol w:w="564"/>
        <w:gridCol w:w="565"/>
        <w:gridCol w:w="211"/>
        <w:gridCol w:w="826"/>
        <w:gridCol w:w="109"/>
        <w:gridCol w:w="109"/>
        <w:gridCol w:w="109"/>
        <w:gridCol w:w="109"/>
        <w:gridCol w:w="211"/>
        <w:gridCol w:w="82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the six months ended June 30, 2026 were $152.3 million compared to $190.0 million for the six months ended June 30, 2025. Net sales by channel were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connected home were $53.4 million for the six months ended June 30, 2026 compared to $65.8 million for the six months ended ended June 30, 2025. This decrease is driven primarily by reduced demand from our large climate control and home entertainment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home entertainment were $98.9 million for the six months ended June 30, 2026 compared to $124.2 million for the six months ended June 30, 2025. The decrease in sales within the home entertainment channel was primarily driven by lower demand for subscription broadcasting products, particularly for basic remote controls with lower price points and limited or no advanced features.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Gross profit</w:t>
      </w:r>
      <w:r>
        <w:rPr>
          <w:rFonts w:ascii="Times New Roman;serif" w:hAnsi="Times New Roman;serif"/>
          <w:b w:val="false"/>
          <w:color w:val="000000"/>
          <w:sz w:val="20"/>
        </w:rPr>
        <w:t xml:space="preserve">. Gross profit for the six months ended June 30, 2026 was $46.5 million compared to $55.3 million for the six months ended June 30, 2025. Gross profit as a percentage of sales increased to 30.5% for the six months ended June 30, 2026 from 29.1% for the six months ended June 30, 2025. The improvement in gross margin was primarily driven by the sale of tariff claims and the associated mix impact, which contributed approximately 330 basis points and 70 basis points respectively,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improved management of inbound freight costs, which contributed approximately 60 basis points. These favorable impacts were partially offset by higher component costs driven by market conditions, which reduced gross margin by approximately 110 basis points, an unfavorable change in sales mix, which reduced margin by approximately 80 basis points and incremental tariff costs that were not recoverable through customer pricing actions and others, which reduced gross margin by approximately 70 basis points. In addition, the weaker U.S. dollar relative to the Chinese Renminbi had an adverse impact of approximately 60 basis points on gross margin.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Research and development ("R&amp;D") expenses. </w:t>
      </w:r>
      <w:r>
        <w:rPr>
          <w:rFonts w:ascii="Times New Roman;serif" w:hAnsi="Times New Roman;serif"/>
          <w:b w:val="false"/>
          <w:color w:val="000000"/>
          <w:sz w:val="20"/>
        </w:rPr>
        <w:t>R&amp;D expenses decreased to $9.8 million for the six months ended June 30, 2026 from $14.2 million for the six months ended June 30, 2025 attributable to reductions in payroll and related personnel expenses following headcount optimization actions.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Selling, general and administrative ("SG&amp;A") expenses.</w:t>
      </w:r>
      <w:r>
        <w:rPr>
          <w:color w:val="000000"/>
        </w:rPr>
        <w:t xml:space="preserve"> </w:t>
      </w:r>
      <w:r>
        <w:rPr>
          <w:rFonts w:ascii="Times New Roman;serif" w:hAnsi="Times New Roman;serif"/>
          <w:b w:val="false"/>
          <w:color w:val="000000"/>
          <w:sz w:val="20"/>
        </w:rPr>
        <w:t>SG&amp;A expenses decreased to $35.8 million for the six months ended June 30, 2026 from $43.8 million for the six months ended June 30, 2025. The decrease reflects lower volume-driven expenses of $1.0 million, consistent with the decline in sales volume. In addition, ongoing cost-reduction initiatives, including organizational rightsizing, resulted in savings from headcount reductions. People-related expenses decreased by $6.5 million, complemented by an additional $1.7 million reduction in other discretionary spending including travel, rental expense and professional fees. These savings were partially offset by $0.6 million of severance costs associated with our global reduction in force and $0.5 million increase of reserve for uncollectible accounts receivable during the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expense, net decreased to $0.3 million for the six months ended June 30, 2026 from $0.7 million for the six months ended June 30, 2025, as a result of a lower average loan balance and lower interest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net was $1.6 million for the six months ended June 30, 2026 compared to other income (expense), net of $1.7 million for the six months ended June 30, 2025. The amount was primarily attributable to foreign currency losses incurred in the first half year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Income tax expense was $4.7 million for the six months ended June 30, 2026, relative to a pre-tax loss of $1.0 million, compared to income tax expense of $4.0 million for the six months ended June 30, 2025, relative to a pre-tax loss of $5.2 million. Consistent with 2025, we expect the U.S. to be in a pre-tax loss position without benefit for the full year 2026, resulting in an elevated effective tax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pStyle w:val="TextBody"/>
        <w:bidi w:val="0"/>
        <w:spacing w:before="0" w:after="0"/>
        <w:jc w:val="both"/>
        <w:rPr/>
      </w:pPr>
      <w:r>
        <w:rPr/>
      </w:r>
    </w:p>
    <w:tbl>
      <w:tblPr>
        <w:tblW w:w="5590" w:type="dxa"/>
        <w:jc w:val="left"/>
        <w:tblInd w:w="0" w:type="dxa"/>
        <w:tblLayout w:type="fixed"/>
        <w:tblCellMar>
          <w:top w:w="28" w:type="dxa"/>
          <w:left w:w="28" w:type="dxa"/>
          <w:bottom w:w="28" w:type="dxa"/>
          <w:right w:w="28" w:type="dxa"/>
        </w:tblCellMar>
      </w:tblPr>
      <w:tblGrid>
        <w:gridCol w:w="937"/>
        <w:gridCol w:w="827"/>
        <w:gridCol w:w="830"/>
        <w:gridCol w:w="228"/>
        <w:gridCol w:w="779"/>
        <w:gridCol w:w="117"/>
        <w:gridCol w:w="109"/>
        <w:gridCol w:w="109"/>
        <w:gridCol w:w="109"/>
        <w:gridCol w:w="300"/>
        <w:gridCol w:w="1026"/>
        <w:gridCol w:w="219"/>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resources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Cash and cash equivalents </w:t>
      </w:r>
      <w:r>
        <w:rPr>
          <w:color w:val="000000"/>
        </w:rPr>
        <w:t xml:space="preserve">– </w:t>
      </w:r>
      <w:r>
        <w:rPr>
          <w:rFonts w:ascii="Times New Roman;serif" w:hAnsi="Times New Roman;serif"/>
          <w:b w:val="false"/>
          <w:color w:val="000000"/>
          <w:sz w:val="20"/>
        </w:rPr>
        <w:t>On June 30, 2026, we had $11.0 million, $8.9 million, $5.2 million, $4.3 million and $3.0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pPr>
      <w:r>
        <w:rPr>
          <w:rFonts w:ascii="Times New Roman;serif" w:hAnsi="Times New Roman;serif"/>
          <w:b w:val="false"/>
          <w:i/>
          <w:color w:val="000000"/>
          <w:sz w:val="20"/>
        </w:rPr>
        <w:t>Available Borrowing Resources</w:t>
      </w:r>
      <w:r>
        <w:rPr>
          <w:color w:val="000000"/>
        </w:rPr>
        <w:t xml:space="preserve"> – </w:t>
      </w:r>
      <w:r>
        <w:rPr>
          <w:rFonts w:ascii="Times New Roman;serif" w:hAnsi="Times New Roman;serif"/>
          <w:b w:val="false"/>
          <w:color w:val="000000"/>
          <w:sz w:val="20"/>
        </w:rPr>
        <w:t xml:space="preserve">Our Second Amended and Restated Credit Agreement ("Second Amended Credit Agreement") with U.S. Bank National Association ("U.S. Bank") provides for a revolving line of credit ("U.S. Credit Line") through September 30, 2027. The U.S. Credit Line may be used for working capital and other general corporate purposes including acquisitions, share repurchases and capital expenditures.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Credit Line has a maximum availability of up to $60.0 million, subject to meeting certain financial conditions. Availability is based on "Borrowing Base", which is defined as 75% of accounts receivable aged less than 90 days less reserves for doubtful accounts and returns. The Borrowing Base is calculated monthly. At June 30, 2026, the U.S. Credit Line total availability was $43.3 million. At August 5, 2026, the U.S. Credit Line total availability was $38.9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U.S. Credit Line are reduced by the balance of any outstanding letters of credit, of which there were $1.9 million at June 30, 2026 and $0.5 million at December 31, 2025. At June 30, 2026 and December 31, 2025, we had $0.0 million and $5.5 million outstanding under the U.S. Credit Line, respectively. At June 30, 2026, our remaining availability under our U.S. Credit Line was $41.4 million.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Gemstar Technology (Yangzhou) Co. Ltd. ("GTY"), has a Line of Credit Agreement ("Line of Credit Agreement") with the Bank of China, which provides for a revolving line of credit ("China Credit Line" and, together with the U.S. Credit Line, "Credit Lines"). As a continuation of the agreement, on July 30, 2025, we executed an amendment to the Line of Credit Agreement, which extends the term of the China Credit Line to July 16, 2026. As a continuation of the agreement, on July 15, 2026, we executed an amendment to the Line of Credit Agreement, which extends the term of the China Credit Line to July 9, 2027. The China Credit Line may be used for working capital purposes.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China Credit Line had a maximum availability of up to RMB 130.0 million (approximately $19.1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China Credit Line may be used for working capital purposes. Amounts available for borrowing under the China Credit Line are reduced by the balance of any outstanding letters of credit, of which there were none at June 30, 2026 and December 31, 2025. At June 30, 2026, we had an outstanding balance of RMB 80.0 million (approximately $11.8 million) on our China Credit Line and RMB 50.0 million (approximately $7.4 million) of availability under our China Credit Line.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contained in the "Notes to Consolidated Financial Statements" for further information regarding our Credit Lines.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624"/>
        <w:gridCol w:w="1371"/>
        <w:gridCol w:w="1375"/>
        <w:gridCol w:w="451"/>
        <w:gridCol w:w="1318"/>
        <w:gridCol w:w="233"/>
        <w:gridCol w:w="109"/>
        <w:gridCol w:w="109"/>
        <w:gridCol w:w="109"/>
        <w:gridCol w:w="211"/>
        <w:gridCol w:w="777"/>
        <w:gridCol w:w="109"/>
        <w:gridCol w:w="109"/>
        <w:gridCol w:w="109"/>
        <w:gridCol w:w="109"/>
        <w:gridCol w:w="403"/>
        <w:gridCol w:w="1380"/>
        <w:gridCol w:w="299"/>
      </w:tblGrid>
      <w:tr>
        <w:trPr/>
        <w:tc>
          <w:tcPr>
            <w:tcW w:w="162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 on cash and cash equivalents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6523" w:type="dxa"/>
        <w:jc w:val="left"/>
        <w:tblInd w:w="0" w:type="dxa"/>
        <w:tblLayout w:type="fixed"/>
        <w:tblCellMar>
          <w:top w:w="28" w:type="dxa"/>
          <w:left w:w="28" w:type="dxa"/>
          <w:bottom w:w="28" w:type="dxa"/>
          <w:right w:w="28" w:type="dxa"/>
        </w:tblCellMar>
      </w:tblPr>
      <w:tblGrid>
        <w:gridCol w:w="820"/>
        <w:gridCol w:w="720"/>
        <w:gridCol w:w="724"/>
        <w:gridCol w:w="228"/>
        <w:gridCol w:w="779"/>
        <w:gridCol w:w="117"/>
        <w:gridCol w:w="109"/>
        <w:gridCol w:w="109"/>
        <w:gridCol w:w="109"/>
        <w:gridCol w:w="211"/>
        <w:gridCol w:w="616"/>
        <w:gridCol w:w="109"/>
        <w:gridCol w:w="109"/>
        <w:gridCol w:w="109"/>
        <w:gridCol w:w="109"/>
        <w:gridCol w:w="300"/>
        <w:gridCol w:w="10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Net cash used by operating activities</w:t>
      </w:r>
      <w:r>
        <w:rPr>
          <w:color w:val="000000"/>
        </w:rPr>
        <w:t xml:space="preserve"> </w:t>
      </w:r>
      <w:r>
        <w:rPr>
          <w:rFonts w:ascii="Times New Roman;serif" w:hAnsi="Times New Roman;serif"/>
          <w:b w:val="false"/>
          <w:color w:val="000000"/>
          <w:sz w:val="20"/>
        </w:rPr>
        <w:t>was $5.5 million during the six months ended June 30, 2026 compared to $17.7 million provided by operating activities during the six months ended June 30, 2025. The decrease in operating cash flows primarily reflects changes in working capital, particularly in accounts receivable, contract assets, and inventory. Net loss was $5.7 million for the three months ended June 30, 2026, compared</w:t>
      </w:r>
      <w:r>
        <w:rPr>
          <w:color w:val="000000"/>
        </w:rPr>
        <w:t xml:space="preserve"> </w:t>
      </w:r>
      <w:r>
        <w:rPr>
          <w:rFonts w:ascii="Times New Roman;serif" w:hAnsi="Times New Roman;serif"/>
          <w:b w:val="false"/>
          <w:color w:val="000000"/>
          <w:sz w:val="20"/>
        </w:rPr>
        <w:t xml:space="preserve">to net loss of $9.2 million in the prior-year period. Depreciation and amortization expense was $6.2 million during the six months ended June 30, 2026 compared to $7.6 million during the six months ended June 30, 2025, primarily due to lower capital expenditures in recent years, consistent with the decline in production volumes. Inventories decreased by $8.1 million during six months ended June 30, 2026, compared to a decrease of $1.7 million during the same period in 2025, reflecting improved inventory management practices. A decrease in accounts receivable and contract assets, mainly due to lower sales, resulted in cash inflows of $6.5 million in the three months ended June 30, 2026 and $23.3 million in the three months ended June 30, 2025. Days sales outstanding were 77 days at June 30, 2026, compared to 75 days at June 30, 2025. A decrease in accounts payable and accrued liabilities, primarily driven by lower inventory purchases and timing of payments, resulted in cash outflows of $0.1 million during the six months ended June 30, 2026, compared to $15.4 million in the prior-year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for investing activities</w:t>
      </w:r>
      <w:r>
        <w:rPr>
          <w:color w:val="000000"/>
        </w:rPr>
        <w:t xml:space="preserve"> </w:t>
      </w:r>
      <w:r>
        <w:rPr>
          <w:rFonts w:ascii="Times New Roman;serif" w:hAnsi="Times New Roman;serif"/>
          <w:b w:val="false"/>
          <w:color w:val="000000"/>
          <w:sz w:val="20"/>
        </w:rPr>
        <w:t xml:space="preserve">during the six months ended June 30, 2026 was $2.3 million, of which $1.6 million and $0.7 million was used for capital expenditures and the development of patents, respectively. Net cash used for investing activities during the six months ended June 30, 2025 was $4.0 million, of which $2.3 million and $1.5 million was used for capital expenditures and the development of patents,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investing activities are largely dependent on the timing and amount of capital expenditures and the development of patents, respectively. We estimate that we will incur between $3.0 million and $4.0 million during the remainder of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for financing activities</w:t>
      </w:r>
      <w:r>
        <w:rPr>
          <w:color w:val="000000"/>
        </w:rPr>
        <w:t xml:space="preserve"> </w:t>
      </w:r>
      <w:r>
        <w:rPr>
          <w:rFonts w:ascii="Times New Roman;serif" w:hAnsi="Times New Roman;serif"/>
          <w:b w:val="false"/>
          <w:color w:val="000000"/>
          <w:sz w:val="20"/>
        </w:rPr>
        <w:t>was $4.9 million during the six months ended June 30, 2026 compared to $7.7 million during the six months ended June 30, 2025. The primary financing activities during the six months ended June 30, 2026 and 2025 were borrowings and repayments on our Credit Lines and repurchases of shares of our common stock. Net repayments on our Credit Lines were $12.5 million during the six months ended June 30, 2026 compared to $7.0 million during the six months ended June 30, 2025. During the six months ended June 30, 2026, we did not repurchase any of our common stock at June 30, 2026 compared to our repurchase of 101,000 shares at a cost of $0.7 million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the "Notes to Consolidated Financial Statements" for further information regarding our share repurchase programs.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Material Cash Commitments</w:t>
      </w:r>
      <w:r>
        <w:rPr>
          <w:color w:val="000000"/>
        </w:rPr>
        <w:t xml:space="preserve"> – </w:t>
      </w:r>
      <w:r>
        <w:rPr>
          <w:rFonts w:ascii="Times New Roman;serif" w:hAnsi="Times New Roman;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rPr/>
      </w:pPr>
      <w:r>
        <w:rPr/>
      </w:r>
    </w:p>
    <w:tbl>
      <w:tblPr>
        <w:tblW w:w="9813"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Lines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meeting our material cash commitments with our cash generated from operations and available borrowing on our Credit Lines.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arising out of the conduct of our business. The discussion of our litigation matters contained in Note 12 to the "Notes to Consolidated Financial Statements"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reader should carefully consider, in connection with the other information in this report, the risk factors discussed in "Part I, Item 1A: Risk Factors" of the 2025 Form 10-K and in the periodic reports we have filed since then. These factors may cause our actual results to differ materially from those stated in forward-looking statements contained in this Quarterly Report on Form 10-Q and elsewhere.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three months ended June 30, 2026, our total stock repurchases, average price paid per share and the maximum number of shares that may yet be purchased on the open market under our plans or programs:</w:t>
      </w:r>
    </w:p>
    <w:tbl>
      <w:tblPr>
        <w:tblW w:w="10205" w:type="dxa"/>
        <w:jc w:val="left"/>
        <w:tblInd w:w="0" w:type="dxa"/>
        <w:tblLayout w:type="fixed"/>
        <w:tblCellMar>
          <w:top w:w="28" w:type="dxa"/>
          <w:left w:w="28" w:type="dxa"/>
          <w:bottom w:w="28" w:type="dxa"/>
          <w:right w:w="28" w:type="dxa"/>
        </w:tblCellMar>
      </w:tblPr>
      <w:tblGrid>
        <w:gridCol w:w="419"/>
        <w:gridCol w:w="369"/>
        <w:gridCol w:w="374"/>
        <w:gridCol w:w="109"/>
        <w:gridCol w:w="109"/>
        <w:gridCol w:w="109"/>
        <w:gridCol w:w="517"/>
        <w:gridCol w:w="517"/>
        <w:gridCol w:w="518"/>
        <w:gridCol w:w="109"/>
        <w:gridCol w:w="109"/>
        <w:gridCol w:w="109"/>
        <w:gridCol w:w="245"/>
        <w:gridCol w:w="472"/>
        <w:gridCol w:w="127"/>
        <w:gridCol w:w="109"/>
        <w:gridCol w:w="109"/>
        <w:gridCol w:w="109"/>
        <w:gridCol w:w="847"/>
        <w:gridCol w:w="847"/>
        <w:gridCol w:w="849"/>
        <w:gridCol w:w="109"/>
        <w:gridCol w:w="109"/>
        <w:gridCol w:w="109"/>
        <w:gridCol w:w="1047"/>
        <w:gridCol w:w="722"/>
        <w:gridCol w:w="1027"/>
      </w:tblGrid>
      <w:tr>
        <w:trPr/>
        <w:tc>
          <w:tcPr>
            <w:tcW w:w="4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(1)</w:t>
            </w:r>
          </w:p>
        </w:tc>
      </w:tr>
      <w:tr>
        <w:trPr/>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1,013,556 </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1,013,556 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1,013,556 </w:t>
            </w:r>
          </w:p>
        </w:tc>
        <w:tc>
          <w:tcPr>
            <w:tcW w:w="10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On March 11, 2026 our Board of Directors authorized an amendment to the Company's Share Repurchase Program that had been originally approved in October 2023 (as subsequently amended, the "Share Repurchase Program") to authorize the repurchase, from time to time, of up to an additional 1,000,000 shares of the Company's outstanding common stock, or a total of 1,013,556 shares (including the 13,556 shares remaining available under prior Board authorization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promulgated under the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1"/>
        <w:gridCol w:w="206"/>
        <w:gridCol w:w="212"/>
        <w:gridCol w:w="109"/>
        <w:gridCol w:w="109"/>
        <w:gridCol w:w="109"/>
        <w:gridCol w:w="2723"/>
        <w:gridCol w:w="2681"/>
        <w:gridCol w:w="3805"/>
      </w:tblGrid>
      <w:tr>
        <w:trPr/>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Restated Certificate of Incorporation of Universal Electronics Inc,, as amended through May 19, 2026(incorporated by reference to Exhibit 3.1 to the Company's Current Report on Form 8-K filed on May 21, 2026 (File No. 0-21044)).</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xamendedandrest.htm">
              <w:r>
                <w:rPr>
                  <w:rStyle w:val="InternetLink"/>
                  <w:rFonts w:ascii="Times New Roman;serif" w:hAnsi="Times New Roman;serif"/>
                  <w:b w:val="false"/>
                  <w:color w:val="0000FF"/>
                  <w:sz w:val="20"/>
                  <w:u w:val="single"/>
                </w:rPr>
                <w:t>Universal Electronics Inc. Amended and Restated 2018 Equity and Incentive Compensation Plan, effective May 19, 2026(filed herewith)</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ueix06302026x10q.htm">
              <w:r>
                <w:rPr>
                  <w:rStyle w:val="InternetLink"/>
                  <w:rFonts w:ascii="Times New Roman;serif" w:hAnsi="Times New Roman;serif"/>
                  <w:b w:val="false"/>
                  <w:color w:val="0000FF"/>
                  <w:sz w:val="20"/>
                  <w:u w:val="single"/>
                </w:rPr>
                <w:t>Rule 13a-14(a) Certifications of the Chief Executive Officer (filed herewith)</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ueix06302026x10q.htm">
              <w:r>
                <w:rPr>
                  <w:rStyle w:val="InternetLink"/>
                  <w:rFonts w:ascii="Times New Roman;serif" w:hAnsi="Times New Roman;serif"/>
                  <w:b w:val="false"/>
                  <w:color w:val="0000FF"/>
                  <w:sz w:val="20"/>
                  <w:u w:val="single"/>
                </w:rPr>
                <w:t>Rule 13a-14(a) Certifications of the Chief Financial Officer (principal financial officer and principal accounting officer) (filed herewith)</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ueix06302026x10q.htm">
              <w:r>
                <w:rPr>
                  <w:rStyle w:val="InternetLink"/>
                  <w:rFonts w:ascii="Times New Roman;serif" w:hAnsi="Times New Roman;serif"/>
                  <w:b w:val="false"/>
                  <w:color w:val="0000FF"/>
                  <w:sz w:val="20"/>
                  <w:u w:val="single"/>
                </w:rPr>
                <w:t>Section 1350 Certifications of the Chief Executive Officer (furnished herewith)</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2-ueix06302026x10q.htm">
              <w:r>
                <w:rPr>
                  <w:rStyle w:val="InternetLink"/>
                  <w:rFonts w:ascii="Times New Roman;serif" w:hAnsi="Times New Roman;serif"/>
                  <w:b w:val="false"/>
                  <w:color w:val="0000FF"/>
                  <w:sz w:val="20"/>
                  <w:u w:val="single"/>
                </w:rPr>
                <w:t>Section 1350 Certifications of the Chief Financial Officer (principal financial officer and principal accounting officer) (furnished herewith)</w:t>
              </w:r>
            </w:hyperlink>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 hereto are deemed to accompany this Quarterly Report on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d47528057d14a04b60e0691e09d7fc1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235"/>
        <w:gridCol w:w="207"/>
        <w:gridCol w:w="209"/>
        <w:gridCol w:w="427"/>
        <w:gridCol w:w="427"/>
        <w:gridCol w:w="429"/>
        <w:gridCol w:w="109"/>
        <w:gridCol w:w="109"/>
        <w:gridCol w:w="109"/>
        <w:gridCol w:w="310"/>
        <w:gridCol w:w="310"/>
        <w:gridCol w:w="310"/>
        <w:gridCol w:w="310"/>
        <w:gridCol w:w="310"/>
        <w:gridCol w:w="310"/>
        <w:gridCol w:w="1777"/>
        <w:gridCol w:w="1765"/>
        <w:gridCol w:w="2542"/>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UNIVERSAL ELECTRONICS INC.</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Wade M Jenke</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10.1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AMENDED AND RESTATED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2018 EQUITY AND INCENTIVE COMPENSATION PLAN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Restatement Effective Date: May 19, 2026 </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lineRule="auto" w:line="288" w:before="0" w:after="0"/>
        <w:jc w:val="left"/>
        <w:rPr>
          <w:color w:val="000000"/>
        </w:rPr>
      </w:pPr>
      <w:r>
        <w:rPr>
          <w:color w:val="000000"/>
        </w:rPr>
        <w:t> </w:t>
      </w:r>
    </w:p>
    <w:tbl>
      <w:tblPr>
        <w:tblW w:w="7311" w:type="dxa"/>
        <w:jc w:val="left"/>
        <w:tblInd w:w="0" w:type="dxa"/>
        <w:tblLayout w:type="fixed"/>
        <w:tblCellMar>
          <w:top w:w="28" w:type="dxa"/>
          <w:left w:w="28" w:type="dxa"/>
          <w:bottom w:w="28" w:type="dxa"/>
          <w:right w:w="28" w:type="dxa"/>
        </w:tblCellMar>
      </w:tblPr>
      <w:tblGrid>
        <w:gridCol w:w="2117"/>
        <w:gridCol w:w="1861"/>
        <w:gridCol w:w="1871"/>
        <w:gridCol w:w="109"/>
        <w:gridCol w:w="109"/>
        <w:gridCol w:w="109"/>
        <w:gridCol w:w="109"/>
        <w:gridCol w:w="109"/>
        <w:gridCol w:w="109"/>
        <w:gridCol w:w="145"/>
        <w:gridCol w:w="145"/>
        <w:gridCol w:w="146"/>
        <w:gridCol w:w="109"/>
        <w:gridCol w:w="109"/>
        <w:gridCol w:w="154"/>
      </w:tblGrid>
      <w:tr>
        <w:trPr/>
        <w:tc>
          <w:tcPr>
            <w:tcW w:w="2117"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54" w:type="dxa"/>
            <w:gridSpan w:val="6"/>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16"/>
              </w:rPr>
            </w:pPr>
            <w:r>
              <w:rPr>
                <w:rFonts w:ascii="Times New Roman;serif" w:hAnsi="Times New Roman;serif"/>
                <w:b w:val="false"/>
                <w:color w:val="000000"/>
                <w:sz w:val="16"/>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SECTION 1.  ESTABLISHMENT AND PURPOSE</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20"/>
              </w:rPr>
            </w:pPr>
            <w:r>
              <w:rPr>
                <w:rFonts w:ascii="Times New Roman;serif" w:hAnsi="Times New Roman;serif"/>
                <w:b/>
                <w:color w:val="000000"/>
                <w:sz w:val="20"/>
              </w:rPr>
              <w:t>SECTION 2.  DEFINITIONS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3.  ADMINISTRATION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Committee Composition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Committee Appointment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Committee Responsibilities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Reliance on Reports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Limitation of Liability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4.  ELIGIBILITY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General Rule</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Ten-Percent Stockholders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5.  STOCK SUBJECT TO PLAN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Basic Limitation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Share Counting</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Limit on Incentive Stock Options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Substitution and Assumption of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Source of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6.  LIMITATIONS AND MINIMUM REQUIREMENTS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Non-Employee Director Compensation Limit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Minimum Vesting Requirement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Restriction on Acceleration Following Grant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7.  RESTRICTED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Restricted Share Award Agreement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Payment for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Vesting</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Voting and Dividend Rights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Restrictions on Transfer of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8.  OPTIONS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19555"/>
                <wp:effectExtent l="0" t="0" r="0" b="0"/>
                <wp:wrapNone/>
                <wp:docPr id="40" name="Frame40"/>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w:t>
                      </w:r>
                    </w:p>
                  </w:txbxContent>
                </v:textbox>
                <w10:wrap type="none"/>
              </v:rect>
            </w:pict>
          </mc:Fallback>
        </mc:AlternateContent>
      </w:r>
    </w:p>
    <w:tbl>
      <w:tblPr>
        <w:tblW w:w="6050" w:type="dxa"/>
        <w:jc w:val="left"/>
        <w:tblInd w:w="0" w:type="dxa"/>
        <w:tblLayout w:type="fixed"/>
        <w:tblCellMar>
          <w:top w:w="28" w:type="dxa"/>
          <w:left w:w="28" w:type="dxa"/>
          <w:bottom w:w="28" w:type="dxa"/>
          <w:right w:w="28" w:type="dxa"/>
        </w:tblCellMar>
      </w:tblPr>
      <w:tblGrid>
        <w:gridCol w:w="1629"/>
        <w:gridCol w:w="1436"/>
        <w:gridCol w:w="1449"/>
        <w:gridCol w:w="109"/>
        <w:gridCol w:w="109"/>
        <w:gridCol w:w="109"/>
        <w:gridCol w:w="109"/>
        <w:gridCol w:w="109"/>
        <w:gridCol w:w="109"/>
        <w:gridCol w:w="170"/>
        <w:gridCol w:w="170"/>
        <w:gridCol w:w="170"/>
        <w:gridCol w:w="109"/>
        <w:gridCol w:w="109"/>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Option Award Agreement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Number of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100" w:after="283"/>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Exercise Price</w:t>
            </w:r>
          </w:p>
        </w:tc>
        <w:tc>
          <w:tcPr>
            <w:tcW w:w="327" w:type="dxa"/>
            <w:gridSpan w:val="3"/>
            <w:tcBorders/>
            <w:tcMar>
              <w:top w:w="0" w:type="dxa"/>
              <w:left w:w="0" w:type="dxa"/>
              <w:bottom w:w="0" w:type="dxa"/>
              <w:right w:w="0" w:type="dxa"/>
            </w:tcMar>
            <w:vAlign w:val="center"/>
          </w:tcPr>
          <w:p>
            <w:pPr>
              <w:pStyle w:val="TableContents"/>
              <w:bidi w:val="0"/>
              <w:spacing w:lineRule="atLeast" w:line="142" w:before="10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Exercisability and Term</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Exercise of Options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(f)    Withholding Taxes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(g)    No Rights as a Stockholder</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(h)    Modification, Extension and Renewal of Options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(i)    Exercise</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(j)    Forms of Payment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(k)    Notification upon Disqualifying Disposition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(l)    Restrictions on Transfer of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9.  STOCK APPRECIATION RIGHTS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SAR Award Agreement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Number of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Exercise Price</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Exercisability and Term</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Exercise of SARs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(f)    Modification, Extension or Assumption of SARs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10.   RESTRICTED STOCK UNITS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Restricted Stock Unit Award Agreement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Payment for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Vesting Conditions and Term</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19555"/>
                <wp:effectExtent l="0" t="0" r="0" b="0"/>
                <wp:wrapNone/>
                <wp:docPr id="41" name="Frame41"/>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B-ii</w:t>
                      </w:r>
                    </w:p>
                  </w:txbxContent>
                </v:textbox>
                <w10:wrap type="none"/>
              </v:rect>
            </w:pict>
          </mc:Fallback>
        </mc:AlternateContent>
      </w:r>
    </w:p>
    <w:tbl>
      <w:tblPr>
        <w:tblW w:w="7805" w:type="dxa"/>
        <w:jc w:val="left"/>
        <w:tblInd w:w="0" w:type="dxa"/>
        <w:tblLayout w:type="fixed"/>
        <w:tblCellMar>
          <w:top w:w="28" w:type="dxa"/>
          <w:left w:w="28" w:type="dxa"/>
          <w:bottom w:w="28" w:type="dxa"/>
          <w:right w:w="28" w:type="dxa"/>
        </w:tblCellMar>
      </w:tblPr>
      <w:tblGrid>
        <w:gridCol w:w="2269"/>
        <w:gridCol w:w="1996"/>
        <w:gridCol w:w="2004"/>
        <w:gridCol w:w="109"/>
        <w:gridCol w:w="109"/>
        <w:gridCol w:w="109"/>
        <w:gridCol w:w="109"/>
        <w:gridCol w:w="109"/>
        <w:gridCol w:w="109"/>
        <w:gridCol w:w="170"/>
        <w:gridCol w:w="170"/>
        <w:gridCol w:w="170"/>
        <w:gridCol w:w="109"/>
        <w:gridCol w:w="109"/>
        <w:gridCol w:w="154"/>
      </w:tblGrid>
      <w:tr>
        <w:trPr/>
        <w:tc>
          <w:tcPr>
            <w:tcW w:w="226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Voting and Dividend Rights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Form and Time of Settlement of Restricted Stock Units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(f)    Creditors’ Rights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11.   CASH-BASED AWARDS AND STOCK BASED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12.   ADJUSTMENT OF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Adjustments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Dissolution or Liquidation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Effect of Change in Control</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Reservation of Rights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13.   DEFERRAL OF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Committee Powers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General Rules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14.   AWARDS UNDER OTHER PLANS</w:t>
            </w:r>
          </w:p>
        </w:tc>
        <w:tc>
          <w:tcPr>
            <w:tcW w:w="327" w:type="dxa"/>
            <w:gridSpan w:val="3"/>
            <w:tcBorders/>
            <w:tcMar>
              <w:top w:w="0" w:type="dxa"/>
              <w:left w:w="0" w:type="dxa"/>
              <w:bottom w:w="0" w:type="dxa"/>
              <w:right w:w="0" w:type="dxa"/>
            </w:tcMar>
            <w:vAlign w:val="center"/>
          </w:tcPr>
          <w:p>
            <w:pPr>
              <w:pStyle w:val="TableContents"/>
              <w:bidi w:val="0"/>
              <w:spacing w:lineRule="atLeast" w:line="142" w:before="12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15.   PAYMENT OF DIRECTOR FEES IN SECURITIES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16.   LEGAL AND REGULATORY REQUIREMENTS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17.   TAXES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Tax Withholding</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Section 409A</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18.   NONTRANSFERABILITY; BENEFICIARIES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19555"/>
                <wp:effectExtent l="0" t="0" r="0" b="0"/>
                <wp:wrapNone/>
                <wp:docPr id="42" name="Frame42"/>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B-iii</w:t>
                      </w:r>
                    </w:p>
                  </w:txbxContent>
                </v:textbox>
                <w10:wrap type="none"/>
              </v:rect>
            </w:pict>
          </mc:Fallback>
        </mc:AlternateContent>
      </w:r>
    </w:p>
    <w:tbl>
      <w:tblPr>
        <w:tblW w:w="8571" w:type="dxa"/>
        <w:jc w:val="left"/>
        <w:tblInd w:w="0" w:type="dxa"/>
        <w:tblLayout w:type="fixed"/>
        <w:tblCellMar>
          <w:top w:w="28" w:type="dxa"/>
          <w:left w:w="28" w:type="dxa"/>
          <w:bottom w:w="28" w:type="dxa"/>
          <w:right w:w="28" w:type="dxa"/>
        </w:tblCellMar>
      </w:tblPr>
      <w:tblGrid>
        <w:gridCol w:w="2548"/>
        <w:gridCol w:w="2240"/>
        <w:gridCol w:w="2247"/>
        <w:gridCol w:w="109"/>
        <w:gridCol w:w="109"/>
        <w:gridCol w:w="109"/>
        <w:gridCol w:w="109"/>
        <w:gridCol w:w="109"/>
        <w:gridCol w:w="109"/>
        <w:gridCol w:w="170"/>
        <w:gridCol w:w="170"/>
        <w:gridCol w:w="170"/>
        <w:gridCol w:w="109"/>
        <w:gridCol w:w="109"/>
        <w:gridCol w:w="154"/>
      </w:tblGrid>
      <w:tr>
        <w:trPr/>
        <w:tc>
          <w:tcPr>
            <w:tcW w:w="254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Nontransferability of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Designation and Change of Beneficiaries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19.   PERFORMANCE BASED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20.   RECOUPMENT; DETRIMENTAL ACTIVITY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Recoupment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Detrimental Activity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21.   NO EMPLOYMENT RIGHTS; NO CLAIM TO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No Employment Rights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No Claim to Awards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No Requirement of Uniformity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22.   DURATION AND AMENDMENTS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Term of the Plan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Right to Amend the Plan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Effect of Termination of the Plan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Amendment of Award Agreements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23.   AWARDS TO PARTICIPANTS OUTSIDE THE UNITED STATES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SECTION 24.   MISCELLANEOUS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(a)    Payment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(b)    Governing Law</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19555"/>
                <wp:effectExtent l="0" t="0" r="0" b="0"/>
                <wp:wrapNone/>
                <wp:docPr id="43" name="Frame43"/>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B-iv</w:t>
                      </w:r>
                    </w:p>
                  </w:txbxContent>
                </v:textbox>
                <w10:wrap type="none"/>
              </v:rect>
            </w:pict>
          </mc:Fallback>
        </mc:AlternateContent>
      </w:r>
    </w:p>
    <w:tbl>
      <w:tblPr>
        <w:tblW w:w="4520" w:type="dxa"/>
        <w:jc w:val="left"/>
        <w:tblInd w:w="0" w:type="dxa"/>
        <w:tblLayout w:type="fixed"/>
        <w:tblCellMar>
          <w:top w:w="28" w:type="dxa"/>
          <w:left w:w="28" w:type="dxa"/>
          <w:bottom w:w="28" w:type="dxa"/>
          <w:right w:w="28" w:type="dxa"/>
        </w:tblCellMar>
      </w:tblPr>
      <w:tblGrid>
        <w:gridCol w:w="1080"/>
        <w:gridCol w:w="951"/>
        <w:gridCol w:w="953"/>
        <w:gridCol w:w="109"/>
        <w:gridCol w:w="109"/>
        <w:gridCol w:w="109"/>
        <w:gridCol w:w="109"/>
        <w:gridCol w:w="109"/>
        <w:gridCol w:w="109"/>
        <w:gridCol w:w="170"/>
        <w:gridCol w:w="170"/>
        <w:gridCol w:w="170"/>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(c)    Successors And Assigns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(d)    Other Agreements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(e)    Relationship to Other Benefits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(f)    Nonexclusivity of the Plan</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(g)    No Trust or Fund Created</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(h)    Fractional Shares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(i)    Severability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B-18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19555"/>
                <wp:effectExtent l="0" t="0" r="0" b="0"/>
                <wp:wrapNone/>
                <wp:docPr id="44" name="Frame44"/>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B-v</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AMENDED AND RESTATED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2018 EQUITY AND INCENTIVE COMPENSATION PLAN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SECTION 1. ESTABLISHMENT AND PURPOSE.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The purpose of the Universal Electronics Inc. 2018 Equity and Incentive Compensation Plan is to provide a means through which the Company may attract and retain key personnel and to provide a means whereby directors, officers, employees, consultants and advisors of the Company and its Subsidiaries (the “</w:t>
      </w:r>
      <w:r>
        <w:rPr>
          <w:rFonts w:ascii="Times New Roman;serif" w:hAnsi="Times New Roman;serif"/>
          <w:b/>
          <w:color w:val="000000"/>
          <w:sz w:val="20"/>
        </w:rPr>
        <w:t>Company Group</w:t>
      </w:r>
      <w:r>
        <w:rPr>
          <w:color w:val="000000"/>
        </w:rPr>
        <w:t>”</w:t>
      </w:r>
      <w:r>
        <w:rPr>
          <w:rFonts w:ascii="Times New Roman;serif" w:hAnsi="Times New Roman;serif"/>
          <w:b w:val="false"/>
          <w:color w:val="000000"/>
          <w:sz w:val="20"/>
        </w:rPr>
        <w:t xml:space="preserve">) can acquire and maintain an equity interest in the Company, or be paid incentive compensation, which may (but need not) be measured by reference to the value of Common Stock, thereby strengthening their commitment to the welfare of the Company Group and aligning their interests with those of the Company’s stockholders. The Plan amends and restates the 2018 Equity and Incentive Compensation Plan effective as of the Restatement Effective Date.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2. DEFINITIONS. </w:t>
      </w:r>
    </w:p>
    <w:p>
      <w:pPr>
        <w:pStyle w:val="TextBody"/>
        <w:bidi w:val="0"/>
        <w:spacing w:lineRule="auto" w:line="288" w:before="120" w:after="283"/>
        <w:ind w:left="0" w:right="0" w:hanging="490"/>
        <w:jc w:val="left"/>
        <w:rPr/>
      </w:pPr>
      <w:r>
        <w:rPr>
          <w:rFonts w:ascii="Times New Roman;serif" w:hAnsi="Times New Roman;serif"/>
          <w:b w:val="false"/>
          <w:color w:val="000000"/>
          <w:sz w:val="20"/>
        </w:rPr>
        <w:t>(a)    </w:t>
      </w: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 xml:space="preserve">means any entity other than a Subsidiary if the Company and/or one or more Subsidiaries own not less than fifty percent (50%) of such entity. </w:t>
      </w:r>
    </w:p>
    <w:p>
      <w:pPr>
        <w:pStyle w:val="TextBody"/>
        <w:bidi w:val="0"/>
        <w:spacing w:lineRule="auto" w:line="288" w:before="120" w:after="283"/>
        <w:ind w:left="0" w:right="0" w:hanging="490"/>
        <w:jc w:val="left"/>
        <w:rPr/>
      </w:pPr>
      <w:r>
        <w:rPr>
          <w:rFonts w:ascii="Times New Roman;serif" w:hAnsi="Times New Roman;serif"/>
          <w:b w:val="false"/>
          <w:color w:val="000000"/>
          <w:sz w:val="20"/>
        </w:rPr>
        <w:t>(b)    </w:t>
      </w:r>
      <w:r>
        <w:rPr>
          <w:color w:val="000000"/>
        </w:rPr>
        <w:t>“</w:t>
      </w:r>
      <w:r>
        <w:rPr>
          <w:rFonts w:ascii="Times New Roman;serif" w:hAnsi="Times New Roman;serif"/>
          <w:b/>
          <w:color w:val="000000"/>
          <w:sz w:val="20"/>
        </w:rPr>
        <w:t>Award”</w:t>
      </w:r>
      <w:r>
        <w:rPr>
          <w:color w:val="000000"/>
        </w:rPr>
        <w:t xml:space="preserve"> </w:t>
      </w:r>
      <w:r>
        <w:rPr>
          <w:rFonts w:ascii="Times New Roman;serif" w:hAnsi="Times New Roman;serif"/>
          <w:b w:val="false"/>
          <w:color w:val="000000"/>
          <w:sz w:val="20"/>
        </w:rPr>
        <w:t xml:space="preserve">means any award of an Option, a SAR, a Restricted Share, a Restricted Stock Unit, an Other Stock-Based Award, or a Cash-Based Award under the Plan. </w:t>
      </w:r>
    </w:p>
    <w:p>
      <w:pPr>
        <w:pStyle w:val="TextBody"/>
        <w:bidi w:val="0"/>
        <w:spacing w:lineRule="auto" w:line="288" w:before="120" w:after="283"/>
        <w:ind w:left="0" w:right="0" w:hanging="490"/>
        <w:jc w:val="left"/>
        <w:rPr/>
      </w:pPr>
      <w:r>
        <w:rPr>
          <w:rFonts w:ascii="Times New Roman;serif" w:hAnsi="Times New Roman;serif"/>
          <w:b w:val="false"/>
          <w:color w:val="000000"/>
          <w:sz w:val="20"/>
        </w:rPr>
        <w:t>(c)    </w:t>
      </w:r>
      <w:r>
        <w:rPr>
          <w:color w:val="000000"/>
        </w:rPr>
        <w:t>“</w:t>
      </w:r>
      <w:r>
        <w:rPr>
          <w:rFonts w:ascii="Times New Roman;serif" w:hAnsi="Times New Roman;serif"/>
          <w:b/>
          <w:color w:val="000000"/>
          <w:sz w:val="20"/>
        </w:rPr>
        <w:t>Award Agreement”</w:t>
      </w:r>
      <w:r>
        <w:rPr>
          <w:color w:val="000000"/>
        </w:rPr>
        <w:t xml:space="preserve"> </w:t>
      </w:r>
      <w:r>
        <w:rPr>
          <w:rFonts w:ascii="Times New Roman;serif" w:hAnsi="Times New Roman;serif"/>
          <w:b w:val="false"/>
          <w:color w:val="000000"/>
          <w:sz w:val="20"/>
        </w:rPr>
        <w:t xml:space="preserve">means the agreement between the Company and the recipient of an Award which contains the terms, conditions and restrictions pertaining to such Award. </w:t>
      </w:r>
    </w:p>
    <w:p>
      <w:pPr>
        <w:pStyle w:val="TextBody"/>
        <w:bidi w:val="0"/>
        <w:spacing w:lineRule="auto" w:line="288" w:before="120" w:after="283"/>
        <w:ind w:left="0" w:right="0" w:hanging="490"/>
        <w:jc w:val="left"/>
        <w:rPr/>
      </w:pPr>
      <w:r>
        <w:rPr>
          <w:rFonts w:ascii="Times New Roman;serif" w:hAnsi="Times New Roman;serif"/>
          <w:b w:val="false"/>
          <w:color w:val="000000"/>
          <w:sz w:val="20"/>
        </w:rPr>
        <w:t>(d)    </w:t>
      </w:r>
      <w:r>
        <w:rPr>
          <w:color w:val="000000"/>
        </w:rPr>
        <w:t>“</w:t>
      </w:r>
      <w:r>
        <w:rPr>
          <w:rFonts w:ascii="Times New Roman;serif" w:hAnsi="Times New Roman;serif"/>
          <w:b/>
          <w:color w:val="000000"/>
          <w:sz w:val="20"/>
        </w:rPr>
        <w:t>Board of Directors”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color w:val="000000"/>
          <w:sz w:val="20"/>
        </w:rPr>
        <w:t>Board”</w:t>
      </w:r>
      <w:r>
        <w:rPr>
          <w:color w:val="000000"/>
        </w:rPr>
        <w:t xml:space="preserve"> </w:t>
      </w:r>
      <w:r>
        <w:rPr>
          <w:rFonts w:ascii="Times New Roman;serif" w:hAnsi="Times New Roman;serif"/>
          <w:b w:val="false"/>
          <w:color w:val="000000"/>
          <w:sz w:val="20"/>
        </w:rPr>
        <w:t xml:space="preserve">means the Board of Directors of the Company, as constituted from time to time. </w:t>
      </w:r>
    </w:p>
    <w:p>
      <w:pPr>
        <w:pStyle w:val="TextBody"/>
        <w:bidi w:val="0"/>
        <w:spacing w:lineRule="auto" w:line="288" w:before="120" w:after="283"/>
        <w:ind w:left="0" w:right="0" w:hanging="490"/>
        <w:jc w:val="left"/>
        <w:rPr/>
      </w:pPr>
      <w:r>
        <w:rPr>
          <w:rFonts w:ascii="Times New Roman;serif" w:hAnsi="Times New Roman;serif"/>
          <w:b w:val="false"/>
          <w:color w:val="000000"/>
          <w:sz w:val="20"/>
        </w:rPr>
        <w:t>(e)    </w:t>
      </w:r>
      <w:r>
        <w:rPr>
          <w:color w:val="000000"/>
        </w:rPr>
        <w:t>“</w:t>
      </w:r>
      <w:r>
        <w:rPr>
          <w:rFonts w:ascii="Times New Roman;serif" w:hAnsi="Times New Roman;serif"/>
          <w:b/>
          <w:color w:val="000000"/>
          <w:sz w:val="20"/>
        </w:rPr>
        <w:t>Cash-Based Award”</w:t>
      </w:r>
      <w:r>
        <w:rPr>
          <w:color w:val="000000"/>
        </w:rPr>
        <w:t xml:space="preserve"> </w:t>
      </w:r>
      <w:r>
        <w:rPr>
          <w:rFonts w:ascii="Times New Roman;serif" w:hAnsi="Times New Roman;serif"/>
          <w:b w:val="false"/>
          <w:color w:val="000000"/>
          <w:sz w:val="20"/>
        </w:rPr>
        <w:t xml:space="preserve">means an Award that entitles the Participant to receive a cash-denominated payment. </w:t>
      </w:r>
    </w:p>
    <w:p>
      <w:pPr>
        <w:pStyle w:val="TextBody"/>
        <w:bidi w:val="0"/>
        <w:spacing w:lineRule="auto" w:line="288" w:before="120" w:after="283"/>
        <w:ind w:left="0" w:right="0" w:hanging="490"/>
        <w:jc w:val="left"/>
        <w:rPr/>
      </w:pPr>
      <w:r>
        <w:rPr>
          <w:rFonts w:ascii="Times New Roman;serif" w:hAnsi="Times New Roman;serif"/>
          <w:b w:val="false"/>
          <w:color w:val="000000"/>
          <w:sz w:val="20"/>
        </w:rPr>
        <w:t>(f)    </w:t>
      </w:r>
      <w:r>
        <w:rPr>
          <w:color w:val="000000"/>
        </w:rPr>
        <w:t>“</w:t>
      </w:r>
      <w:r>
        <w:rPr>
          <w:rFonts w:ascii="Times New Roman;serif" w:hAnsi="Times New Roman;serif"/>
          <w:b/>
          <w:color w:val="000000"/>
          <w:sz w:val="20"/>
        </w:rPr>
        <w:t>Cause”</w:t>
      </w:r>
      <w:r>
        <w:rPr>
          <w:color w:val="000000"/>
        </w:rPr>
        <w:t xml:space="preserve"> </w:t>
      </w:r>
      <w:r>
        <w:rPr>
          <w:rFonts w:ascii="Times New Roman;serif" w:hAnsi="Times New Roman;serif"/>
          <w:b w:val="false"/>
          <w:color w:val="000000"/>
          <w:sz w:val="20"/>
        </w:rPr>
        <w:t xml:space="preserve">means in the case of a particular Award, unless the applicable Award Agreement states otherwise, (i) the Company or any Subsidiary having “cause” to terminate a Participant’s employment or service, as defined in any employment or consulting agreement between the Participant and any member of the Company Group in effect at the time of such termination or (ii) in the absence of any such employment or consulting agreement (or the absence of any definition of “Cause” contained therein), the following with respect to a Participant: (a) the commission of a felony or other crime involving moral turpitude or the commission of any act or omission involving dishonesty, disloyalty or fraud in connection with the performance of his or her duties with respect to the Company or any of its Subsidiaries; (b) any conduct in conjunction with his or her duties which could reasonably be expected to, or which does, cause public disgrace or disrepute or significant economic harm to the Company or any of its Subsidiaries; (c) repeated or continuing failure to perform his or her duties that is not cured to the Company’s reasonable satisfaction within fifteen (15) days after written notice thereof (provided, that, such opportunity to cure shall not be available for repeated or habitual violations); (d) a deliberate act of insubordination or repeated refusal to follow reasonable and lawful instructions of supervisors, including engaging in disruptive conduct to the detriment of the Company or any of its Subsidiaries; (e) gross negligence or willful misconduct in connection with the performance of his or her duties with respect to the Company or any of its Subsidiaries; (f) obtaining any personal profit not thoroughly disclosed to and approved by the Company in connection with any transaction entered into by, or on behalf of, the Company or any of its Subsidiaries or a breach of his or her fiduciary duties to the Company or any of its Subsidiaries; (g) violating any material terms of the applicable material policies of the Company or any of its Subsidiaries that is not cured to the Company’s reasonable satisfaction within fifteen (15) days after written notice thereof (provided, that, such opportunity to cure shall not be available for repeated or habitual violations); or (h) any breach of any material provision of a written agreement between the Company or any of its Subsidiaries and the Participant which is not cured to the Company’s reasonable satisfaction within fifteen (15) days after written notice thereof. </w:t>
      </w:r>
    </w:p>
    <w:p>
      <w:pPr>
        <w:pStyle w:val="TextBody"/>
        <w:bidi w:val="0"/>
        <w:spacing w:lineRule="auto" w:line="288" w:before="120" w:after="283"/>
        <w:ind w:left="0" w:right="0" w:hanging="490"/>
        <w:jc w:val="left"/>
        <w:rPr/>
      </w:pPr>
      <w:r>
        <w:rPr>
          <w:rFonts w:ascii="Times New Roman;serif" w:hAnsi="Times New Roman;serif"/>
          <w:b w:val="false"/>
          <w:color w:val="000000"/>
          <w:sz w:val="20"/>
        </w:rPr>
        <w:t>(g)    </w:t>
      </w:r>
      <w:r>
        <w:rPr>
          <w:color w:val="000000"/>
        </w:rPr>
        <w:t>“</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 xml:space="preserve">shall be deemed to occur upon the first to occur of the following: </w:t>
      </w:r>
    </w:p>
    <w:p>
      <w:pPr>
        <w:pStyle w:val="TextBody"/>
        <w:bidi w:val="0"/>
        <w:spacing w:lineRule="auto" w:line="288" w:before="120" w:after="283"/>
        <w:ind w:left="0" w:right="0" w:hanging="490"/>
        <w:jc w:val="left"/>
        <w:rPr/>
      </w:pPr>
      <w:r>
        <w:rPr>
          <w:rFonts w:ascii="Times New Roman;serif" w:hAnsi="Times New Roman;serif"/>
          <w:b w:val="false"/>
          <w:color w:val="000000"/>
          <w:sz w:val="20"/>
        </w:rPr>
        <w:t>(i)    Any individual, entity or group (within the meaning of Section 12(d)(3) or 14(d)(2) of the Exchange Act (a “</w:t>
      </w:r>
      <w:r>
        <w:rPr>
          <w:rFonts w:ascii="Times New Roman;serif" w:hAnsi="Times New Roman;serif"/>
          <w:b/>
          <w:color w:val="000000"/>
          <w:sz w:val="20"/>
        </w:rPr>
        <w:t>Person</w:t>
      </w:r>
      <w:r>
        <w:rPr>
          <w:color w:val="000000"/>
        </w:rPr>
        <w:t>”</w:t>
      </w:r>
      <w:r>
        <w:rPr>
          <w:rFonts w:ascii="Times New Roman;serif" w:hAnsi="Times New Roman;serif"/>
          <w:b w:val="false"/>
          <w:color w:val="000000"/>
          <w:sz w:val="20"/>
        </w:rPr>
        <w:t>) becomes the beneficial owner (within the meaning of Rule 13d-3 promulgated under the Exchange Act) of fifty percent (50%) or more of either (A) the then-outstanding shares of Common Stock of the Company (the “</w:t>
      </w:r>
      <w:r>
        <w:rPr>
          <w:rFonts w:ascii="Times New Roman;serif" w:hAnsi="Times New Roman;serif"/>
          <w:b/>
          <w:color w:val="000000"/>
          <w:sz w:val="20"/>
        </w:rPr>
        <w:t>Outstanding Company Common Stock</w:t>
      </w:r>
      <w:r>
        <w:rPr>
          <w:color w:val="000000"/>
        </w:rPr>
        <w:t>”</w:t>
      </w:r>
      <w:r>
        <w:rPr>
          <w:rFonts w:ascii="Times New Roman;serif" w:hAnsi="Times New Roman;serif"/>
          <w:b w:val="false"/>
          <w:color w:val="000000"/>
          <w:sz w:val="20"/>
        </w:rPr>
        <w:t xml:space="preserve">) or (B) the combined voting power of the then-outstanding voting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519555"/>
                <wp:effectExtent l="0" t="0" r="0" b="0"/>
                <wp:wrapNone/>
                <wp:docPr id="45" name="Frame45"/>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val="false"/>
          <w:color w:val="000000"/>
          <w:sz w:val="20"/>
        </w:rPr>
        <w:t>securities of the Company entitled to vote generally in the election of directors (the “</w:t>
      </w:r>
      <w:r>
        <w:rPr>
          <w:rFonts w:ascii="Times New Roman;serif" w:hAnsi="Times New Roman;serif"/>
          <w:b/>
          <w:color w:val="000000"/>
          <w:sz w:val="20"/>
        </w:rPr>
        <w:t>Outstanding Company Voting Securities</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for purposes herein, the following acquisitions shall not constitute a Change in Control: (I) any acquisition by the Company, (II) any acquisition by any employee benefit plan (or related trust) sponsored or maintained by the Company or any affiliate of the Company, or (III) any acquisition by any corporation pursuant to a transaction that complies with subsections (iii)(A), (iii)(B) and (iii)(C) of this definition below; </w:t>
      </w:r>
    </w:p>
    <w:p>
      <w:pPr>
        <w:pStyle w:val="TextBody"/>
        <w:bidi w:val="0"/>
        <w:spacing w:lineRule="auto" w:line="288" w:before="80" w:after="283"/>
        <w:ind w:left="0" w:right="0" w:hanging="490"/>
        <w:jc w:val="left"/>
        <w:rPr/>
      </w:pPr>
      <w:r>
        <w:rPr>
          <w:rFonts w:ascii="Times New Roman;serif" w:hAnsi="Times New Roman;serif"/>
          <w:b w:val="false"/>
          <w:color w:val="000000"/>
          <w:sz w:val="20"/>
        </w:rPr>
        <w:t>(ii)    During any period of twelve (12) consecutive months, individuals who, as of the date hereof, constitute the Board (the “</w:t>
      </w:r>
      <w:r>
        <w:rPr>
          <w:rFonts w:ascii="Times New Roman;serif" w:hAnsi="Times New Roman;serif"/>
          <w:b/>
          <w:color w:val="000000"/>
          <w:sz w:val="20"/>
        </w:rPr>
        <w:t>Incumbent Board</w:t>
      </w:r>
      <w:r>
        <w:rPr>
          <w:color w:val="000000"/>
        </w:rPr>
        <w:t>”</w:t>
      </w:r>
      <w:r>
        <w:rPr>
          <w:rFonts w:ascii="Times New Roman;serif" w:hAnsi="Times New Roman;serif"/>
          <w:b w:val="false"/>
          <w:color w:val="000000"/>
          <w:sz w:val="20"/>
        </w:rPr>
        <w:t xml:space="preserve">) cease for any reason to constitute at least a majority of the Board;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w:t>
      </w:r>
    </w:p>
    <w:p>
      <w:pPr>
        <w:pStyle w:val="TextBody"/>
        <w:bidi w:val="0"/>
        <w:spacing w:lineRule="auto" w:line="288" w:before="80" w:after="283"/>
        <w:ind w:left="0" w:right="0" w:hanging="490"/>
        <w:jc w:val="left"/>
        <w:rPr/>
      </w:pPr>
      <w:r>
        <w:rPr>
          <w:rFonts w:ascii="Times New Roman;serif" w:hAnsi="Times New Roman;serif"/>
          <w:b w:val="false"/>
          <w:color w:val="000000"/>
          <w:sz w:val="20"/>
        </w:rPr>
        <w:t>(iii)    Consummation of a reorganization (excluding a reorganization under either Chapter 7 or Chapter 11 of Title 11 of the United States Code),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w:t>
      </w:r>
      <w:r>
        <w:rPr>
          <w:rFonts w:ascii="Times New Roman;serif" w:hAnsi="Times New Roman;serif"/>
          <w:b/>
          <w:color w:val="000000"/>
          <w:sz w:val="20"/>
        </w:rPr>
        <w:t>Business Combination</w:t>
      </w:r>
      <w:r>
        <w:rPr>
          <w:color w:val="000000"/>
        </w:rPr>
        <w:t>”</w:t>
      </w:r>
      <w:r>
        <w:rPr>
          <w:rFonts w:ascii="Times New Roman;serif" w:hAnsi="Times New Roman;serif"/>
          <w:b w:val="false"/>
          <w:color w:val="000000"/>
          <w:sz w:val="20"/>
        </w:rPr>
        <w:t xml:space="preserve">), in each case unless, following such Business Combination: </w:t>
      </w:r>
    </w:p>
    <w:p>
      <w:pPr>
        <w:pStyle w:val="TextBody"/>
        <w:bidi w:val="0"/>
        <w:spacing w:lineRule="auto" w:line="288" w:before="8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(A)    all or substantially all of the individuals and entities that were the beneficial owners of the Outstanding Company Common Stock and the Outstanding Company Voting Securities immediately prior to such Business Combination beneficially own, directly or indirectly, more than fifty percent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w:t>
      </w:r>
    </w:p>
    <w:p>
      <w:pPr>
        <w:pStyle w:val="TextBody"/>
        <w:bidi w:val="0"/>
        <w:spacing w:lineRule="auto" w:line="288" w:before="60" w:after="283"/>
        <w:jc w:val="left"/>
        <w:rPr>
          <w:color w:val="000000"/>
        </w:rPr>
      </w:pPr>
      <w:r>
        <w:rPr>
          <w:color w:val="000000"/>
        </w:rPr>
        <w:t>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(B)    no Person (excluding any corporation resulting from such Business Combination or any employee benefit plan (or related trust) of the Company or such corporation resulting from such Business Combination) beneficially owns, directly or indirectly, fifty percent (50%)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w:t>
      </w:r>
    </w:p>
    <w:p>
      <w:pPr>
        <w:pStyle w:val="TextBody"/>
        <w:bidi w:val="0"/>
        <w:spacing w:lineRule="auto" w:line="288" w:before="8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(C)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 </w:t>
      </w:r>
    </w:p>
    <w:p>
      <w:pPr>
        <w:pStyle w:val="TextBody"/>
        <w:bidi w:val="0"/>
        <w:spacing w:lineRule="auto" w:line="288" w:before="8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(iv)    Approval by the stockholders of the Company of a complete liquidation or dissolution of the Company.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other provision of this (g)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 or on account of any transaction or series of transactions principally for bona fide equity financing purposes in which cash is received by the Company or any successor or indebtedness of the Company is cancelled or converted or a combination thereof.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a Change in Control shall not be deemed to occur under the Plan unless the event(s) constituting a Change in Control also constitute a “change in the ownership” of the Company, a “change in effective control” of the Company, or a “change in the ownership of a substantial portion of the assets” of the Company under Treasury Regulations §1.409A-3(i)(5), or any successor provision.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519555"/>
                <wp:effectExtent l="0" t="0" r="0" b="0"/>
                <wp:wrapNone/>
                <wp:docPr id="46" name="Frame46"/>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p>
      <w:pPr>
        <w:pStyle w:val="TextBody"/>
        <w:bidi w:val="0"/>
        <w:spacing w:lineRule="auto" w:line="288" w:before="80" w:after="283"/>
        <w:ind w:left="0" w:right="0" w:hanging="490"/>
        <w:jc w:val="left"/>
        <w:rPr/>
      </w:pPr>
      <w:r>
        <w:rPr>
          <w:rFonts w:ascii="Times New Roman;serif" w:hAnsi="Times New Roman;serif"/>
          <w:b w:val="false"/>
          <w:color w:val="000000"/>
          <w:sz w:val="20"/>
        </w:rPr>
        <w:t>(h)    </w:t>
      </w: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 xml:space="preserve">means the United States Internal Revenue Code of 1986, as amended, and the rules and regulations promulgated thereunder. Reference in the Plan to any section of the Code shall be deemed to include any regulations or other interpretative guidance under such section, and any amendments or successor provisions to such section, regulations or guidance. </w:t>
      </w:r>
    </w:p>
    <w:p>
      <w:pPr>
        <w:pStyle w:val="TextBody"/>
        <w:bidi w:val="0"/>
        <w:spacing w:lineRule="auto" w:line="288" w:before="80" w:after="283"/>
        <w:ind w:left="0" w:right="0" w:hanging="490"/>
        <w:jc w:val="left"/>
        <w:rPr/>
      </w:pPr>
      <w:r>
        <w:rPr>
          <w:rFonts w:ascii="Times New Roman;serif" w:hAnsi="Times New Roman;serif"/>
          <w:b w:val="false"/>
          <w:color w:val="000000"/>
          <w:sz w:val="20"/>
        </w:rPr>
        <w:t>(i)    </w:t>
      </w:r>
      <w:r>
        <w:rPr>
          <w:color w:val="000000"/>
        </w:rPr>
        <w:t>“</w:t>
      </w:r>
      <w:r>
        <w:rPr>
          <w:rFonts w:ascii="Times New Roman;serif" w:hAnsi="Times New Roman;serif"/>
          <w:b/>
          <w:color w:val="000000"/>
          <w:sz w:val="20"/>
        </w:rPr>
        <w:t>Committee”</w:t>
      </w:r>
      <w:r>
        <w:rPr>
          <w:color w:val="000000"/>
        </w:rPr>
        <w:t xml:space="preserve"> </w:t>
      </w:r>
      <w:r>
        <w:rPr>
          <w:rFonts w:ascii="Times New Roman;serif" w:hAnsi="Times New Roman;serif"/>
          <w:b w:val="false"/>
          <w:color w:val="000000"/>
          <w:sz w:val="20"/>
        </w:rPr>
        <w:t xml:space="preserve">means the Compensation Committee as designated by the Board which is authorized to administer the Plan as described in Section 3 hereof. </w:t>
      </w:r>
    </w:p>
    <w:p>
      <w:pPr>
        <w:pStyle w:val="TextBody"/>
        <w:bidi w:val="0"/>
        <w:spacing w:lineRule="auto" w:line="288" w:before="80" w:after="283"/>
        <w:ind w:left="0" w:right="0" w:hanging="490"/>
        <w:jc w:val="left"/>
        <w:rPr/>
      </w:pPr>
      <w:r>
        <w:rPr>
          <w:rFonts w:ascii="Times New Roman;serif" w:hAnsi="Times New Roman;serif"/>
          <w:b w:val="false"/>
          <w:color w:val="000000"/>
          <w:sz w:val="20"/>
        </w:rPr>
        <w:t>(j)    </w:t>
      </w:r>
      <w:r>
        <w:rPr>
          <w:color w:val="000000"/>
        </w:rPr>
        <w:t>“</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 xml:space="preserve">means Universal Electronics Inc., a Delaware corporation, including any successor thereto. </w:t>
      </w:r>
    </w:p>
    <w:p>
      <w:pPr>
        <w:pStyle w:val="TextBody"/>
        <w:bidi w:val="0"/>
        <w:spacing w:lineRule="auto" w:line="288" w:before="80" w:after="283"/>
        <w:ind w:left="0" w:right="0" w:hanging="490"/>
        <w:jc w:val="left"/>
        <w:rPr/>
      </w:pPr>
      <w:r>
        <w:rPr>
          <w:rFonts w:ascii="Times New Roman;serif" w:hAnsi="Times New Roman;serif"/>
          <w:b w:val="false"/>
          <w:color w:val="000000"/>
          <w:sz w:val="20"/>
        </w:rPr>
        <w:t>(k)    </w:t>
      </w:r>
      <w:r>
        <w:rPr>
          <w:color w:val="000000"/>
        </w:rPr>
        <w:t>“</w:t>
      </w:r>
      <w:r>
        <w:rPr>
          <w:rFonts w:ascii="Times New Roman;serif" w:hAnsi="Times New Roman;serif"/>
          <w:b/>
          <w:color w:val="000000"/>
          <w:sz w:val="20"/>
        </w:rPr>
        <w:t>Confidential Information”</w:t>
      </w:r>
      <w:r>
        <w:rPr>
          <w:color w:val="000000"/>
        </w:rPr>
        <w:t xml:space="preserve"> </w:t>
      </w:r>
      <w:r>
        <w:rPr>
          <w:rFonts w:ascii="Times New Roman;serif" w:hAnsi="Times New Roman;serif"/>
          <w:b w:val="false"/>
          <w:color w:val="000000"/>
          <w:sz w:val="20"/>
        </w:rPr>
        <w:t xml:space="preserve">means any data, information or documentation (including such that is received by third parties) that is competitively sensitive or commercially valuable and not generally known to the public, including data, information or documentation related or pertaining to: (i) finance, supply or service, (ii) customers, suppliers or consumers, including customer lists, relationships and profiles, (iii)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and/or (iv) scientific or technical information, design, process, procedure, formula or improvement, computer software, object code, source code, specifications, inventions or systems information, whether or not patentable or copyrightable, and that is not otherwise a Trade Secret. </w:t>
      </w:r>
    </w:p>
    <w:p>
      <w:pPr>
        <w:pStyle w:val="TextBody"/>
        <w:bidi w:val="0"/>
        <w:spacing w:lineRule="auto" w:line="288" w:before="90" w:after="283"/>
        <w:jc w:val="left"/>
        <w:rPr>
          <w:color w:val="000000"/>
        </w:rPr>
      </w:pPr>
      <w:r>
        <w:rPr>
          <w:color w:val="000000"/>
        </w:rPr>
        <w:t> </w:t>
      </w:r>
    </w:p>
    <w:p>
      <w:pPr>
        <w:pStyle w:val="TextBody"/>
        <w:bidi w:val="0"/>
        <w:spacing w:lineRule="auto" w:line="288" w:before="80" w:after="283"/>
        <w:ind w:left="0" w:right="0" w:hanging="490"/>
        <w:jc w:val="left"/>
        <w:rPr/>
      </w:pPr>
      <w:r>
        <w:rPr>
          <w:rFonts w:ascii="Times New Roman;serif" w:hAnsi="Times New Roman;serif"/>
          <w:b w:val="false"/>
          <w:color w:val="000000"/>
          <w:sz w:val="20"/>
        </w:rPr>
        <w:t>(l)    </w:t>
      </w:r>
      <w:r>
        <w:rPr>
          <w:color w:val="000000"/>
        </w:rPr>
        <w:t>“</w:t>
      </w:r>
      <w:r>
        <w:rPr>
          <w:rFonts w:ascii="Times New Roman;serif" w:hAnsi="Times New Roman;serif"/>
          <w:b/>
          <w:color w:val="000000"/>
          <w:sz w:val="20"/>
        </w:rPr>
        <w:t>Consultant”</w:t>
      </w:r>
      <w:r>
        <w:rPr>
          <w:color w:val="000000"/>
        </w:rPr>
        <w:t xml:space="preserve"> </w:t>
      </w:r>
      <w:r>
        <w:rPr>
          <w:rFonts w:ascii="Times New Roman;serif" w:hAnsi="Times New Roman;serif"/>
          <w:b w:val="false"/>
          <w:color w:val="000000"/>
          <w:sz w:val="20"/>
        </w:rPr>
        <w:t xml:space="preserve">means an individual who is a consultant or advisor and who provides bona fide services to the Company, a Parent, a Subsidiary, or an Affiliate as an independent contractor (not including service as a member of the Board) or a member of the board of directors of a Parent or a Subsidiary, in each case who is not an Employee. </w:t>
      </w:r>
    </w:p>
    <w:p>
      <w:pPr>
        <w:pStyle w:val="TextBody"/>
        <w:bidi w:val="0"/>
        <w:spacing w:lineRule="auto" w:line="288" w:before="80" w:after="283"/>
        <w:ind w:left="0" w:right="0" w:hanging="490"/>
        <w:jc w:val="left"/>
        <w:rPr/>
      </w:pPr>
      <w:r>
        <w:rPr>
          <w:rFonts w:ascii="Times New Roman;serif" w:hAnsi="Times New Roman;serif"/>
          <w:b w:val="false"/>
          <w:color w:val="000000"/>
          <w:sz w:val="20"/>
        </w:rPr>
        <w:t>(m)    </w:t>
      </w:r>
      <w:r>
        <w:rPr>
          <w:color w:val="000000"/>
        </w:rPr>
        <w:t>“</w:t>
      </w:r>
      <w:r>
        <w:rPr>
          <w:rFonts w:ascii="Times New Roman;serif" w:hAnsi="Times New Roman;serif"/>
          <w:b/>
          <w:color w:val="000000"/>
          <w:sz w:val="20"/>
        </w:rPr>
        <w:t>Date of Grant”</w:t>
      </w:r>
      <w:r>
        <w:rPr>
          <w:color w:val="000000"/>
        </w:rPr>
        <w:t xml:space="preserve"> </w:t>
      </w:r>
      <w:r>
        <w:rPr>
          <w:rFonts w:ascii="Times New Roman;serif" w:hAnsi="Times New Roman;serif"/>
          <w:b w:val="false"/>
          <w:color w:val="000000"/>
          <w:sz w:val="20"/>
        </w:rPr>
        <w:t xml:space="preserve">means the date on which the granting of an Award is authorized, or such other date as may be specified in such authorization, subject to compliance with applicable tax and securities laws. </w:t>
      </w:r>
    </w:p>
    <w:p>
      <w:pPr>
        <w:pStyle w:val="TextBody"/>
        <w:bidi w:val="0"/>
        <w:spacing w:lineRule="auto" w:line="288" w:before="80" w:after="283"/>
        <w:ind w:left="0" w:right="0" w:hanging="490"/>
        <w:jc w:val="left"/>
        <w:rPr/>
      </w:pPr>
      <w:r>
        <w:rPr>
          <w:rFonts w:ascii="Times New Roman;serif" w:hAnsi="Times New Roman;serif"/>
          <w:b w:val="false"/>
          <w:color w:val="000000"/>
          <w:sz w:val="20"/>
        </w:rPr>
        <w:t>(n)    </w:t>
      </w:r>
      <w:r>
        <w:rPr>
          <w:color w:val="000000"/>
        </w:rPr>
        <w:t>“</w:t>
      </w:r>
      <w:r>
        <w:rPr>
          <w:rFonts w:ascii="Times New Roman;serif" w:hAnsi="Times New Roman;serif"/>
          <w:b/>
          <w:color w:val="000000"/>
          <w:sz w:val="20"/>
        </w:rPr>
        <w:t>Detrimental Activity”</w:t>
      </w:r>
      <w:r>
        <w:rPr>
          <w:color w:val="000000"/>
        </w:rPr>
        <w:t xml:space="preserve"> </w:t>
      </w:r>
      <w:r>
        <w:rPr>
          <w:rFonts w:ascii="Times New Roman;serif" w:hAnsi="Times New Roman;serif"/>
          <w:b w:val="false"/>
          <w:color w:val="000000"/>
          <w:sz w:val="20"/>
        </w:rPr>
        <w:t>means any of the following: (i) unauthorized use, disclosure or dissemination of Confidential Information or Trade Secrets pertaining to the business of any member of the Company Group; (ii) any activity that would be grounds to terminate the Participant’s employment or service with any member of the Company Group for Cause; or (iii) a breach by the Participant of any restrictive covenant by which such Participant is bound, including, without limitation, any covenant not to compete or not to solicit, in any agreement with any member of the Company Group; provided, however, that the activity described under clause (i) of this definition does not apply to (1) any Confidential Information which has become generally known to competitors of any member of the Company Group through no act or omission by the Participant or (2) a Participant’s communications that are required by law or judicial process (e.g., subpoena). Further, this definition does not preclude a Participant from communicating, cooperating or filing a complaint with any U.S. federal, state or local governmental or law enforcement branch, agency or entity (collectively, a “</w:t>
      </w:r>
      <w:r>
        <w:rPr>
          <w:rFonts w:ascii="Times New Roman;serif" w:hAnsi="Times New Roman;serif"/>
          <w:b/>
          <w:color w:val="000000"/>
          <w:sz w:val="20"/>
        </w:rPr>
        <w:t>Governmental Entity</w:t>
      </w:r>
      <w:r>
        <w:rPr>
          <w:color w:val="000000"/>
        </w:rPr>
        <w:t>”</w:t>
      </w:r>
      <w:r>
        <w:rPr>
          <w:rFonts w:ascii="Times New Roman;serif" w:hAnsi="Times New Roman;serif"/>
          <w:b w:val="false"/>
          <w:color w:val="000000"/>
          <w:sz w:val="20"/>
        </w:rPr>
        <w:t xml:space="preserve">)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Company Group’s attorney-client privilege or attorney work product or Trade Secrets without prior written consent of the Board or its designee. </w:t>
      </w:r>
    </w:p>
    <w:p>
      <w:pPr>
        <w:pStyle w:val="TextBody"/>
        <w:bidi w:val="0"/>
        <w:spacing w:lineRule="auto" w:line="288" w:before="80" w:after="283"/>
        <w:ind w:left="0" w:right="0" w:hanging="490"/>
        <w:jc w:val="left"/>
        <w:rPr/>
      </w:pPr>
      <w:r>
        <w:rPr>
          <w:rFonts w:ascii="Times New Roman;serif" w:hAnsi="Times New Roman;serif"/>
          <w:b w:val="false"/>
          <w:color w:val="000000"/>
          <w:sz w:val="20"/>
        </w:rPr>
        <w:t>(o)    </w:t>
      </w:r>
      <w:r>
        <w:rPr>
          <w:color w:val="000000"/>
        </w:rPr>
        <w:t>“</w:t>
      </w:r>
      <w:r>
        <w:rPr>
          <w:rFonts w:ascii="Times New Roman;serif" w:hAnsi="Times New Roman;serif"/>
          <w:b/>
          <w:color w:val="000000"/>
          <w:sz w:val="20"/>
        </w:rPr>
        <w:t>Disability”</w:t>
      </w:r>
      <w:r>
        <w:rPr>
          <w:color w:val="000000"/>
        </w:rPr>
        <w:t xml:space="preserve"> </w:t>
      </w:r>
      <w:r>
        <w:rPr>
          <w:rFonts w:ascii="Times New Roman;serif" w:hAnsi="Times New Roman;serif"/>
          <w:b w:val="false"/>
          <w:color w:val="000000"/>
          <w:sz w:val="20"/>
        </w:rPr>
        <w:t xml:space="preserve">means any permanent and total disability as defined by Section 22(e)(3) of the Code, or in the case of a Participant outside the United States, such other definition as determined by the Committee for purposes of the Plan taking into consideration the provisions of applicable law. </w:t>
      </w:r>
    </w:p>
    <w:p>
      <w:pPr>
        <w:pStyle w:val="TextBody"/>
        <w:bidi w:val="0"/>
        <w:spacing w:lineRule="auto" w:line="288" w:before="80" w:after="283"/>
        <w:ind w:left="0" w:right="0" w:hanging="490"/>
        <w:jc w:val="left"/>
        <w:rPr/>
      </w:pPr>
      <w:r>
        <w:rPr>
          <w:rFonts w:ascii="Times New Roman;serif" w:hAnsi="Times New Roman;serif"/>
          <w:b w:val="false"/>
          <w:color w:val="000000"/>
          <w:sz w:val="20"/>
        </w:rPr>
        <w:t>(p)    </w:t>
      </w:r>
      <w:r>
        <w:rPr>
          <w:color w:val="000000"/>
        </w:rPr>
        <w:t>“</w:t>
      </w:r>
      <w:r>
        <w:rPr>
          <w:rFonts w:ascii="Times New Roman;serif" w:hAnsi="Times New Roman;serif"/>
          <w:b/>
          <w:color w:val="000000"/>
          <w:sz w:val="20"/>
        </w:rPr>
        <w:t>Employee”</w:t>
      </w:r>
      <w:r>
        <w:rPr>
          <w:color w:val="000000"/>
        </w:rPr>
        <w:t xml:space="preserve"> </w:t>
      </w:r>
      <w:r>
        <w:rPr>
          <w:rFonts w:ascii="Times New Roman;serif" w:hAnsi="Times New Roman;serif"/>
          <w:b w:val="false"/>
          <w:color w:val="000000"/>
          <w:sz w:val="20"/>
        </w:rPr>
        <w:t xml:space="preserve">means any individual who is a common-law employee of the Company, a Parent, a Subsidiary, or an Affiliate. </w:t>
      </w:r>
    </w:p>
    <w:p>
      <w:pPr>
        <w:pStyle w:val="TextBody"/>
        <w:bidi w:val="0"/>
        <w:spacing w:lineRule="auto" w:line="288" w:before="80" w:after="283"/>
        <w:ind w:left="0" w:right="0" w:hanging="490"/>
        <w:jc w:val="left"/>
        <w:rPr/>
      </w:pPr>
      <w:r>
        <w:rPr>
          <w:rFonts w:ascii="Times New Roman;serif" w:hAnsi="Times New Roman;serif"/>
          <w:b w:val="false"/>
          <w:color w:val="000000"/>
          <w:sz w:val="20"/>
        </w:rPr>
        <w:t>(q)    </w:t>
      </w:r>
      <w:r>
        <w:rPr>
          <w:color w:val="000000"/>
        </w:rPr>
        <w:t>“</w:t>
      </w:r>
      <w:r>
        <w:rPr>
          <w:rFonts w:ascii="Times New Roman;serif" w:hAnsi="Times New Roman;serif"/>
          <w:b/>
          <w:color w:val="000000"/>
          <w:sz w:val="20"/>
        </w:rPr>
        <w:t>Exchange Act”</w:t>
      </w:r>
      <w:r>
        <w:rPr>
          <w:color w:val="000000"/>
        </w:rPr>
        <w:t xml:space="preserve"> </w:t>
      </w:r>
      <w:r>
        <w:rPr>
          <w:rFonts w:ascii="Times New Roman;serif" w:hAnsi="Times New Roman;serif"/>
          <w:b w:val="false"/>
          <w:color w:val="000000"/>
          <w:sz w:val="20"/>
        </w:rPr>
        <w:t xml:space="preserve">means the United States Securities Exchange Act of 1934, as amended. Reference in the Plan to any section of the Exchange Act shall be deemed to include any regulations or other interpretative guidance under such section, and any amendments or successor provisions to such section, regulations or guidance. </w:t>
      </w:r>
    </w:p>
    <w:p>
      <w:pPr>
        <w:pStyle w:val="TextBody"/>
        <w:bidi w:val="0"/>
        <w:spacing w:lineRule="auto" w:line="288" w:before="80" w:after="283"/>
        <w:ind w:left="0" w:right="0" w:hanging="490"/>
        <w:jc w:val="left"/>
        <w:rPr/>
      </w:pPr>
      <w:r>
        <w:rPr>
          <w:rFonts w:ascii="Times New Roman;serif" w:hAnsi="Times New Roman;serif"/>
          <w:b w:val="false"/>
          <w:color w:val="000000"/>
          <w:sz w:val="20"/>
        </w:rPr>
        <w:t>(r)    </w:t>
      </w:r>
      <w:r>
        <w:rPr>
          <w:color w:val="000000"/>
        </w:rPr>
        <w:t>“</w:t>
      </w:r>
      <w:r>
        <w:rPr>
          <w:rFonts w:ascii="Times New Roman;serif" w:hAnsi="Times New Roman;serif"/>
          <w:b/>
          <w:color w:val="000000"/>
          <w:sz w:val="20"/>
        </w:rPr>
        <w:t>Exercise Price”</w:t>
      </w:r>
      <w:r>
        <w:rPr>
          <w:color w:val="000000"/>
        </w:rPr>
        <w:t xml:space="preserve"> </w:t>
      </w:r>
      <w:r>
        <w:rPr>
          <w:rFonts w:ascii="Times New Roman;serif" w:hAnsi="Times New Roman;serif"/>
          <w:b w:val="false"/>
          <w:color w:val="000000"/>
          <w:sz w:val="20"/>
        </w:rPr>
        <w:t xml:space="preserve">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519555"/>
                <wp:effectExtent l="0" t="0" r="0" b="0"/>
                <wp:wrapNone/>
                <wp:docPr id="47" name="Frame47"/>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B-3</w:t>
                      </w:r>
                    </w:p>
                  </w:txbxContent>
                </v:textbox>
                <w10:wrap type="none"/>
              </v:rect>
            </w:pict>
          </mc:Fallback>
        </mc:AlternateContent>
      </w:r>
    </w:p>
    <w:p>
      <w:pPr>
        <w:pStyle w:val="TextBody"/>
        <w:bidi w:val="0"/>
        <w:spacing w:lineRule="auto" w:line="288" w:before="80" w:after="283"/>
        <w:ind w:left="0" w:right="0" w:hanging="490"/>
        <w:jc w:val="left"/>
        <w:rPr/>
      </w:pPr>
      <w:r>
        <w:rPr>
          <w:rFonts w:ascii="Times New Roman;serif" w:hAnsi="Times New Roman;serif"/>
          <w:b w:val="false"/>
          <w:color w:val="000000"/>
          <w:sz w:val="20"/>
        </w:rPr>
        <w:t>(s)    </w:t>
      </w:r>
      <w:r>
        <w:rPr>
          <w:color w:val="000000"/>
        </w:rPr>
        <w:t>“</w:t>
      </w:r>
      <w:r>
        <w:rPr>
          <w:rFonts w:ascii="Times New Roman;serif" w:hAnsi="Times New Roman;serif"/>
          <w:b/>
          <w:color w:val="000000"/>
          <w:sz w:val="20"/>
        </w:rPr>
        <w:t>Fair Market Value”</w:t>
      </w:r>
      <w:r>
        <w:rPr>
          <w:color w:val="000000"/>
        </w:rPr>
        <w:t xml:space="preserve"> </w:t>
      </w:r>
      <w:r>
        <w:rPr>
          <w:rFonts w:ascii="Times New Roman;serif" w:hAnsi="Times New Roman;serif"/>
          <w:b w:val="false"/>
          <w:color w:val="000000"/>
          <w:sz w:val="20"/>
        </w:rPr>
        <w:t xml:space="preserve">with respect to a Share means the market price of one Share determined by the Committee as follows: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    If the Stock was traded on any established stock exchange (such as The Nasdaq Capital Market, The Nasdaq Global Market, The Nasdaq Global Select Market or the New York Stock Exchange) or national market system on the date in question, then the Fair Market Value shall be equal to the closing price reported for such date by the applicable exchange or system; </w:t>
      </w:r>
    </w:p>
    <w:p>
      <w:pPr>
        <w:pStyle w:val="TextBody"/>
        <w:bidi w:val="0"/>
        <w:spacing w:lineRule="auto" w:line="288" w:before="90" w:after="283"/>
        <w:jc w:val="left"/>
        <w:rPr>
          <w:color w:val="000000"/>
        </w:rPr>
      </w:pPr>
      <w:r>
        <w:rPr>
          <w:color w:val="000000"/>
        </w:rPr>
        <w:t>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    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 or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(iii)    If none of the foregoing provisions is applicable, then the Fair Market Value shall be determined by the Committee in good faith on such basis as it deems appropriate.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determination of fair market value for purposes of tax withholding may be made in the Committee’s discretion subject to applicable law and is not required to be consistent with the determination of Fair Market Value for other purposes.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any date that is not a trading day, the Fair Market Value of a share of Stock for such date shall be determined under clauses (i) and (ii) above with reference to the immediately preceding trading day. In all cases, the determination of Fair Market Value by the Committee shall be conclusive and binding on all persons and shall be consistent with the rules of Section 409A and Section 422 of the Code to the extent applicable. </w:t>
      </w:r>
    </w:p>
    <w:p>
      <w:pPr>
        <w:pStyle w:val="TextBody"/>
        <w:bidi w:val="0"/>
        <w:spacing w:lineRule="auto" w:line="288" w:before="120" w:after="283"/>
        <w:ind w:left="0" w:right="0" w:hanging="490"/>
        <w:jc w:val="left"/>
        <w:rPr/>
      </w:pPr>
      <w:r>
        <w:rPr>
          <w:rFonts w:ascii="Times New Roman;serif" w:hAnsi="Times New Roman;serif"/>
          <w:b w:val="false"/>
          <w:color w:val="000000"/>
          <w:sz w:val="20"/>
        </w:rPr>
        <w:t>(t)    </w:t>
      </w:r>
      <w:r>
        <w:rPr>
          <w:color w:val="000000"/>
        </w:rPr>
        <w:t>“</w:t>
      </w:r>
      <w:r>
        <w:rPr>
          <w:rFonts w:ascii="Times New Roman;serif" w:hAnsi="Times New Roman;serif"/>
          <w:b/>
          <w:color w:val="000000"/>
          <w:sz w:val="20"/>
        </w:rPr>
        <w:t>ISO”</w:t>
      </w:r>
      <w:r>
        <w:rPr>
          <w:color w:val="000000"/>
        </w:rPr>
        <w:t xml:space="preserve"> </w:t>
      </w:r>
      <w:r>
        <w:rPr>
          <w:rFonts w:ascii="Times New Roman;serif" w:hAnsi="Times New Roman;serif"/>
          <w:b w:val="false"/>
          <w:color w:val="000000"/>
          <w:sz w:val="20"/>
        </w:rPr>
        <w:t xml:space="preserve">means an Option intended to be an “incentive stock option” described in Section 422 of the Code. Each Option granted pursuant to the Plan will be treated as providing by its terms that it is to be an NSO unless, as of the Date of Grant, it is expressly designated as an ISO in the applicable Option Award Agreement. </w:t>
      </w:r>
    </w:p>
    <w:p>
      <w:pPr>
        <w:pStyle w:val="TextBody"/>
        <w:bidi w:val="0"/>
        <w:spacing w:lineRule="auto" w:line="288" w:before="120" w:after="283"/>
        <w:ind w:left="0" w:right="0" w:hanging="490"/>
        <w:jc w:val="left"/>
        <w:rPr/>
      </w:pPr>
      <w:r>
        <w:rPr>
          <w:rFonts w:ascii="Times New Roman;serif" w:hAnsi="Times New Roman;serif"/>
          <w:b w:val="false"/>
          <w:color w:val="000000"/>
          <w:sz w:val="20"/>
        </w:rPr>
        <w:t>(u)    </w:t>
      </w:r>
      <w:r>
        <w:rPr>
          <w:color w:val="000000"/>
        </w:rPr>
        <w:t>“</w:t>
      </w:r>
      <w:r>
        <w:rPr>
          <w:rFonts w:ascii="Times New Roman;serif" w:hAnsi="Times New Roman;serif"/>
          <w:b/>
          <w:color w:val="000000"/>
          <w:sz w:val="20"/>
        </w:rPr>
        <w:t>Mature Shares”</w:t>
      </w:r>
      <w:r>
        <w:rPr>
          <w:color w:val="000000"/>
        </w:rPr>
        <w:t xml:space="preserve"> </w:t>
      </w:r>
      <w:r>
        <w:rPr>
          <w:rFonts w:ascii="Times New Roman;serif" w:hAnsi="Times New Roman;serif"/>
          <w:b w:val="false"/>
          <w:color w:val="000000"/>
          <w:sz w:val="20"/>
        </w:rPr>
        <w:t xml:space="preserve">means Shares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 </w:t>
      </w:r>
    </w:p>
    <w:p>
      <w:pPr>
        <w:pStyle w:val="TextBody"/>
        <w:bidi w:val="0"/>
        <w:spacing w:lineRule="auto" w:line="288" w:before="120" w:after="283"/>
        <w:ind w:left="0" w:right="0" w:hanging="490"/>
        <w:jc w:val="left"/>
        <w:rPr/>
      </w:pPr>
      <w:r>
        <w:rPr>
          <w:rFonts w:ascii="Times New Roman;serif" w:hAnsi="Times New Roman;serif"/>
          <w:b w:val="false"/>
          <w:color w:val="000000"/>
          <w:sz w:val="20"/>
        </w:rPr>
        <w:t>(v)    </w:t>
      </w:r>
      <w:r>
        <w:rPr>
          <w:color w:val="000000"/>
        </w:rPr>
        <w:t>“</w:t>
      </w:r>
      <w:r>
        <w:rPr>
          <w:rFonts w:ascii="Times New Roman;serif" w:hAnsi="Times New Roman;serif"/>
          <w:b/>
          <w:color w:val="000000"/>
          <w:sz w:val="20"/>
        </w:rPr>
        <w:t>Non-Employee Director”</w:t>
      </w:r>
      <w:r>
        <w:rPr>
          <w:color w:val="000000"/>
        </w:rPr>
        <w:t xml:space="preserve"> </w:t>
      </w:r>
      <w:r>
        <w:rPr>
          <w:rFonts w:ascii="Times New Roman;serif" w:hAnsi="Times New Roman;serif"/>
          <w:b w:val="false"/>
          <w:color w:val="000000"/>
          <w:sz w:val="20"/>
        </w:rPr>
        <w:t xml:space="preserve">means a person who is a “non-employee director” within the meaning of Rule 16b-3 under the Exchange Act. </w:t>
      </w:r>
    </w:p>
    <w:p>
      <w:pPr>
        <w:pStyle w:val="TextBody"/>
        <w:bidi w:val="0"/>
        <w:spacing w:lineRule="auto" w:line="288" w:before="120" w:after="283"/>
        <w:ind w:left="0" w:right="0" w:hanging="490"/>
        <w:jc w:val="left"/>
        <w:rPr/>
      </w:pPr>
      <w:r>
        <w:rPr>
          <w:rFonts w:ascii="Times New Roman;serif" w:hAnsi="Times New Roman;serif"/>
          <w:b w:val="false"/>
          <w:color w:val="000000"/>
          <w:sz w:val="20"/>
        </w:rPr>
        <w:t>(w)    </w:t>
      </w:r>
      <w:r>
        <w:rPr>
          <w:color w:val="000000"/>
        </w:rPr>
        <w:t>“</w:t>
      </w:r>
      <w:r>
        <w:rPr>
          <w:rFonts w:ascii="Times New Roman;serif" w:hAnsi="Times New Roman;serif"/>
          <w:b/>
          <w:color w:val="000000"/>
          <w:sz w:val="20"/>
        </w:rPr>
        <w:t>Nonstatutory Option” or “NSO”</w:t>
      </w:r>
      <w:r>
        <w:rPr>
          <w:color w:val="000000"/>
        </w:rPr>
        <w:t xml:space="preserve"> </w:t>
      </w:r>
      <w:r>
        <w:rPr>
          <w:rFonts w:ascii="Times New Roman;serif" w:hAnsi="Times New Roman;serif"/>
          <w:b w:val="false"/>
          <w:color w:val="000000"/>
          <w:sz w:val="20"/>
        </w:rPr>
        <w:t xml:space="preserve">means an Option that is not an ISO. </w:t>
      </w:r>
    </w:p>
    <w:p>
      <w:pPr>
        <w:pStyle w:val="TextBody"/>
        <w:bidi w:val="0"/>
        <w:spacing w:lineRule="auto" w:line="288" w:before="120" w:after="283"/>
        <w:ind w:left="0" w:right="0" w:hanging="490"/>
        <w:jc w:val="left"/>
        <w:rPr/>
      </w:pPr>
      <w:r>
        <w:rPr>
          <w:rFonts w:ascii="Times New Roman;serif" w:hAnsi="Times New Roman;serif"/>
          <w:b w:val="false"/>
          <w:color w:val="000000"/>
          <w:sz w:val="20"/>
        </w:rPr>
        <w:t>(x)    </w:t>
      </w:r>
      <w:r>
        <w:rPr>
          <w:color w:val="000000"/>
        </w:rPr>
        <w:t>“</w:t>
      </w:r>
      <w:r>
        <w:rPr>
          <w:rFonts w:ascii="Times New Roman;serif" w:hAnsi="Times New Roman;serif"/>
          <w:b/>
          <w:color w:val="000000"/>
          <w:sz w:val="20"/>
        </w:rPr>
        <w:t>Option”</w:t>
      </w:r>
      <w:r>
        <w:rPr>
          <w:color w:val="000000"/>
        </w:rPr>
        <w:t xml:space="preserve"> </w:t>
      </w:r>
      <w:r>
        <w:rPr>
          <w:rFonts w:ascii="Times New Roman;serif" w:hAnsi="Times New Roman;serif"/>
          <w:b w:val="false"/>
          <w:color w:val="000000"/>
          <w:sz w:val="20"/>
        </w:rPr>
        <w:t xml:space="preserve">means an option entitling the holder to acquire Shares upon payment of the exercise price and may be subject to the satisfaction of performance or other vesting conditions. </w:t>
      </w:r>
    </w:p>
    <w:p>
      <w:pPr>
        <w:pStyle w:val="TextBody"/>
        <w:bidi w:val="0"/>
        <w:spacing w:lineRule="auto" w:line="288" w:before="120" w:after="283"/>
        <w:ind w:left="0" w:right="0" w:hanging="490"/>
        <w:jc w:val="left"/>
        <w:rPr/>
      </w:pPr>
      <w:r>
        <w:rPr>
          <w:rFonts w:ascii="Times New Roman;serif" w:hAnsi="Times New Roman;serif"/>
          <w:b w:val="false"/>
          <w:color w:val="000000"/>
          <w:sz w:val="20"/>
        </w:rPr>
        <w:t>(y)    </w:t>
      </w:r>
      <w:r>
        <w:rPr>
          <w:color w:val="000000"/>
        </w:rPr>
        <w:t>“</w:t>
      </w:r>
      <w:r>
        <w:rPr>
          <w:rFonts w:ascii="Times New Roman;serif" w:hAnsi="Times New Roman;serif"/>
          <w:b/>
          <w:color w:val="000000"/>
          <w:sz w:val="20"/>
        </w:rPr>
        <w:t>Other Stock-Based Award”</w:t>
      </w:r>
      <w:r>
        <w:rPr>
          <w:color w:val="000000"/>
        </w:rPr>
        <w:t xml:space="preserve"> </w:t>
      </w:r>
      <w:r>
        <w:rPr>
          <w:rFonts w:ascii="Times New Roman;serif" w:hAnsi="Times New Roman;serif"/>
          <w:b w:val="false"/>
          <w:color w:val="000000"/>
          <w:sz w:val="20"/>
        </w:rPr>
        <w:t xml:space="preserve">means an Award other than an Option, a SAR, a Restricted Share, a Restricted Stock Unit that is convertible into or otherwise based on Shares and may be subject to the satisfaction of performance or other vesting conditions. </w:t>
      </w:r>
    </w:p>
    <w:p>
      <w:pPr>
        <w:pStyle w:val="TextBody"/>
        <w:bidi w:val="0"/>
        <w:spacing w:lineRule="auto" w:line="288" w:before="120" w:after="283"/>
        <w:ind w:left="0" w:right="0" w:hanging="490"/>
        <w:jc w:val="left"/>
        <w:rPr/>
      </w:pPr>
      <w:r>
        <w:rPr>
          <w:rFonts w:ascii="Times New Roman;serif" w:hAnsi="Times New Roman;serif"/>
          <w:b w:val="false"/>
          <w:color w:val="000000"/>
          <w:sz w:val="20"/>
        </w:rPr>
        <w:t>(z)    </w:t>
      </w:r>
      <w:r>
        <w:rPr>
          <w:color w:val="000000"/>
        </w:rPr>
        <w:t>“</w:t>
      </w:r>
      <w:r>
        <w:rPr>
          <w:rFonts w:ascii="Times New Roman;serif" w:hAnsi="Times New Roman;serif"/>
          <w:b/>
          <w:color w:val="000000"/>
          <w:sz w:val="20"/>
        </w:rPr>
        <w:t>Parent”</w:t>
      </w:r>
      <w:r>
        <w:rPr>
          <w:color w:val="000000"/>
        </w:rPr>
        <w:t xml:space="preserve"> </w:t>
      </w:r>
      <w:r>
        <w:rPr>
          <w:rFonts w:ascii="Times New Roman;serif" w:hAnsi="Times New Roman;serif"/>
          <w:b w:val="false"/>
          <w:color w:val="000000"/>
          <w:sz w:val="20"/>
        </w:rPr>
        <w:t xml:space="preserve">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a Parent commencing as of such date. </w:t>
      </w:r>
    </w:p>
    <w:p>
      <w:pPr>
        <w:pStyle w:val="TextBody"/>
        <w:bidi w:val="0"/>
        <w:spacing w:lineRule="auto" w:line="288" w:before="120" w:after="283"/>
        <w:ind w:left="0" w:right="0" w:hanging="490"/>
        <w:jc w:val="left"/>
        <w:rPr/>
      </w:pPr>
      <w:r>
        <w:rPr>
          <w:rFonts w:ascii="Times New Roman;serif" w:hAnsi="Times New Roman;serif"/>
          <w:b w:val="false"/>
          <w:color w:val="000000"/>
          <w:sz w:val="20"/>
        </w:rPr>
        <w:t>(aa)    </w:t>
      </w:r>
      <w:r>
        <w:rPr>
          <w:color w:val="000000"/>
        </w:rPr>
        <w:t>“</w:t>
      </w:r>
      <w:r>
        <w:rPr>
          <w:rFonts w:ascii="Times New Roman;serif" w:hAnsi="Times New Roman;serif"/>
          <w:b/>
          <w:color w:val="000000"/>
          <w:sz w:val="20"/>
        </w:rPr>
        <w:t>Participant”</w:t>
      </w:r>
      <w:r>
        <w:rPr>
          <w:color w:val="000000"/>
        </w:rPr>
        <w:t xml:space="preserve"> </w:t>
      </w:r>
      <w:r>
        <w:rPr>
          <w:rFonts w:ascii="Times New Roman;serif" w:hAnsi="Times New Roman;serif"/>
          <w:b w:val="false"/>
          <w:color w:val="000000"/>
          <w:sz w:val="20"/>
        </w:rPr>
        <w:t xml:space="preserve">means a person who holds an Award. </w:t>
      </w:r>
    </w:p>
    <w:p>
      <w:pPr>
        <w:pStyle w:val="TextBody"/>
        <w:bidi w:val="0"/>
        <w:spacing w:lineRule="auto" w:line="288" w:before="120" w:after="283"/>
        <w:ind w:left="0" w:right="0" w:hanging="490"/>
        <w:jc w:val="left"/>
        <w:rPr/>
      </w:pPr>
      <w:r>
        <w:rPr>
          <w:rFonts w:ascii="Times New Roman;serif" w:hAnsi="Times New Roman;serif"/>
          <w:b w:val="false"/>
          <w:color w:val="000000"/>
          <w:sz w:val="20"/>
        </w:rPr>
        <w:t>(bb)    </w:t>
      </w: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 xml:space="preserve">means this Amended and Restated 2018 Equity and Incentive Compensation Plan of Universal Electronics Inc., as amended from time to time. </w:t>
      </w:r>
    </w:p>
    <w:p>
      <w:pPr>
        <w:pStyle w:val="TextBody"/>
        <w:bidi w:val="0"/>
        <w:spacing w:lineRule="auto" w:line="288" w:before="120" w:after="283"/>
        <w:ind w:left="0" w:right="0" w:hanging="490"/>
        <w:jc w:val="left"/>
        <w:rPr/>
      </w:pPr>
      <w:r>
        <w:rPr>
          <w:rFonts w:ascii="Times New Roman;serif" w:hAnsi="Times New Roman;serif"/>
          <w:b w:val="false"/>
          <w:color w:val="000000"/>
          <w:sz w:val="20"/>
        </w:rPr>
        <w:t>(cc)    </w:t>
      </w:r>
      <w:r>
        <w:rPr>
          <w:color w:val="000000"/>
        </w:rPr>
        <w:t>“</w:t>
      </w:r>
      <w:r>
        <w:rPr>
          <w:rFonts w:ascii="Times New Roman;serif" w:hAnsi="Times New Roman;serif"/>
          <w:b/>
          <w:color w:val="000000"/>
          <w:sz w:val="20"/>
        </w:rPr>
        <w:t>Prior Plan”</w:t>
      </w:r>
      <w:r>
        <w:rPr>
          <w:color w:val="000000"/>
        </w:rPr>
        <w:t xml:space="preserve"> </w:t>
      </w:r>
      <w:r>
        <w:rPr>
          <w:rFonts w:ascii="Times New Roman;serif" w:hAnsi="Times New Roman;serif"/>
          <w:b w:val="false"/>
          <w:color w:val="000000"/>
          <w:sz w:val="20"/>
        </w:rPr>
        <w:t>means each of the Universal Electronics Inc. 2014 Stock Incentive Plan, the Universal Electronics Inc. 2010 Stock Incentive Plan, the Universal Electronics Inc. 2006 Stock Incentive Plan, the Universal Electronics Inc. 2003 Stock Incentive Plan, and the Universal Electronics Inc. 1999A Nonqualified Stock Plan (collectively, the “</w:t>
      </w:r>
      <w:r>
        <w:rPr>
          <w:rFonts w:ascii="Times New Roman;serif" w:hAnsi="Times New Roman;serif"/>
          <w:b/>
          <w:color w:val="000000"/>
          <w:sz w:val="20"/>
        </w:rPr>
        <w:t>Prior Plans</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519555"/>
                <wp:effectExtent l="0" t="0" r="0" b="0"/>
                <wp:wrapNone/>
                <wp:docPr id="48" name="Frame48"/>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B-4</w:t>
                      </w:r>
                    </w:p>
                  </w:txbxContent>
                </v:textbox>
                <w10:wrap type="none"/>
              </v:rect>
            </w:pict>
          </mc:Fallback>
        </mc:AlternateContent>
      </w:r>
    </w:p>
    <w:p>
      <w:pPr>
        <w:pStyle w:val="TextBody"/>
        <w:bidi w:val="0"/>
        <w:spacing w:lineRule="auto" w:line="288" w:before="120" w:after="283"/>
        <w:ind w:left="0" w:right="0" w:hanging="490"/>
        <w:jc w:val="left"/>
        <w:rPr/>
      </w:pPr>
      <w:r>
        <w:rPr>
          <w:rFonts w:ascii="Times New Roman;serif" w:hAnsi="Times New Roman;serif"/>
          <w:b w:val="false"/>
          <w:color w:val="000000"/>
          <w:sz w:val="20"/>
        </w:rPr>
        <w:t>(dd)    </w:t>
      </w:r>
      <w:r>
        <w:rPr>
          <w:color w:val="000000"/>
        </w:rPr>
        <w:t>“</w:t>
      </w:r>
      <w:r>
        <w:rPr>
          <w:rFonts w:ascii="Times New Roman;serif" w:hAnsi="Times New Roman;serif"/>
          <w:b/>
          <w:color w:val="000000"/>
          <w:sz w:val="20"/>
        </w:rPr>
        <w:t>Purchase Price”</w:t>
      </w:r>
      <w:r>
        <w:rPr>
          <w:color w:val="000000"/>
        </w:rPr>
        <w:t xml:space="preserve"> </w:t>
      </w:r>
      <w:r>
        <w:rPr>
          <w:rFonts w:ascii="Times New Roman;serif" w:hAnsi="Times New Roman;serif"/>
          <w:b w:val="false"/>
          <w:color w:val="000000"/>
          <w:sz w:val="20"/>
        </w:rPr>
        <w:t xml:space="preserve">means the consideration for which one Share may be acquired under the Plan (other than upon exercise of an Option or SAR), as specified by the Committee. </w:t>
      </w:r>
    </w:p>
    <w:p>
      <w:pPr>
        <w:pStyle w:val="TextBody"/>
        <w:bidi w:val="0"/>
        <w:spacing w:lineRule="auto" w:line="288" w:before="120" w:after="283"/>
        <w:ind w:left="0" w:right="0" w:hanging="490"/>
        <w:jc w:val="left"/>
        <w:rPr/>
      </w:pPr>
      <w:r>
        <w:rPr>
          <w:rFonts w:ascii="Times New Roman;serif" w:hAnsi="Times New Roman;serif"/>
          <w:b w:val="false"/>
          <w:color w:val="000000"/>
          <w:sz w:val="20"/>
        </w:rPr>
        <w:t>(ee)    </w:t>
      </w:r>
      <w:r>
        <w:rPr>
          <w:color w:val="000000"/>
        </w:rPr>
        <w:t>“</w:t>
      </w:r>
      <w:r>
        <w:rPr>
          <w:rFonts w:ascii="Times New Roman;serif" w:hAnsi="Times New Roman;serif"/>
          <w:b/>
          <w:color w:val="000000"/>
          <w:sz w:val="20"/>
        </w:rPr>
        <w:t>Restricted Share”</w:t>
      </w:r>
      <w:r>
        <w:rPr>
          <w:color w:val="000000"/>
        </w:rPr>
        <w:t xml:space="preserve"> </w:t>
      </w:r>
      <w:r>
        <w:rPr>
          <w:rFonts w:ascii="Times New Roman;serif" w:hAnsi="Times New Roman;serif"/>
          <w:b w:val="false"/>
          <w:color w:val="000000"/>
          <w:sz w:val="20"/>
        </w:rPr>
        <w:t xml:space="preserve">means a Share subject to restrictions requiring that it be forfeited, redelivered or offered for sale to the Company if specified performance or other vesting conditions are not satisfied awarded under the Plan. </w:t>
      </w:r>
    </w:p>
    <w:p>
      <w:pPr>
        <w:pStyle w:val="TextBody"/>
        <w:bidi w:val="0"/>
        <w:spacing w:lineRule="auto" w:line="288" w:before="120" w:after="283"/>
        <w:ind w:left="0" w:right="0" w:hanging="490"/>
        <w:jc w:val="left"/>
        <w:rPr/>
      </w:pPr>
      <w:r>
        <w:rPr>
          <w:rFonts w:ascii="Times New Roman;serif" w:hAnsi="Times New Roman;serif"/>
          <w:b w:val="false"/>
          <w:color w:val="000000"/>
          <w:sz w:val="20"/>
        </w:rPr>
        <w:t>(ff)    </w:t>
      </w:r>
      <w:r>
        <w:rPr>
          <w:color w:val="000000"/>
        </w:rPr>
        <w:t>“</w:t>
      </w:r>
      <w:r>
        <w:rPr>
          <w:rFonts w:ascii="Times New Roman;serif" w:hAnsi="Times New Roman;serif"/>
          <w:b/>
          <w:color w:val="000000"/>
          <w:sz w:val="20"/>
        </w:rPr>
        <w:t>Restricted Stock Unit”</w:t>
      </w:r>
      <w:r>
        <w:rPr>
          <w:color w:val="000000"/>
        </w:rPr>
        <w:t xml:space="preserve"> </w:t>
      </w:r>
      <w:r>
        <w:rPr>
          <w:rFonts w:ascii="Times New Roman;serif" w:hAnsi="Times New Roman;serif"/>
          <w:b w:val="false"/>
          <w:color w:val="000000"/>
          <w:sz w:val="20"/>
        </w:rPr>
        <w:t xml:space="preserve">means a bookkeeping entry representing the Company’s obligation to deliver one Share (or distribute cash measured by the value of a Share on a future date) and may be subject to the satisfaction of performance or other vesting conditions. </w:t>
      </w:r>
    </w:p>
    <w:p>
      <w:pPr>
        <w:pStyle w:val="TextBody"/>
        <w:bidi w:val="0"/>
        <w:spacing w:lineRule="auto" w:line="288" w:before="120" w:after="283"/>
        <w:ind w:left="0" w:right="0" w:hanging="490"/>
        <w:jc w:val="left"/>
        <w:rPr/>
      </w:pPr>
      <w:r>
        <w:rPr>
          <w:rFonts w:ascii="Times New Roman;serif" w:hAnsi="Times New Roman;serif"/>
          <w:b w:val="false"/>
          <w:color w:val="000000"/>
          <w:sz w:val="20"/>
        </w:rPr>
        <w:t>(gg)    </w:t>
      </w:r>
      <w:r>
        <w:rPr>
          <w:color w:val="000000"/>
        </w:rPr>
        <w:t>“</w:t>
      </w:r>
      <w:r>
        <w:rPr>
          <w:rFonts w:ascii="Times New Roman;serif" w:hAnsi="Times New Roman;serif"/>
          <w:b/>
          <w:color w:val="000000"/>
          <w:sz w:val="20"/>
        </w:rPr>
        <w:t>SAR”</w:t>
      </w:r>
      <w:r>
        <w:rPr>
          <w:color w:val="000000"/>
        </w:rPr>
        <w:t xml:space="preserve"> </w:t>
      </w:r>
      <w:r>
        <w:rPr>
          <w:rFonts w:ascii="Times New Roman;serif" w:hAnsi="Times New Roman;serif"/>
          <w:b w:val="false"/>
          <w:color w:val="000000"/>
          <w:sz w:val="20"/>
        </w:rPr>
        <w:t xml:space="preserve">means a right entitling the holder upon exercise to receive an amount (payable in cash or in Stock of equivalent value) equal to the excess of the Fair Market Value of the Stock subject to the right over the Exercise Price from which appreciation under the SAR is to be measured. </w:t>
      </w:r>
    </w:p>
    <w:p>
      <w:pPr>
        <w:pStyle w:val="TextBody"/>
        <w:bidi w:val="0"/>
        <w:spacing w:lineRule="auto" w:line="288" w:before="100" w:after="283"/>
        <w:ind w:left="0" w:right="0" w:hanging="490"/>
        <w:jc w:val="left"/>
        <w:rPr/>
      </w:pPr>
      <w:r>
        <w:rPr>
          <w:rFonts w:ascii="Times New Roman;serif" w:hAnsi="Times New Roman;serif"/>
          <w:b w:val="false"/>
          <w:color w:val="000000"/>
          <w:sz w:val="20"/>
        </w:rPr>
        <w:t>(hh)    </w:t>
      </w:r>
      <w:r>
        <w:rPr>
          <w:color w:val="000000"/>
        </w:rPr>
        <w:t>“</w:t>
      </w:r>
      <w:r>
        <w:rPr>
          <w:rFonts w:ascii="Times New Roman;serif" w:hAnsi="Times New Roman;serif"/>
          <w:b/>
          <w:color w:val="000000"/>
          <w:sz w:val="20"/>
        </w:rPr>
        <w:t>Section 409A”</w:t>
      </w:r>
      <w:r>
        <w:rPr>
          <w:color w:val="000000"/>
        </w:rPr>
        <w:t xml:space="preserve"> </w:t>
      </w:r>
      <w:r>
        <w:rPr>
          <w:rFonts w:ascii="Times New Roman;serif" w:hAnsi="Times New Roman;serif"/>
          <w:b w:val="false"/>
          <w:color w:val="000000"/>
          <w:sz w:val="20"/>
        </w:rPr>
        <w:t xml:space="preserve">means Section 409A of the Code. </w:t>
      </w:r>
    </w:p>
    <w:p>
      <w:pPr>
        <w:pStyle w:val="TextBody"/>
        <w:bidi w:val="0"/>
        <w:spacing w:lineRule="auto" w:line="288" w:before="100" w:after="283"/>
        <w:ind w:left="0" w:right="0" w:hanging="490"/>
        <w:jc w:val="left"/>
        <w:rPr/>
      </w:pPr>
      <w:r>
        <w:rPr>
          <w:rFonts w:ascii="Times New Roman;serif" w:hAnsi="Times New Roman;serif"/>
          <w:b w:val="false"/>
          <w:color w:val="000000"/>
          <w:sz w:val="20"/>
        </w:rPr>
        <w:t>(ii)    </w:t>
      </w:r>
      <w:r>
        <w:rPr>
          <w:color w:val="000000"/>
        </w:rPr>
        <w:t>“</w:t>
      </w:r>
      <w:r>
        <w:rPr>
          <w:rFonts w:ascii="Times New Roman;serif" w:hAnsi="Times New Roman;serif"/>
          <w:b/>
          <w:color w:val="000000"/>
          <w:sz w:val="20"/>
        </w:rPr>
        <w:t>Securities Act”</w:t>
      </w:r>
      <w:r>
        <w:rPr>
          <w:color w:val="000000"/>
        </w:rPr>
        <w:t xml:space="preserve"> </w:t>
      </w:r>
      <w:r>
        <w:rPr>
          <w:rFonts w:ascii="Times New Roman;serif" w:hAnsi="Times New Roman;serif"/>
          <w:b w:val="false"/>
          <w:color w:val="000000"/>
          <w:sz w:val="20"/>
        </w:rPr>
        <w:t xml:space="preserve">means the United States Securities Act of 1933, as amended, the rules and regulations promulgated thereunder. </w:t>
      </w:r>
    </w:p>
    <w:p>
      <w:pPr>
        <w:pStyle w:val="TextBody"/>
        <w:bidi w:val="0"/>
        <w:spacing w:lineRule="auto" w:line="288" w:before="100" w:after="283"/>
        <w:ind w:left="0" w:right="0" w:hanging="490"/>
        <w:jc w:val="left"/>
        <w:rPr/>
      </w:pPr>
      <w:r>
        <w:rPr>
          <w:rFonts w:ascii="Times New Roman;serif" w:hAnsi="Times New Roman;serif"/>
          <w:b w:val="false"/>
          <w:color w:val="000000"/>
          <w:sz w:val="20"/>
        </w:rPr>
        <w:t>(jj)    </w:t>
      </w:r>
      <w:r>
        <w:rPr>
          <w:color w:val="000000"/>
        </w:rPr>
        <w:t>“</w:t>
      </w:r>
      <w:r>
        <w:rPr>
          <w:rFonts w:ascii="Times New Roman;serif" w:hAnsi="Times New Roman;serif"/>
          <w:b/>
          <w:color w:val="000000"/>
          <w:sz w:val="20"/>
        </w:rPr>
        <w:t xml:space="preserve">Service” </w:t>
      </w:r>
      <w:r>
        <w:rPr>
          <w:rFonts w:ascii="Times New Roman;serif" w:hAnsi="Times New Roman;serif"/>
          <w:b w:val="false"/>
          <w:color w:val="000000"/>
          <w:sz w:val="20"/>
        </w:rPr>
        <w:t xml:space="preserve">means service as an Employee, Consultant or Non-Employee Director, subject to such further limitations as may be set forth in the Plan or the applicable Award Agreement. Unless determined otherwise by the Committee: (i) neither a bona fide leave of absence due to illness, vacation or such other leave that was approved by the Company in writing, nor a transfer from employment or service with the Company to employment or service with a Subsidiary or an Affiliate, shall be considered a termination of Service; and (ii) if a Participant’s employment with a member of the Company Group terminates, but such Participant continues to provide services to the Company Group in a non-employee capacity, such change in status shall not considered a termination of Service. For purposes of determining whether an Option is entitled to ISO status, an Employee’s employment will be treated as terminating three (3) months after such Employee went on leave, unless such Employee’s right to return to active work is guaranteed by law or by a contract. Service terminates in any event when the approved leave ends, unless such Employee immediately returns to active work. For the avoidance of doubt, the Committee determines which leaves of absence count toward Service, and when Service terminates for all purposes under the Plan. Unless a different treatment is approved by the Committee, vesting will be adjusted pro-rata for any approved reductions in work hours (for example, from full-time to part-time) other than due to an approved leave of absence as discussed in the prior sentence (i.e., the portion of the award vesting on each vesting date is reduced pro-rata based on the reduction in hours worked). </w:t>
      </w:r>
    </w:p>
    <w:p>
      <w:pPr>
        <w:pStyle w:val="TextBody"/>
        <w:bidi w:val="0"/>
        <w:spacing w:lineRule="auto" w:line="288" w:before="100" w:after="283"/>
        <w:ind w:left="0" w:right="0" w:hanging="490"/>
        <w:jc w:val="left"/>
        <w:rPr/>
      </w:pPr>
      <w:r>
        <w:rPr>
          <w:rFonts w:ascii="Times New Roman;serif" w:hAnsi="Times New Roman;serif"/>
          <w:b w:val="false"/>
          <w:color w:val="000000"/>
          <w:sz w:val="20"/>
        </w:rPr>
        <w:t>(kk)    </w:t>
      </w:r>
      <w:r>
        <w:rPr>
          <w:color w:val="000000"/>
        </w:rPr>
        <w:t>“</w:t>
      </w:r>
      <w:r>
        <w:rPr>
          <w:rFonts w:ascii="Times New Roman;serif" w:hAnsi="Times New Roman;serif"/>
          <w:b/>
          <w:color w:val="000000"/>
          <w:sz w:val="20"/>
        </w:rPr>
        <w:t>Share”</w:t>
      </w:r>
      <w:r>
        <w:rPr>
          <w:color w:val="000000"/>
        </w:rPr>
        <w:t xml:space="preserve"> </w:t>
      </w:r>
      <w:r>
        <w:rPr>
          <w:rFonts w:ascii="Times New Roman;serif" w:hAnsi="Times New Roman;serif"/>
          <w:b w:val="false"/>
          <w:color w:val="000000"/>
          <w:sz w:val="20"/>
        </w:rPr>
        <w:t xml:space="preserve">means one share of Stock as adjusted in accordance with Section 12 (if applicable). </w:t>
      </w:r>
    </w:p>
    <w:p>
      <w:pPr>
        <w:pStyle w:val="TextBody"/>
        <w:bidi w:val="0"/>
        <w:spacing w:lineRule="auto" w:line="288" w:before="100" w:after="283"/>
        <w:ind w:left="0" w:right="0" w:hanging="490"/>
        <w:jc w:val="left"/>
        <w:rPr/>
      </w:pPr>
      <w:r>
        <w:rPr>
          <w:rFonts w:ascii="Times New Roman;serif" w:hAnsi="Times New Roman;serif"/>
          <w:b w:val="false"/>
          <w:color w:val="000000"/>
          <w:sz w:val="20"/>
        </w:rPr>
        <w:t>(ll)    </w:t>
      </w:r>
      <w:r>
        <w:rPr>
          <w:color w:val="000000"/>
        </w:rPr>
        <w:t>“</w:t>
      </w:r>
      <w:r>
        <w:rPr>
          <w:rFonts w:ascii="Times New Roman;serif" w:hAnsi="Times New Roman;serif"/>
          <w:b/>
          <w:color w:val="000000"/>
          <w:sz w:val="20"/>
        </w:rPr>
        <w:t>Stock”</w:t>
      </w:r>
      <w:r>
        <w:rPr>
          <w:color w:val="000000"/>
        </w:rPr>
        <w:t xml:space="preserve"> </w:t>
      </w:r>
      <w:r>
        <w:rPr>
          <w:rFonts w:ascii="Times New Roman;serif" w:hAnsi="Times New Roman;serif"/>
          <w:b w:val="false"/>
          <w:color w:val="000000"/>
          <w:sz w:val="20"/>
        </w:rPr>
        <w:t xml:space="preserve">means the Common Stock, par value $0.01 per share, of the Company (and any stock or other securities into which such common stock may be converted or into which it may be exchanged). </w:t>
      </w:r>
    </w:p>
    <w:p>
      <w:pPr>
        <w:pStyle w:val="TextBody"/>
        <w:bidi w:val="0"/>
        <w:spacing w:lineRule="auto" w:line="288" w:before="100" w:after="283"/>
        <w:ind w:left="0" w:right="0" w:hanging="490"/>
        <w:jc w:val="left"/>
        <w:rPr/>
      </w:pPr>
      <w:r>
        <w:rPr>
          <w:rFonts w:ascii="Times New Roman;serif" w:hAnsi="Times New Roman;serif"/>
          <w:b w:val="false"/>
          <w:color w:val="000000"/>
          <w:sz w:val="20"/>
        </w:rPr>
        <w:t>(mm)    </w:t>
      </w: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 xml:space="preserve">means any corporation, company or other entity, if the Company owns and/or one or more other Subsidiaries own not less than fifty percent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 </w:t>
      </w:r>
    </w:p>
    <w:p>
      <w:pPr>
        <w:pStyle w:val="TextBody"/>
        <w:bidi w:val="0"/>
        <w:spacing w:lineRule="auto" w:line="288" w:before="90" w:after="283"/>
        <w:jc w:val="left"/>
        <w:rPr>
          <w:color w:val="000000"/>
        </w:rPr>
      </w:pPr>
      <w:r>
        <w:rPr>
          <w:color w:val="000000"/>
        </w:rPr>
        <w:t> </w:t>
      </w:r>
    </w:p>
    <w:p>
      <w:pPr>
        <w:pStyle w:val="TextBody"/>
        <w:bidi w:val="0"/>
        <w:spacing w:lineRule="auto" w:line="288" w:before="0" w:after="0"/>
        <w:ind w:left="0" w:right="0" w:hanging="490"/>
        <w:jc w:val="left"/>
        <w:rPr/>
      </w:pPr>
      <w:r>
        <w:rPr>
          <w:rFonts w:ascii="Times New Roman;serif" w:hAnsi="Times New Roman;serif"/>
          <w:b w:val="false"/>
          <w:color w:val="000000"/>
          <w:sz w:val="20"/>
        </w:rPr>
        <w:t>(nn)    </w:t>
      </w:r>
      <w:r>
        <w:rPr>
          <w:color w:val="000000"/>
        </w:rPr>
        <w:t>“</w:t>
      </w:r>
      <w:r>
        <w:rPr>
          <w:rFonts w:ascii="Times New Roman;serif" w:hAnsi="Times New Roman;serif"/>
          <w:b/>
          <w:color w:val="000000"/>
          <w:sz w:val="20"/>
        </w:rPr>
        <w:t>Trade Secrets”</w:t>
      </w:r>
      <w:r>
        <w:rPr>
          <w:color w:val="000000"/>
        </w:rPr>
        <w:t xml:space="preserve"> </w:t>
      </w:r>
      <w:r>
        <w:rPr>
          <w:rFonts w:ascii="Times New Roman;serif" w:hAnsi="Times New Roman;serif"/>
          <w:b w:val="false"/>
          <w:color w:val="000000"/>
          <w:sz w:val="20"/>
        </w:rPr>
        <w:t xml:space="preserve">means without limitation, (i) any data or information that is competitively sensitive or commercially valuable and not generally known to the public and (ii)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Delaware Uniform Trade Secrets Act.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SECTION 3. ADMINISTRATION.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Committee Composition</w:t>
      </w:r>
      <w:r>
        <w:rPr>
          <w:rFonts w:ascii="Times New Roman;serif" w:hAnsi="Times New Roman;serif"/>
          <w:b w:val="false"/>
          <w:color w:val="000000"/>
          <w:sz w:val="20"/>
        </w:rPr>
        <w:t xml:space="preserve">. The Plan shall be administered by the Board or by a Committee acting appointed by the Board. The Committee shall consist of two or more directors of the Company. In addition, to the extent required by the Board, the composition of the Committee shall satisfy such requirements of the Nasdaq Stock Market or the New York Stock Exchange or as applicable, and as the Securities and Exchange Commission may establish for administrators acting under plans intended to qualify for exemption under Rule 16b-3 (or its successor) under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19555"/>
                <wp:effectExtent l="0" t="0" r="0" b="0"/>
                <wp:wrapNone/>
                <wp:docPr id="49" name="Frame49"/>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B-5</w:t>
                      </w:r>
                    </w:p>
                  </w:txbxContent>
                </v:textbox>
                <w10:wrap type="none"/>
              </v:rect>
            </w:pict>
          </mc:Fallback>
        </mc:AlternateContent>
      </w:r>
    </w:p>
    <w:p>
      <w:pPr>
        <w:pStyle w:val="TextBody"/>
        <w:bidi w:val="0"/>
        <w:spacing w:lineRule="auto" w:line="288" w:before="1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Committee Appointment</w:t>
      </w:r>
      <w:r>
        <w:rPr>
          <w:rFonts w:ascii="Times New Roman;serif" w:hAnsi="Times New Roman;serif"/>
          <w:b w:val="false"/>
          <w:color w:val="000000"/>
          <w:sz w:val="20"/>
        </w:rPr>
        <w:t xml:space="preserve">.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Non-Employee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the Committee may also authorize one or more officers of the Company to designate Employees, other than officers under Section 16 of the Exchange Act, to receive Awards and/or to determine the number of such Awards to be received by such persons; provided, however, that the Board or the Committee shall specify the total number of Awards that such officers may so award.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Committee Responsibilities</w:t>
      </w:r>
      <w:r>
        <w:rPr>
          <w:rFonts w:ascii="Times New Roman;serif" w:hAnsi="Times New Roman;serif"/>
          <w:b w:val="false"/>
          <w:color w:val="000000"/>
          <w:sz w:val="20"/>
        </w:rPr>
        <w:t xml:space="preserve">. Subject to the provisions of the Plan and applicable law, the Committee shall have full authority and discretion to take the following actions: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    To interpret the Plan and to apply its provisions;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    To adopt, amend, or rescind rules, procedures, and forms relating to the Plan;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(iii)    To adopt, amend, or terminate sub-plans established for the purpose of satisfying applicable foreign laws including qualifying for preferred tax treatment under applicable foreign tax laws;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(iv)    To authorize any person to execute, on behalf of the Company, any instrument required to carry out the purposes of the Plan;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(v)    To determine when Awards are to be granted under the Plan;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(vi)    To select the Participants to whom Awards are to be granted;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(vii)    To determine the type of Award and number of Shares or amount of cash to be made subject to each Award;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(viii)    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an NSO, and to specify the provisions of the agreement relating to such Award;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(ix)    To establish or verify the extent of satisfaction of any performance goals or other conditions applicable to the grant, issuance, exercisability, vesting, and/or ability to retain any Award;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(x)    To prescribe the consideration for the grant of each Award or other right under the Plan and to determine the sufficiency of such consideration;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(xi)    To determine the disposition of each Award or other right under the Plan in the event of a Participant’s divorce or dissolution of marriage;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(xii)    To determine whether Awards under the Plan will be granted in replacement of other grants under an incentive or other compensation plan of an acquired business; </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(xiii)    To amend any outstanding Award Agreement, subject to applicable legal restrictions and to the consent of the Participant if the Participant’s rights or obligations would be materially impaired;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(xiv)    To correct any defect, supply any omission, or reconcile any inconsistency in the Plan or any Award Agreement; and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(xv)    To take any other actions deemed necessary or advisable for the administration of the Plan.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in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such member of the Committee has taken or has failed to take in good faith with respect to the Plan or any Award under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19555"/>
                <wp:effectExtent l="0" t="0" r="0" b="0"/>
                <wp:wrapNone/>
                <wp:docPr id="50" name="Frame50"/>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B-6</w:t>
                      </w:r>
                    </w:p>
                  </w:txbxContent>
                </v:textbox>
                <w10:wrap type="none"/>
              </v:rect>
            </w:pict>
          </mc:Fallback>
        </mc:AlternateConten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Reliance on Reports</w:t>
      </w:r>
      <w:r>
        <w:rPr>
          <w:rFonts w:ascii="Times New Roman;serif" w:hAnsi="Times New Roman;serif"/>
          <w:b w:val="false"/>
          <w:color w:val="000000"/>
          <w:sz w:val="20"/>
        </w:rPr>
        <w:t xml:space="preserve">. 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Group and/or any other information furnished in connection with the Plan by any agent of the Company or the Committee or the Board, other than himself or herself.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Limitation of Liability</w:t>
      </w:r>
      <w:r>
        <w:rPr>
          <w:rFonts w:ascii="Times New Roman;serif" w:hAnsi="Times New Roman;serif"/>
          <w:b w:val="false"/>
          <w:color w:val="000000"/>
          <w:sz w:val="20"/>
        </w:rPr>
        <w:t xml:space="preserve">. No member of the Board, the Committee, delegate of the Committee or any employee or agent of the Company shall be liable for any action taken or omitted to be taken or any determination made in good faith with respect to the Plan or any Award hereunder.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4. ELIGIBILITY.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General Rule</w:t>
      </w:r>
      <w:r>
        <w:rPr>
          <w:rFonts w:ascii="Times New Roman;serif" w:hAnsi="Times New Roman;serif"/>
          <w:b w:val="false"/>
          <w:color w:val="000000"/>
          <w:sz w:val="20"/>
        </w:rPr>
        <w:t xml:space="preserve">. The Committee will select Participants from among Employees, Consultants and Non-Employee Directors. Eligibility for ISOs is limited to individuals described in the first sentence of this Section 4(a) who are employees of the Company or of a “parent corporation” or “subsidiary corporation” of the Company as those terms are defined in Section 424 of the Code. Eligibility for Options, other than ISOs, and SARs is limited to individuals described in the first sentence of this Section 4(a) who are providing direct services on the Date of Grant of the Award to the Company or to a subsidiary of the Company that would be described in the first sentence of Section 1.409A-1(b)(5)(iii)(E) of the United States Treasury Regulations.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Ten-Percent Stockholders</w:t>
      </w:r>
      <w:r>
        <w:rPr>
          <w:rFonts w:ascii="Times New Roman;serif" w:hAnsi="Times New Roman;serif"/>
          <w:b w:val="false"/>
          <w:color w:val="000000"/>
          <w:sz w:val="20"/>
        </w:rPr>
        <w:t xml:space="preserve">. An Employee who owns more than ten percent (10%) of the total combined voting power of all classes of outstanding stock of the Company, a Parent or Subsidiary shall not be eligible for the grant of an ISO unless such grant satisfies the requirements of Section 422(c)(5) of the Code. For purposes of this subsection,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 As used in this subsection, “outstanding stock” shall include all stock actually issued and outstanding immediately after the grant. “Outstanding stock” shall not include Shares authorized for issuance under outstanding options held by the Employee or by any other person.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5. STOCK SUBJECT TO PLAN.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Basic Limitation</w:t>
      </w:r>
      <w:r>
        <w:rPr>
          <w:rFonts w:ascii="Times New Roman;serif" w:hAnsi="Times New Roman;serif"/>
          <w:b w:val="false"/>
          <w:color w:val="000000"/>
          <w:sz w:val="20"/>
        </w:rPr>
        <w:t xml:space="preserve">. The maximum aggregate number of Shares authorized for issuance as Awards under the Plan shall not exceed (i) 3,475,000, plus (ii) the number of Shares underlying any award granted under any of the Prior Plans that expires, terminates or is canceled or forfeited for any reason whatsoever or settled in cash (in whole or in part) or is unearned (in whole or in part) under the terms of the applicable Prior Plan. The Company shall at all times reserve and keep available sufficient Shares to satisfy the requirements of the Plan. The limitations of this Section 5(a) shall be subject to adjustment pursuant to Section 12.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Share Counting</w:t>
      </w:r>
      <w:r>
        <w:rPr>
          <w:rFonts w:ascii="Times New Roman;serif" w:hAnsi="Times New Roman;serif"/>
          <w:b w:val="false"/>
          <w:color w:val="000000"/>
          <w:sz w:val="20"/>
        </w:rPr>
        <w:t xml:space="preserve">. Shares used to pay the required Exercise Price of an Option or SAR, Shares not issued in connection with settlement of an Option or SAR, Shares that are reacquired by the Company on the open market or otherwise using cash proceeds from the exercise of an Option, and Shares that are used or withheld to satisfy tax obligations of the Participant shall, notwithstanding anything herein to the contrary, not be available again for other Awards under the Plan. If a Participant elects to give up the right to receive compensation in exchange for Shares based on Fair Market Value, such Shares will be available again for Awards under the Plan. Shares underlying Awards under this Plan that are forfeited, cancelled, expire unexercised, or are settled in cash (in whole or in part) or are unearned (in whole or in part) are available again for Awards under the Plan.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Limit on Incentive Stock Options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Notwithstanding the foregoing and subject to subject to adjustment pursuant to Section 12, the Shares that may be delivered in the aggregate pursuant to the exercise of ISOs granted under the Plan shall not exceed 3,475,000 Shares, but nothing in this Section 5(c) will be construed as requiring that any, or any fixed number of, ISOs be awarded under the Plan.</w:t>
      </w:r>
      <w:r>
        <w:rPr>
          <w:color w:val="000000"/>
        </w:rPr>
        <w:t xml:space="preserve">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Substitution and Assumption of Awards</w:t>
      </w:r>
      <w:r>
        <w:rPr>
          <w:rFonts w:ascii="Times New Roman;serif" w:hAnsi="Times New Roman;serif"/>
          <w:b w:val="false"/>
          <w:color w:val="000000"/>
          <w:sz w:val="20"/>
        </w:rPr>
        <w:t xml:space="preserve">. The Committee may make Awards under the Plan by assumption, substitution, or replacement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19555"/>
                <wp:effectExtent l="0" t="0" r="0" b="0"/>
                <wp:wrapNone/>
                <wp:docPr id="51" name="Frame51"/>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B-7</w:t>
                      </w:r>
                    </w:p>
                  </w:txbxContent>
                </v:textbox>
                <w10:wrap type="none"/>
              </v:rect>
            </w:pict>
          </mc:Fallback>
        </mc:AlternateConten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Source of Shares</w:t>
      </w:r>
      <w:r>
        <w:rPr>
          <w:rFonts w:ascii="Times New Roman;serif" w:hAnsi="Times New Roman;serif"/>
          <w:b w:val="false"/>
          <w:color w:val="000000"/>
          <w:sz w:val="20"/>
        </w:rPr>
        <w:t xml:space="preserve">. The Shares delivered by the Company in settlement of Awards may be authorized and unissued shares, shares held in the treasury of the Company, shares purchased on the open market or by private purchase, or a combination of the foregoing.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6. LIMITATIONS AND MINIMUM REQUIREMENTS.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Non-Employee Director Compensation Limit</w:t>
      </w:r>
      <w:r>
        <w:rPr>
          <w:rFonts w:ascii="Times New Roman;serif" w:hAnsi="Times New Roman;serif"/>
          <w:b w:val="false"/>
          <w:color w:val="000000"/>
          <w:sz w:val="20"/>
        </w:rPr>
        <w:t xml:space="preserve">. The maximum number of Shares subject to Awards granted under the Plan during any one calendar year to any Non-Employee Director taken together with any cash fees paid by the Company to such Non-Employee Director during such calendar year for service on the Board (other than the calendar year in which an Non-Employee Director commences service on the Board), will not exceed five hundred thousand dollars ($500,000) in total value (calculating the value of any such Awards based on the grant date fair value of such Awards for financial reporting purposes).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Minimum Vesting Requirement</w:t>
      </w:r>
      <w:r>
        <w:rPr>
          <w:rFonts w:ascii="Times New Roman;serif" w:hAnsi="Times New Roman;serif"/>
          <w:b w:val="false"/>
          <w:color w:val="000000"/>
          <w:sz w:val="20"/>
        </w:rPr>
        <w:t xml:space="preserve">. Notwithstanding any other provision of the Plan (outside of this Section 6(b)) to the contrary, Awards granted under the Plan (other than Cash-Based Awards) shall vest no earlier than the first anniversary of the applicable Date of Grant; provided, that the following awards shall not be subject to the foregoing minimum vesting requirement: any (i) awards granted in connection with awards that are assumed, converted or substituted pursuant to Section 5(d) of the Plan; (ii) Shares delivered in lieu of fully vested cash obligations; (iii) awards to Non-Employee Directors that vest on the earlier of the one-year anniversary of the applicable Date of Grant and the next annual meeting of the Company’s stockholders which is at least 50 weeks after the immediately preceding year’s annual meeting of the stockholders; and (iv) additional awards the Committee may grant, up to a maximum of five percent (5%) of the available share reserve authorized for issuance under the Plan pursuant to Section 5(a) (subject to adjustment under Section 12). Nothing in this Section 6(b), however, shall preclude the Committee, in its sole discretion, from (x) providing for continued vesting or accelerated vesting for any award under the Plan upon certain events, including, without limitation, in connection with or following a Participant’s death, disability, or a Change in Control, or (y) exercising its authority under Section 13(b) at any time following the grant of an award.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Restriction on Acceleration Following Grant</w:t>
      </w:r>
      <w:r>
        <w:rPr>
          <w:rFonts w:ascii="Times New Roman;serif" w:hAnsi="Times New Roman;serif"/>
          <w:b w:val="false"/>
          <w:color w:val="000000"/>
          <w:sz w:val="20"/>
        </w:rPr>
        <w:t xml:space="preserve">. Following the Date of Grant of an Award, the Committee shall not accelerate the vesting or exercisability of all or any portion of an Award, in cases other than (i) in connection with a Change in Control or a Participant’s death or disability, (ii) circumstances explicitly provided under the terms of an Award Agreement, (iii) circumstances explicitly provided under the terms of an employment or service agreement with a Participant.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7. RESTRICTED SHARES.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Restricted Share Award Agreement</w:t>
      </w:r>
      <w:r>
        <w:rPr>
          <w:rFonts w:ascii="Times New Roman;serif" w:hAnsi="Times New Roman;serif"/>
          <w:b w:val="false"/>
          <w:color w:val="000000"/>
          <w:sz w:val="20"/>
        </w:rPr>
        <w:t xml:space="preserve">.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Payment for Awards</w:t>
      </w:r>
      <w:r>
        <w:rPr>
          <w:rFonts w:ascii="Times New Roman;serif" w:hAnsi="Times New Roman;serif"/>
          <w:b w:val="false"/>
          <w:color w:val="000000"/>
          <w:sz w:val="20"/>
        </w:rPr>
        <w:t xml:space="preserve">. Restricted Shares may be sold or awarded under the Plan for such consideration as the Committee may determine, including (without limitation) cash, cash equivalents, full-recourse promissory notes, past services, and future services.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Vesting</w:t>
      </w:r>
      <w:r>
        <w:rPr>
          <w:rFonts w:ascii="Times New Roman;serif" w:hAnsi="Times New Roman;serif"/>
          <w:b w:val="false"/>
          <w:color w:val="000000"/>
          <w:sz w:val="20"/>
        </w:rPr>
        <w:t xml:space="preserve">.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Voting and Dividend Rights</w:t>
      </w:r>
      <w:r>
        <w:rPr>
          <w:rFonts w:ascii="Times New Roman;serif" w:hAnsi="Times New Roman;serif"/>
          <w:b w:val="false"/>
          <w:color w:val="000000"/>
          <w:sz w:val="20"/>
        </w:rPr>
        <w:t xml:space="preserve">. A holder of Restricted Shares awarded under the Plan shall have the same voting, dividend, and other rights as the Company’s other stockholders, except that in the case of any unvested Restricted Shares, any dividends and other distributions shall be paid or distributed to the holder in cash or, at the sole discretion of the Committee, in Shares having a Fair Market Value equal to the amount of such dividends or distributions,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to which the dividend was paid. Any entitlement to dividends and other distributions will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19555"/>
                <wp:effectExtent l="0" t="0" r="0" b="0"/>
                <wp:wrapNone/>
                <wp:docPr id="52" name="Frame52"/>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B-8</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 established and administered either consistent with an exemption from, or in compliance with, the applicable requirements of Section 409A to the extent applicable to the Participant.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Restrictions on Transfer of Shares</w:t>
      </w:r>
      <w:r>
        <w:rPr>
          <w:rFonts w:ascii="Times New Roman;serif" w:hAnsi="Times New Roman;serif"/>
          <w:b w:val="false"/>
          <w:color w:val="000000"/>
          <w:sz w:val="20"/>
        </w:rPr>
        <w:t xml:space="preserve">.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8. OPTIONS.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Option Award Agreement</w:t>
      </w:r>
      <w:r>
        <w:rPr>
          <w:rFonts w:ascii="Times New Roman;serif" w:hAnsi="Times New Roman;serif"/>
          <w:b w:val="false"/>
          <w:color w:val="000000"/>
          <w:sz w:val="20"/>
        </w:rPr>
        <w:t xml:space="preserve">.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All Options granted under the Plan shall be NSOs unless the applicable Award Agreement expressly states that the Option is intended to be an ISO. The provisions of the various Option Award Agreements entered into under the Plan need not be identical.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Number of Shares</w:t>
      </w:r>
      <w:r>
        <w:rPr>
          <w:rFonts w:ascii="Times New Roman;serif" w:hAnsi="Times New Roman;serif"/>
          <w:b w:val="false"/>
          <w:color w:val="000000"/>
          <w:sz w:val="20"/>
        </w:rPr>
        <w:t xml:space="preserve">. Each Option Award Agreement shall specify the number of Shares that are subject to the Option and shall provide for the adjustment of such number in accordance with Section 12.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Exercise Price</w:t>
      </w:r>
      <w:r>
        <w:rPr>
          <w:rFonts w:ascii="Times New Roman;serif" w:hAnsi="Times New Roman;serif"/>
          <w:b w:val="false"/>
          <w:color w:val="000000"/>
          <w:sz w:val="20"/>
        </w:rPr>
        <w:t xml:space="preserve">. Each Option Award Agreement shall specify the Exercise Price. Except as otherwise provided by the Committee in the case of Substitute Awards, the Exercise Price of an Option shall not be less than one hundred percent (100%) of the Fair Market Value of a Share on the Date of Grant (one hundred and ten percent (110%) for ISOs granted to Employees described in Section 4(b)), and the Exercise Price of an NSO shall not be less than one hundred percent (100%) of the Fair Market Value of a Share on the Date of Grant. Subject to the foregoing in this Section 8(c), the Exercise Price under any Option shall be determined by the Committee in its sole discretion. The Exercise Price shall be payable in one of the forms described in Section 8.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Exercisability and Term</w:t>
      </w:r>
      <w:r>
        <w:rPr>
          <w:rFonts w:ascii="Times New Roman;serif" w:hAnsi="Times New Roman;serif"/>
          <w:b w:val="false"/>
          <w:color w:val="000000"/>
          <w:sz w:val="20"/>
        </w:rPr>
        <w:t xml:space="preserve">. Each Option Award Agreement shall specify the date when all or any installment of the Option is to become exercisable. The Option Award Agreement shall also specify the term of the Option; provided that the term of an option shall in no event exceed ten (10) years from the Date of Grant (five (5)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8(d), the Committee in its sole discretion shall determine when all or any installment of an Option is to become exercisable and when an Option is to expire.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Exercise of Options</w:t>
      </w:r>
      <w:r>
        <w:rPr>
          <w:rFonts w:ascii="Times New Roman;serif" w:hAnsi="Times New Roman;serif"/>
          <w:b w:val="false"/>
          <w:color w:val="000000"/>
          <w:sz w:val="20"/>
        </w:rPr>
        <w:t xml:space="preserve">.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(f) </w:t>
      </w:r>
      <w:r>
        <w:rPr>
          <w:rFonts w:ascii="Times New Roman;serif" w:hAnsi="Times New Roman;serif"/>
          <w:b/>
          <w:color w:val="000000"/>
          <w:sz w:val="20"/>
        </w:rPr>
        <w:t>Withholding Taxes</w:t>
      </w:r>
      <w:r>
        <w:rPr>
          <w:rFonts w:ascii="Times New Roman;serif" w:hAnsi="Times New Roman;serif"/>
          <w:b w:val="false"/>
          <w:color w:val="000000"/>
          <w:sz w:val="20"/>
        </w:rPr>
        <w:t xml:space="preserve">. As a condition to the exercise of an Option, the Participant shall make such arrangements as 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(g) </w:t>
      </w:r>
      <w:r>
        <w:rPr>
          <w:rFonts w:ascii="Times New Roman;serif" w:hAnsi="Times New Roman;serif"/>
          <w:b/>
          <w:color w:val="000000"/>
          <w:sz w:val="20"/>
        </w:rPr>
        <w:t>No Rights as a Stockholder</w:t>
      </w:r>
      <w:r>
        <w:rPr>
          <w:rFonts w:ascii="Times New Roman;serif" w:hAnsi="Times New Roman;serif"/>
          <w:b w:val="false"/>
          <w:color w:val="000000"/>
          <w:sz w:val="20"/>
        </w:rPr>
        <w:t xml:space="preserve">. A Participant shall have no rights as a stockholder with respect to any Shares covered by an Option, including, without limitation, with respect to voting rights and dividends, until the date of the issuance of a stock certificate or other evidence of ownership for such Shares or until the Participant’s ownership of such Shares shall have been entered into the books of the registrar in the case of uncertificated stock. No adjustments shall be made, except as provided in Section 12.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(h) </w:t>
      </w:r>
      <w:r>
        <w:rPr>
          <w:rFonts w:ascii="Times New Roman;serif" w:hAnsi="Times New Roman;serif"/>
          <w:b/>
          <w:color w:val="000000"/>
          <w:sz w:val="20"/>
        </w:rPr>
        <w:t>Modification, Extension and Renewal of Options</w:t>
      </w:r>
      <w:r>
        <w:rPr>
          <w:rFonts w:ascii="Times New Roman;serif" w:hAnsi="Times New Roman;serif"/>
          <w:b w:val="false"/>
          <w:color w:val="000000"/>
          <w:sz w:val="20"/>
        </w:rPr>
        <w:t xml:space="preserve">.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19555"/>
                <wp:effectExtent l="0" t="0" r="0" b="0"/>
                <wp:wrapNone/>
                <wp:docPr id="53" name="Frame53"/>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provided however that other than in connection with an adjustment of Awards pursuant to Section 12, the Committee may not modify outstanding Options to reduce the Exercise Price nor may the Committee assume or accept the cancellation of outstanding Options in return for cash or the grant of new Awards when the Exercise Price is greater than the Fair Market Value of the Shares covered by such Options, unless such action has been approved by the Company’s stockholders. The foregoing notwithstanding, no modification of an Option shall, without the consent of the Participant, materially impair the Participant’s rights or obligations under such Option; provided, however, that an amendment or modification that may cause an ISO to become an NSO, and any amendment or modification that is required to comply with Section 409A or the rules applicable to ISOs, as determined in the sole discretion of the Committee, shall not be treated as materially impairing the rights or obligations of the Participant.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(i) </w:t>
      </w:r>
      <w:r>
        <w:rPr>
          <w:rFonts w:ascii="Times New Roman;serif" w:hAnsi="Times New Roman;serif"/>
          <w:b/>
          <w:color w:val="000000"/>
          <w:sz w:val="20"/>
        </w:rPr>
        <w:t>Exercise</w:t>
      </w:r>
      <w:r>
        <w:rPr>
          <w:rFonts w:ascii="Times New Roman;serif" w:hAnsi="Times New Roman;serif"/>
          <w:b w:val="false"/>
          <w:color w:val="000000"/>
          <w:sz w:val="20"/>
        </w:rPr>
        <w:t xml:space="preserve">. No Shares shall be delivered pursuant to any Option until the Option is exercised pursuant to the terms set forth in the Option Award Agreement and payment in full of the Exercise Price therefor is received by the Company and the Participant has paid to the Company (or such other member of the Company Group employing or engaging the Services of the Participant, as applicable) an amount equal to any federal, state, local and non-U.S. income and employment taxes required to be withheld.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(j) </w:t>
      </w:r>
      <w:r>
        <w:rPr>
          <w:rFonts w:ascii="Times New Roman;serif" w:hAnsi="Times New Roman;serif"/>
          <w:b/>
          <w:color w:val="000000"/>
          <w:sz w:val="20"/>
        </w:rPr>
        <w:t>Forms of Payment</w:t>
      </w:r>
      <w:r>
        <w:rPr>
          <w:rFonts w:ascii="Times New Roman;serif" w:hAnsi="Times New Roman;serif"/>
          <w:b w:val="false"/>
          <w:color w:val="000000"/>
          <w:sz w:val="20"/>
        </w:rPr>
        <w:t xml:space="preserve">. Unless otherwise provided in the Option Award Agreement, the Exercise Price of an Option shall be payable (i) in cash, check, cash equivalent and/or Mature Shares valued at the Fair Market Value at the time the Option is exercised (including, pursuant to procedures approved by the Committee, by means of attestation of ownership of a sufficient number of Shares in lieu of actual delivery of such Mature Shares to the Company; provided that the Participant shall not surrender, or attest to the ownership of, Shares in payment of the Exercise Price if such action would cause the Company to recognize compensation expense (or additional compensation expense) with respect to the Option for financial reporting purposes; (ii) by such other method as the Committee may permit in its sole discretion, including, without limitation: (A) in other property having a fair market value on the date of exercise equal to the Exercise Price or (B) if there is a public market for the Shares at such time, by means of a broker- assisted “cashless exercise” pursuant to which the Company is delivered a copy of irrevocable instructions to a stockbroker to sell the Shares otherwise deliverable upon the exercise of the Option and to deliver promptly to the Company an amount equal to the aggregate Exercise Price or (C) by a “net exercise” method whereby the Company withholds from the delivery of the Shares for which the Option was exercised that number of Shares having a Fair Market Value equal to the aggregate Exercise Price for the Shares for which the Option was exercised. Any fractional Shares shall be settled in cash. Notwithstanding anything herein or in an Option Award Agreement or Restricted Share Award Agreement to the contrary, payment may not be made in any form that is unlawful, as determined by the Committee in its sole discretion.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(k) </w:t>
      </w:r>
      <w:r>
        <w:rPr>
          <w:rFonts w:ascii="Times New Roman;serif" w:hAnsi="Times New Roman;serif"/>
          <w:b/>
          <w:color w:val="000000"/>
          <w:sz w:val="20"/>
        </w:rPr>
        <w:t>Notification upon Disqualifying Disposition</w:t>
      </w:r>
      <w:r>
        <w:rPr>
          <w:rFonts w:ascii="Times New Roman;serif" w:hAnsi="Times New Roman;serif"/>
          <w:b w:val="false"/>
          <w:color w:val="000000"/>
          <w:sz w:val="20"/>
        </w:rPr>
        <w:t xml:space="preserve">. Each Participant shall notify the Company in writing immediately after such Participant makes a disqualifying disposition of any Shares acquired pursuant to the exercise of an ISO under the Plan. A disqualifying disposition is any disposition (including, without limitation, any sale) of Shares issued upon exercise of an ISO before the later of (A) two (2) years after the Date of Grant of the ISO or (B) one (1) year after the date of exercise of the ISO. The Company may, if determined by the Committee and in accordance with procedures established by the Committee, retain possession of any Shares acquired pursuant to the exercise of an ISO as agent for the applicable Participant until the end of the period described in the preceding sentence.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(l) </w:t>
      </w:r>
      <w:r>
        <w:rPr>
          <w:rFonts w:ascii="Times New Roman;serif" w:hAnsi="Times New Roman;serif"/>
          <w:b/>
          <w:color w:val="000000"/>
          <w:sz w:val="20"/>
        </w:rPr>
        <w:t>Restrictions on Transfer of Shares</w:t>
      </w:r>
      <w:r>
        <w:rPr>
          <w:rFonts w:ascii="Times New Roman;serif" w:hAnsi="Times New Roman;serif"/>
          <w:b w:val="false"/>
          <w:color w:val="000000"/>
          <w:sz w:val="20"/>
        </w:rPr>
        <w:t xml:space="preserve">.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9. STOCK APPRECIATION RIGHTS.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SAR Award Agreement</w:t>
      </w:r>
      <w:r>
        <w:rPr>
          <w:rFonts w:ascii="Times New Roman;serif" w:hAnsi="Times New Roman;serif"/>
          <w:b w:val="false"/>
          <w:color w:val="000000"/>
          <w:sz w:val="20"/>
        </w:rPr>
        <w:t xml:space="preserve">.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Number of Shares</w:t>
      </w:r>
      <w:r>
        <w:rPr>
          <w:rFonts w:ascii="Times New Roman;serif" w:hAnsi="Times New Roman;serif"/>
          <w:b w:val="false"/>
          <w:color w:val="000000"/>
          <w:sz w:val="20"/>
        </w:rPr>
        <w:t xml:space="preserve">. Each SAR Award Agreement shall specify the number of Shares to which the SAR pertains and shall provide for the adjustment of such number in accordance with Section 12.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Exercise Price</w:t>
      </w:r>
      <w:r>
        <w:rPr>
          <w:rFonts w:ascii="Times New Roman;serif" w:hAnsi="Times New Roman;serif"/>
          <w:b w:val="false"/>
          <w:color w:val="000000"/>
          <w:sz w:val="20"/>
        </w:rPr>
        <w:t xml:space="preserve">. Each SAR Award Agreement shall specify the Exercise Price. Except as otherwise provided by the Committee in the case of Substitute Awards, the Exercise Price of a SAR shall not be less than one hundred percent (100%) of the Fair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19555"/>
                <wp:effectExtent l="0" t="0" r="0" b="0"/>
                <wp:wrapNone/>
                <wp:docPr id="54" name="Frame54"/>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B-10</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Value of a Share on the Date of Grant. Notwithstanding the foregoing, SARs may be granted with an Exercise Price of less than one hundred percent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Exercisability and Term</w:t>
      </w:r>
      <w:r>
        <w:rPr>
          <w:rFonts w:ascii="Times New Roman;serif" w:hAnsi="Times New Roman;serif"/>
          <w:b w:val="false"/>
          <w:color w:val="000000"/>
          <w:sz w:val="20"/>
        </w:rPr>
        <w:t xml:space="preserve">. Each SAR Award Agreement shall specify the date when all or any installment of the SAR is to become exercisable. The SAR Award Agreement shall also specify the term of the SAR provided that the term of the SAR shall in no event exceed ten (10) years from the Date of Grant. A SAR Award Agreement may provide for accelerated exercisability in the event of the Participant’s death, Disability, retirement, or other events and may provide for expiration prior to the end of its term in the event of the termination of the Participant’s Service. A SAR granted in connection with an Option shall become exercisable and shall expire according to the same vesting schedule and expiration provisions as the corresponding Option.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Exercise of SARs</w:t>
      </w:r>
      <w:r>
        <w:rPr>
          <w:rFonts w:ascii="Times New Roman;serif" w:hAnsi="Times New Roman;serif"/>
          <w:b w:val="false"/>
          <w:color w:val="000000"/>
          <w:sz w:val="20"/>
        </w:rPr>
        <w:t xml:space="preserve">. Upon exercise of a SAR, the Participant (or any person having the right to exercise the SAR after the Participant’s death) shall receive from the Company (i) Shares, (ii) cash or (iii) a combination of Shares and cash, as the Committee shall determine, less an amount the Committee may require for the satisfaction of any federal, state, local or foreign withholding tax obligations that may arise in connection with such exercise. The amount of cash and/or the Fair Market Value of Shares received upon exercise of SARs shall, in the aggregate, be equal to the amount by which the Fair Market Value (on the date of surrender) of the Shares subject to the SARs exceeds the Exercise Price. Notwithstanding the foregoing, if on the expiration date of the SAR, the Fair Market Value exceeds the Exercise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(f) </w:t>
      </w:r>
      <w:r>
        <w:rPr>
          <w:rFonts w:ascii="Times New Roman;serif" w:hAnsi="Times New Roman;serif"/>
          <w:b/>
          <w:color w:val="000000"/>
          <w:sz w:val="20"/>
        </w:rPr>
        <w:t>Modification, Extension or Assumption of SARs</w:t>
      </w:r>
      <w:r>
        <w:rPr>
          <w:rFonts w:ascii="Times New Roman;serif" w:hAnsi="Times New Roman;serif"/>
          <w:b w:val="false"/>
          <w:color w:val="000000"/>
          <w:sz w:val="20"/>
        </w:rPr>
        <w:t xml:space="preserv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provided however that other than in connection with an adjustment of Awards pursuant to Section 12, the Committee may not modify outstanding SARs to reduce the Exercise Price nor may the Committee assume or accept the cancellation of outstanding SARs in return for cash or the grant of new Awards when the Exercise Price is greater than the Fair Market Value of the Shares covered by such SARs, unless such action has been approved by the Company’s stockholders. The foregoing notwithstanding, no modification of a SAR shall, without the consent of the holder, materially impair the Participant’s rights or obligations under such SAR; provided, however, that an amendment or modification that is required to comply with Section 409A, as determined in the sole discretion of the Committee, shall not be treated as materially impairing the rights or obligations of the Participant.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10. RESTRICTED STOCK UNITS.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Restricted Stock Unit Award Agreement</w:t>
      </w:r>
      <w:r>
        <w:rPr>
          <w:rFonts w:ascii="Times New Roman;serif" w:hAnsi="Times New Roman;serif"/>
          <w:b w:val="false"/>
          <w:color w:val="000000"/>
          <w:sz w:val="20"/>
        </w:rPr>
        <w:t xml:space="preserve">. Each grant of Restricted Stock Units under the Plan shall be evidenced 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Payment for Awards</w:t>
      </w:r>
      <w:r>
        <w:rPr>
          <w:rFonts w:ascii="Times New Roman;serif" w:hAnsi="Times New Roman;serif"/>
          <w:b w:val="false"/>
          <w:color w:val="000000"/>
          <w:sz w:val="20"/>
        </w:rPr>
        <w:t xml:space="preserve">. To the extent that an Award is granted in the form of Restricted Stock Units, no cash consideration shall be required of the Award recipients.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Vesting Conditions and Term</w:t>
      </w:r>
      <w:r>
        <w:rPr>
          <w:rFonts w:ascii="Times New Roman;serif" w:hAnsi="Times New Roman;serif"/>
          <w:b w:val="false"/>
          <w:color w:val="000000"/>
          <w:sz w:val="20"/>
        </w:rPr>
        <w:t xml:space="preserve">. Each Award of Restricted Stock Units may or may not be subject to vesting. 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Voting and Dividend Rights</w:t>
      </w:r>
      <w:r>
        <w:rPr>
          <w:rFonts w:ascii="Times New Roman;serif" w:hAnsi="Times New Roman;serif"/>
          <w:b w:val="false"/>
          <w:color w:val="000000"/>
          <w:sz w:val="20"/>
        </w:rPr>
        <w:t xml:space="preserve">. The holders of Restricted Stock Units shall have no voting rights. Prior to settlement or forfeiture, any Restricted Stock Unit awarded under the Plan may, at the Committee’s discretion, carry with it a right to dividend equivalents. Such right, if awarded, entitles the holder to be credited with an amount equal to all dividends or other distributions paid on one Share while the Restricted Stock Unit is outstanding. Settlement of dividend equivalents may be made, at the sole discretion of the Committee, in the form of cash, Shares having a Fair Market Value equal to the amount of such dividends, or in a combination of both. Dividend equivalents may also be converted into additional Restricted Stock Units at the Committee’s discretion.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519555"/>
                <wp:effectExtent l="0" t="0" r="0" b="0"/>
                <wp:wrapNone/>
                <wp:docPr id="55" name="Frame55"/>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B-11</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 Any entitlement to dividend equivalents or similar entitlements will be established and administered either consistent with an exemption from, or in compliance with, the applicable requirements of Section 409A to the extent applicable to the Participant.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Form and Time of Settlement of Restricted Stock Units</w:t>
      </w:r>
      <w:r>
        <w:rPr>
          <w:rFonts w:ascii="Times New Roman;serif" w:hAnsi="Times New Roman;serif"/>
          <w:b w:val="false"/>
          <w:color w:val="000000"/>
          <w:sz w:val="20"/>
        </w:rPr>
        <w:t xml:space="preserve">. Settlement of vested Restricted Stock Units may be made in the form of (i) cash, (ii) Shares or (iii) any combination of both, as determined by the Committee. The actual number of Restricted Stock Units eligible for settlement may be larger or smaller than the number included in the original Award, based on predetermined performance factors. If a cash payment is made in lieu of delivering Shares in settlement of vested Restricted Stock Units, the amount of such payment shall be equal to the Fair Market Value of the Shares as of the date on which the Restricted Stock Units vest, less an amount equal to any federal, state, local and non-U.S. income and employment taxes required to be withheld.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to the extent applicable. Until an Award of Restricted Stock Units is settled, the number of such Restricted Stock Units shall be subject to adjustment pursuant to Section 12.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(f) </w:t>
      </w:r>
      <w:r>
        <w:rPr>
          <w:rFonts w:ascii="Times New Roman;serif" w:hAnsi="Times New Roman;serif"/>
          <w:b/>
          <w:color w:val="000000"/>
          <w:sz w:val="20"/>
        </w:rPr>
        <w:t>Creditors’ Rights</w:t>
      </w:r>
      <w:r>
        <w:rPr>
          <w:rFonts w:ascii="Times New Roman;serif" w:hAnsi="Times New Roman;serif"/>
          <w:b w:val="false"/>
          <w:color w:val="000000"/>
          <w:sz w:val="20"/>
        </w:rPr>
        <w:t xml:space="preserve">. A holder of Restricted Stock Units shall have no rights other than those of a general creditor of the Company. Restricted Stock Units represent an unfunded and unsecured obligation of the Company subject to the terms and conditions of the applicable Restricted Stock Unit Award Agreement.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11. CASH-BASED AWARDS AND STOCK BASED AWARDS.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Committee may, in its sole discretion, grant Cash-Based Awards and Other Stock-Based Awards to any Participant in such number or amount and upon such terms, and subject to such conditions, as the Committee shall determine at the time of grant and specify in an applicable Award Agreement. Each Other Stock-Based Award so granted shall be subject to such conditions not inconsistent with the Plan as may be reflected in the applicable Award Agreement. The Committee shall determine the maximum duration of the Cash-Based Award or Other Stock-Based Awards, the amount of cash which may be payable pursuant to the Cash-Based Award, the conditions upon which the Cash-Based Award or Other Stock-Based Awards shall become vested or payable, and such other provisions as the Committee shall determine. Each Cash-Based Award shall specify a cash-denominated payment amount, formula, or payment ranges as determined by the Committee. Payment, if any, with respect to a Cash-Based Award or Other Stock-Based Award shall be made in accordance with the terms of the Award and may be made in cash or in Shares, as the Committee determines.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12. ADJUSTMENT OF SHARES.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Adjustments</w:t>
      </w:r>
      <w:r>
        <w:rPr>
          <w:rFonts w:ascii="Times New Roman;serif" w:hAnsi="Times New Roman;serif"/>
          <w:b w:val="false"/>
          <w:color w:val="000000"/>
          <w:sz w:val="20"/>
        </w:rPr>
        <w:t xml:space="preserve">.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that affects the Shares, or unusual or nonrecurring events (including, without limitation, a Change in Control) affecting any member of the Company Group, or the financial statements of any member of the Company Group,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 (in each case without the Participant’s consent):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    Adjusting (1) the class(es) and number of securities available for future Awards and the limitations set forth under Section 5; (2) the class(es) and number of securities (or number and kind of other securities or other property) covered by each outstanding Award; (3) any performance requirements applicable to each outstanding Award; and (4) the Exercise Price under each outstanding Option and SAR; and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    Subject to any limitations or reductions as may be necessary to comply with Section 409A, cancelling any one or more outstanding Awards and causing to be paid to the holders thereof, in cash, Shares, other securities or other property, or any combination thereof, the value of such Awards, if any, as determined by the Committee (which if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519555"/>
                <wp:effectExtent l="0" t="0" r="0" b="0"/>
                <wp:wrapNone/>
                <wp:docPr id="56" name="Frame56"/>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B-12</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may be based upon the price per Share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subject to such Option or SAR over the aggregate Exercise Price of such Option or SAR (it being understood that, in such event, any Option or SAR having a per share Exercise Price equal to, or in excess of, the Fair Market Value of a Share subject thereto may be canceled and terminated without any payment or consideration therefor) or, in the case of Restricted Stock, Restricted Stock Units or Other Stock-Based Awards that are not vested as of such cancellation, a cash payment or equity subject to deferred vesting and delivery consistent with the vesting restrictions applicable to such Restricted Stock, Restricted Stock Units or Other Stock-Based Awards prior to cancellation, or the underlying shares in respect thereof; </w:t>
      </w:r>
    </w:p>
    <w:p>
      <w:pPr>
        <w:pStyle w:val="TextBody"/>
        <w:bidi w:val="0"/>
        <w:spacing w:lineRule="auto" w:line="288" w:before="240" w:after="283"/>
        <w:jc w:val="both"/>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in the case of any “equity restructuring” (within the meaning of the Financial Accounting Standards Board Statement of Financial Accounting Standards No. 123 (revised 2004)), the Committee shall make an equitable or proportionate adjustment to outstanding Awards to reflect such equity restructuring. Any adjustment in ISOs under this Section 12 (other than any cancellation of ISOs)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to the extent applicable. The Company shall give each Participant notice of an adjustment hereunder and, upon notice, such adjustment shall be conclusive and binding for all purposes.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any payment or adjustment contemplated under this Section 12, the Committee may require a Participant to (x) represent and warrant as to the unencumbered title to the Participant’s Awards, (y)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(z) deliver customary transfer documentation as reasonably determined by the Committee.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acceleration of payment of an amount that is subject to Section 409A will be delayed, if necessary, until the earliest time that such payment would be permissible under Section 409A without triggering any additional taxes applicable under Section 409A. Any actions hereunder will comply with, or be exempt from, Section 409A to the extent determined by the Committee to be reasonably practicable. The Company will have no obligation to treat all Awards, all Awards held by a Participant, or all Awards of the same type, similarly.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0"/>
        </w:rPr>
        <w:t xml:space="preserve">(b) </w:t>
      </w:r>
      <w:r>
        <w:rPr>
          <w:rFonts w:ascii="Times New Roman;serif" w:hAnsi="Times New Roman;serif"/>
          <w:b/>
          <w:color w:val="000000"/>
          <w:sz w:val="20"/>
        </w:rPr>
        <w:t>Dissolution or Liquidation</w:t>
      </w:r>
      <w:r>
        <w:rPr>
          <w:rFonts w:ascii="Times New Roman;serif" w:hAnsi="Times New Roman;serif"/>
          <w:b w:val="false"/>
          <w:color w:val="000000"/>
          <w:sz w:val="20"/>
        </w:rPr>
        <w:t xml:space="preserve">. To the extent not previously exercised or settled, Options, SARs, and Restricted Stock Units shall terminate immediately prior to the dissolution or liquidation of the Company.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 xml:space="preserve">(c) </w:t>
      </w:r>
      <w:r>
        <w:rPr>
          <w:rFonts w:ascii="Times New Roman;serif" w:hAnsi="Times New Roman;serif"/>
          <w:b/>
          <w:color w:val="000000"/>
          <w:sz w:val="20"/>
        </w:rPr>
        <w:t>Effect of Change in Control</w:t>
      </w:r>
      <w:r>
        <w:rPr>
          <w:rFonts w:ascii="Times New Roman;serif" w:hAnsi="Times New Roman;serif"/>
          <w:b w:val="false"/>
          <w:color w:val="000000"/>
          <w:sz w:val="20"/>
        </w:rPr>
        <w:t xml:space="preserve">. Except to the extent otherwise provided in an Award Agreement, in the event of a Change in Control, notwithstanding any provision of the Plan to the contrary, the Committee shall take the following actions with respect to all outstanding Awards: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    Options and SARs shall become exercisable immediately prior to the Change in Control;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    Awards of Restricted Stock, Restricted Stock Units, Other Stock-Based Awards and Cash-Based Awards shall become fully vested immediately prior to the Change in Control;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(iii)    Any performance criteria applicable to an Award will be deemed satisfied at (A) for stock price goals, the actual level of performance and (B) for all other performance goals, the target level of performance; and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(iv)    Awards previously deferred shall be settled in full as soon as practicable, to the extent permitted under Section 409A.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practicable, any actions taken by the Committee under the immediately preceding clauses (a) through (c) shall occur in a manner and at a time which allows affected Participants the ability to participate in the Change in Control transactions with respect to the Shares subject to their Awards.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 xml:space="preserve">(d) </w:t>
      </w:r>
      <w:r>
        <w:rPr>
          <w:rFonts w:ascii="Times New Roman;serif" w:hAnsi="Times New Roman;serif"/>
          <w:b/>
          <w:color w:val="000000"/>
          <w:sz w:val="20"/>
        </w:rPr>
        <w:t>Reservation of Rights</w:t>
      </w:r>
      <w:r>
        <w:rPr>
          <w:rFonts w:ascii="Times New Roman;serif" w:hAnsi="Times New Roman;serif"/>
          <w:b w:val="false"/>
          <w:color w:val="000000"/>
          <w:sz w:val="20"/>
        </w:rPr>
        <w:t xml:space="preserve">. Except as provided in this Section 12,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519555"/>
                <wp:effectExtent l="0" t="0" r="0" b="0"/>
                <wp:wrapNone/>
                <wp:docPr id="57" name="Frame57"/>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potential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13. DEFERRAL OF AWARDS. </w:t>
      </w:r>
    </w:p>
    <w:p>
      <w:pPr>
        <w:pStyle w:val="TextBody"/>
        <w:bidi w:val="0"/>
        <w:spacing w:lineRule="auto" w:line="288" w:before="120" w:after="283"/>
        <w:ind w:left="0" w:right="0" w:firstLine="490"/>
        <w:jc w:val="both"/>
        <w:rPr/>
      </w:pPr>
      <w:r>
        <w:rPr>
          <w:rFonts w:ascii="Times New Roman;serif" w:hAnsi="Times New Roman;serif"/>
          <w:b w:val="false"/>
          <w:color w:val="000000"/>
          <w:sz w:val="20"/>
        </w:rPr>
        <w:t xml:space="preserve">(a) </w:t>
      </w:r>
      <w:r>
        <w:rPr>
          <w:rFonts w:ascii="Times New Roman;serif" w:hAnsi="Times New Roman;serif"/>
          <w:b/>
          <w:color w:val="000000"/>
          <w:sz w:val="20"/>
        </w:rPr>
        <w:t>Committee Powers</w:t>
      </w:r>
      <w:r>
        <w:rPr>
          <w:rFonts w:ascii="Times New Roman;serif" w:hAnsi="Times New Roman;serif"/>
          <w:b w:val="false"/>
          <w:color w:val="000000"/>
          <w:sz w:val="20"/>
        </w:rPr>
        <w:t xml:space="preserve">. Subject to compliance with Section 409A, the Committee (in its sole discretion) may permit or require a Participant to: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    Have cash that otherwise would be paid to such Participant as a result of the exercise of a SAR or the settlement of Restricted Stock Units credited to a deferred compensation account established for such Participant by the Committee as an entry on the Company’s books;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    Have Shares that otherwise would be delivered to such Participant as a result of the exercise of an Option or SAR converted into an equal number of Restricted Stock Units; or </w:t>
      </w:r>
    </w:p>
    <w:p>
      <w:pPr>
        <w:pStyle w:val="TextBody"/>
        <w:bidi w:val="0"/>
        <w:spacing w:lineRule="auto" w:line="288" w:before="12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(iii)    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Such amounts shall be determined by reference to the Fair Market Value of such Shares as of the date when they otherwise would have been delivered to such Participant.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General Rules</w:t>
      </w:r>
      <w:r>
        <w:rPr>
          <w:rFonts w:ascii="Times New Roman;serif" w:hAnsi="Times New Roman;serif"/>
          <w:b w:val="false"/>
          <w:color w:val="000000"/>
          <w:sz w:val="20"/>
        </w:rPr>
        <w:t xml:space="preserve">.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14. AWARDS UNDER OTHER PLANS.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15. PAYMENT OF DIRECTOR FEES IN SECURITIES.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in its discretion, may permit each Non-Employee Director to elect to receive his or her annual cash retainer payments and/or meeting fees from the Company in the form of NSOs, SARs, Restricted Shares, Restricted Stock Units, or a combination thereof. In addition, the Board may mandate payment in any of such alternative forms. Such NSOs, SARs, Restricted Shares, and Restricted Stock Units shall be issued under the Plan. An election under this Section 15 shall be filed with the Company on the prescribed form. The number of NSOs, SARs, Restricted Shares, or Restricted Stock Units to be granted to a Non-Employee Director in lieu of annual retainers and meeting fees that would otherwise be paid in cash shall be calculated in a manner determined by the Board. The terms of such NSOs, SARs, Restricted Shares, or Restricted Stock Units shall also be determined by the Board. No provision of this Section 15 shall be effective unless and until the Board has determined to implement such provision.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16. LEGAL AND REGULATORY REQUIREMENTS.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Shares shall not be issued under the Plan unless the issuance and delivery of such Shares complies with (or is exempt from) all applicable requirements of law, including (without limitation) the Securities Act, United States state securities laws and regulations, the regulations of any stock exchange on which the Company’s securities may then be listed and any foreign securities,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519555"/>
                <wp:effectExtent l="0" t="0" r="0" b="0"/>
                <wp:wrapNone/>
                <wp:docPr id="58" name="Frame58"/>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control or other applicable laws,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17. TAXES.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Tax Withholding</w:t>
      </w:r>
      <w:r>
        <w:rPr>
          <w:rFonts w:ascii="Times New Roman;serif" w:hAnsi="Times New Roman;serif"/>
          <w:b w:val="false"/>
          <w:color w:val="000000"/>
          <w:sz w:val="20"/>
        </w:rPr>
        <w:t xml:space="preserve">. A Participant shall be required to pay to any member of the Company Group, and any member of the Company Group shall have the right and is hereby authorized to withhold, from any cash, Shares, other securities or other property deliverable under any Award or from any compensation or other amounts owing to a Participant, the amount (in cash, Shares, other securities or other property) of any required withholding or any other applicable taxes in respect of an Award, its exercise, or any payment or transfer under an Award or under the Plan and to take such other action as may be necessary in the opinion of the Committee or the Company to satisfy all obligations for the payment of such withholding and taxes. Without limiting the generality of the foregoing, the Committee may, in its sole discretion, permit a Participant to satisfy, in whole or in part, the foregoing withholding liability by (A) the delivery of Mature Shares owned by the Participant having a Fair Market Value equal to such withholding liability or (B) having the Company withhold from the number of Shares otherwise issuable or deliverable pursuant to the exercise or settlement of the Award, a number of Shares with a Fair Market Value equal to such withholding liability; provided, that, with respect to Shares withheld pursuant to clause (B), the number of such Shares may not have a Fair Market Value greater than the maximum required statutory withholding liability. The Company shall not be required to issue any Shares or make any cash payment under the Plan until such obligations are satisfied.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Section 409A</w:t>
      </w:r>
      <w:r>
        <w:rPr>
          <w:rFonts w:ascii="Times New Roman;serif" w:hAnsi="Times New Roman;serif"/>
          <w:b w:val="false"/>
          <w:color w:val="000000"/>
          <w:sz w:val="20"/>
        </w:rPr>
        <w:t xml:space="preserve">.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(6)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18. NONTRANSFERABILITY; BENEFICIARIES.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(a)</w:t>
      </w:r>
      <w:r>
        <w:rPr>
          <w:rFonts w:ascii="Times New Roman;serif" w:hAnsi="Times New Roman;serif"/>
          <w:b/>
          <w:color w:val="000000"/>
          <w:sz w:val="20"/>
        </w:rPr>
        <w:t>Nontransferability of Awards</w:t>
      </w:r>
      <w:r>
        <w:rPr>
          <w:rFonts w:ascii="Times New Roman;serif" w:hAnsi="Times New Roman;serif"/>
          <w:b w:val="false"/>
          <w:color w:val="000000"/>
          <w:sz w:val="20"/>
        </w:rPr>
        <w:t xml:space="preserve">. Each Award shall be exercisable only by the Participant granted the Award during such Participant’s lifetime, or, if permissible under applicable law, by such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any member of the Company Group; provided, that, the designation of a beneficiary shall not constitute an assignment, alienation, pledge, attachment, sale, transfer or encumbrance. </w:t>
      </w:r>
    </w:p>
    <w:p>
      <w:pPr>
        <w:pStyle w:val="TextBody"/>
        <w:bidi w:val="0"/>
        <w:spacing w:lineRule="auto" w:line="288" w:before="120" w:after="283"/>
        <w:ind w:left="0" w:right="0" w:hanging="490"/>
        <w:jc w:val="left"/>
        <w:rPr/>
      </w:pPr>
      <w:r>
        <w:rPr>
          <w:rFonts w:ascii="Times New Roman;serif" w:hAnsi="Times New Roman;serif"/>
          <w:b w:val="false"/>
          <w:color w:val="000000"/>
          <w:sz w:val="20"/>
        </w:rPr>
        <w:t>(i)    Notwithstanding the foregoing, the Committee may, in its sole discretion, permit Awards (other than ISOs)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serif" w:hAnsi="Times New Roman;serif"/>
          <w:b/>
          <w:color w:val="000000"/>
          <w:sz w:val="20"/>
        </w:rPr>
        <w:t>Immediate Family Members</w:t>
      </w:r>
      <w:r>
        <w:rPr>
          <w:color w:val="000000"/>
        </w:rPr>
        <w:t>”</w:t>
      </w:r>
      <w:r>
        <w:rPr>
          <w:rFonts w:ascii="Times New Roman;serif" w:hAnsi="Times New Roman;serif"/>
          <w:b w:val="false"/>
          <w:color w:val="000000"/>
          <w:sz w:val="20"/>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(1) by the Committee in its sole discretion, or (2) as provided in the applicable Award Agreement (each transferee described in clauses (A), (B) (C) and (D) above is hereinafter referred to as a “</w:t>
      </w:r>
      <w:r>
        <w:rPr>
          <w:rFonts w:ascii="Times New Roman;serif" w:hAnsi="Times New Roman;serif"/>
          <w:b/>
          <w:color w:val="000000"/>
          <w:sz w:val="20"/>
        </w:rPr>
        <w:t>Permitted Transferee</w:t>
      </w:r>
      <w:r>
        <w:rPr>
          <w:color w:val="000000"/>
        </w:rPr>
        <w:t>”</w:t>
      </w:r>
      <w:r>
        <w:rPr>
          <w:rFonts w:ascii="Times New Roman;serif" w:hAnsi="Times New Roman;serif"/>
          <w:b w:val="false"/>
          <w:color w:val="000000"/>
          <w:sz w:val="20"/>
        </w:rPr>
        <w:t xml:space="preserve">); provided, that, the Participant gives the Committee advance written notice describing the terms and conditions of the proposed transfer and the Committee notifies the Participant in writing that such a transfer would comply with the requirements of the Plan. </w:t>
      </w:r>
    </w:p>
    <w:p>
      <w:pPr>
        <w:pStyle w:val="TextBody"/>
        <w:bidi w:val="0"/>
        <w:spacing w:lineRule="auto" w:line="288" w:before="90" w:after="283"/>
        <w:jc w:val="left"/>
        <w:rPr>
          <w:color w:val="000000"/>
        </w:rPr>
      </w:pPr>
      <w:r>
        <w:rPr>
          <w:color w:val="000000"/>
        </w:rPr>
        <w:t> </w:t>
      </w:r>
    </w:p>
    <w:p>
      <w:pPr>
        <w:pStyle w:val="TextBody"/>
        <w:bidi w:val="0"/>
        <w:spacing w:lineRule="auto" w:line="288"/>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(ii)    The terms of any Award transferred in accordance with the immediately preceding sentence shall apply to the Permitted Transferee and any reference in the Plan, or in any applicable Award Agreement, to a Participant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519555"/>
                <wp:effectExtent l="0" t="0" r="0" b="0"/>
                <wp:wrapNone/>
                <wp:docPr id="59" name="Frame59"/>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any member of the Company Group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Designation and Change of Beneficiaries</w:t>
      </w:r>
      <w:r>
        <w:rPr>
          <w:rFonts w:ascii="Times New Roman;serif" w:hAnsi="Times New Roman;serif"/>
          <w:b w:val="false"/>
          <w:color w:val="000000"/>
          <w:sz w:val="20"/>
        </w:rPr>
        <w:t xml:space="preserve">. Each Participant may file with the Committee a written designation of one or more persons as the beneficiary(ies) who shall be entitled to receive the amounts payable with respect to an Award, if any, due under the Plan upon his or her death. A Participant may, from time to time, revoke or change his or her beneficiary designation without the consent of any prior beneficiary by filing a new designation with the Committee. The last such designation received by the Committee shall be controlling; provided, however,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their estate.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19. PERFORMANCE BASED AWARDS.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or other benefits granted, issued, retained, and/or vested under an Award may be made subject to the attainment of performance goals. The Committee may utilize any performance criteria selected by it in its sole discretion to establish performance goals.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SECTION 20. RECOUPMENT; DETRIMENTAL ACTIVITY.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Recoupment</w:t>
      </w:r>
      <w:r>
        <w:rPr>
          <w:rFonts w:ascii="Times New Roman;serif" w:hAnsi="Times New Roman;serif"/>
          <w:b w:val="false"/>
          <w:color w:val="000000"/>
          <w:sz w:val="20"/>
        </w:rPr>
        <w:t xml:space="preserve">. All Awards shall be subject to reduction, cancellation, forfeiture or recoupment to the extent necessary to comply with (1) the Universal Electronics Inc. Compensation Recoupment Policy, effective November 2023 (as may be amended from time to time), and any other clawback, forfeiture or other similar policy adopted by the Board or the Committee and as in effect from time to time, and (2) applicable law, whether such policy or law becomes effective prior to or following the Effective Date or the Date of Grant of an Award. Furthermore,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 No recovery of compensation under any clawback policy or this Section 20 will constitute an event giving rise to a Participant’s right to resign for “good reason” or “constructive termination” (or similar term) under any agreement with the Company or any of its Subsidiaries or Affiliates. </w:t>
      </w:r>
    </w:p>
    <w:p>
      <w:pPr>
        <w:pStyle w:val="TextBody"/>
        <w:bidi w:val="0"/>
        <w:spacing w:lineRule="auto" w:line="288" w:before="1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Detrimental Activity</w:t>
      </w:r>
      <w:r>
        <w:rPr>
          <w:rFonts w:ascii="Times New Roman;serif" w:hAnsi="Times New Roman;serif"/>
          <w:b w:val="false"/>
          <w:color w:val="000000"/>
          <w:sz w:val="20"/>
        </w:rPr>
        <w:t xml:space="preserve">. Notwithstanding anything to the contrary contained herein or in any Award Agreement, subject to compliance with applicable law, if a Participant has engaged in any Detrimental Activity, as determined by the Committee, the Committee may, in its sole discretion, provide for (1) cancellation of any or all of such Participant’s outstanding Awards, and/or (2) forfeiture by the Participant of any gain realized on the vesting or exercise of Awards, and to repay any such gain to promptly to the Company.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SECTION 21. NO EMPLOYMENT RIGHTS; NO CLAIM TO AWARDS.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No Employment Rights</w:t>
      </w:r>
      <w:r>
        <w:rPr>
          <w:rFonts w:ascii="Times New Roman;serif" w:hAnsi="Times New Roman;serif"/>
          <w:b w:val="false"/>
          <w:color w:val="000000"/>
          <w:sz w:val="20"/>
        </w:rPr>
        <w:t xml:space="preserve">. Neither the Plan nor any action taken hereunder shall be construed as giving any Participant any right to be retained by or to remain in Service with any member of the Company Group, nor shall it be construed as giving any Participant any rights to continued service on the Board. Any member of the Company Group may at any time dismiss a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519555"/>
                <wp:effectExtent l="0" t="0" r="0" b="0"/>
                <wp:wrapNone/>
                <wp:docPr id="60" name="Frame60"/>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B-16</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employment or discontinue any consulting relationship, free from any liability or any claim under the Plan, unless otherwise expressly provided in the Plan or any Award Agreement. </w:t>
      </w:r>
    </w:p>
    <w:p>
      <w:pPr>
        <w:pStyle w:val="TextBody"/>
        <w:bidi w:val="0"/>
        <w:spacing w:lineRule="auto" w:line="288" w:before="1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No Claim to Awards</w:t>
      </w:r>
      <w:r>
        <w:rPr>
          <w:rFonts w:ascii="Times New Roman;serif" w:hAnsi="Times New Roman;serif"/>
          <w:b w:val="false"/>
          <w:color w:val="000000"/>
          <w:sz w:val="20"/>
        </w:rPr>
        <w:t xml:space="preserve">. No Employee, Consultant, Non-Employee Director or any other person shall have any claim or right to be granted an Award under the Plan or, having been selected for the grant of an Award, to be selected for a grant of any other Award. </w:t>
      </w:r>
    </w:p>
    <w:p>
      <w:pPr>
        <w:pStyle w:val="TextBody"/>
        <w:bidi w:val="0"/>
        <w:spacing w:lineRule="auto" w:line="288" w:before="1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No Requirement of Uniformity</w:t>
      </w:r>
      <w:r>
        <w:rPr>
          <w:rFonts w:ascii="Times New Roman;serif" w:hAnsi="Times New Roman;serif"/>
          <w:b w:val="false"/>
          <w:color w:val="000000"/>
          <w:sz w:val="20"/>
        </w:rPr>
        <w:t xml:space="preserve">.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SECTION 22. DURATION AND AMENDMENTS.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Term of the Plan</w:t>
      </w:r>
      <w:r>
        <w:rPr>
          <w:rFonts w:ascii="Times New Roman;serif" w:hAnsi="Times New Roman;serif"/>
          <w:b w:val="false"/>
          <w:color w:val="000000"/>
          <w:sz w:val="20"/>
        </w:rPr>
        <w:t>. The Plan was initially adopted by the Board of Directors on April 24, 2018 and approved by the stockholders of the Company on June 4, 2018 (the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and was most recently amended and restated by the Board of Directors on March 26, 2026 and approved by the stockholders of the Company on May 19, 2026 (the “</w:t>
      </w:r>
      <w:r>
        <w:rPr>
          <w:rFonts w:ascii="Times New Roman;serif" w:hAnsi="Times New Roman;serif"/>
          <w:b/>
          <w:color w:val="000000"/>
          <w:sz w:val="20"/>
        </w:rPr>
        <w:t>Restatement Effective Date</w:t>
      </w:r>
      <w:r>
        <w:rPr>
          <w:color w:val="000000"/>
        </w:rPr>
        <w:t>”</w:t>
      </w:r>
      <w:r>
        <w:rPr>
          <w:rFonts w:ascii="Times New Roman;serif" w:hAnsi="Times New Roman;serif"/>
          <w:b w:val="false"/>
          <w:color w:val="000000"/>
          <w:sz w:val="20"/>
        </w:rPr>
        <w:t xml:space="preserve">). The Plan shall terminate at the earliest of (a) termination of the Plan by the Board, or (b) ten (10) years following the Restatement Effective Date. No ISOs may be granted after the tenth anniversary of the Restatement Effective Date. </w:t>
      </w:r>
    </w:p>
    <w:p>
      <w:pPr>
        <w:pStyle w:val="TextBody"/>
        <w:bidi w:val="0"/>
        <w:spacing w:lineRule="auto" w:line="288" w:before="1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Right to Amend the Plan</w:t>
      </w:r>
      <w:r>
        <w:rPr>
          <w:rFonts w:ascii="Times New Roman;serif" w:hAnsi="Times New Roman;serif"/>
          <w:b w:val="false"/>
          <w:color w:val="000000"/>
          <w:sz w:val="20"/>
        </w:rPr>
        <w:t xml:space="preserve">. The Board may amend the Plan at any time and from time to time. Rights and obligations under any Award granted before amendment of the Plan shall not be materially impaired by such amendment except with consent of the Participant; provided, however, that an amendment or modification that is required to comply with Section 409A, as determined in the sole discretion of the Committee, shall not be treated as materially impairing the rights or obligations of the Participant. An amendment of the Plan shall be subject to the approval of the Company’s stockholders only to the extent required by applicable laws, regulations or rules.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Effect of Termination of the Plan</w:t>
      </w:r>
      <w:r>
        <w:rPr>
          <w:rFonts w:ascii="Times New Roman;serif" w:hAnsi="Times New Roman;serif"/>
          <w:b w:val="false"/>
          <w:color w:val="000000"/>
          <w:sz w:val="20"/>
        </w:rPr>
        <w:t xml:space="preserve">. No Awards shall be granted under the Plan after the termination thereof. The termination of the Plan shall not affect Awards previously granted under the Plan.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Amendment of Award Agreements</w:t>
      </w:r>
      <w:r>
        <w:rPr>
          <w:rFonts w:ascii="Times New Roman;serif" w:hAnsi="Times New Roman;serif"/>
          <w:b w:val="false"/>
          <w:color w:val="000000"/>
          <w:sz w:val="20"/>
        </w:rPr>
        <w:t xml:space="preserve">. 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provided, further, that without stockholder approval to the extent required by the rules of any applicable national securities exchange or inter-dealer quotation system on which the Shares are listed or quoted, except as otherwise permitted under Section 12, (i) no amendment or modification may reduce the Exercise Price of any Option or any SAR, (ii) the Committee may not cancel any outstanding Option or SAR when the Exercise Price is greater than the Fair Market Value of the Shares covered by such Options and replace it with a new Option or SAR, another Award or cash and (iii) the Committee may not take any other action that is considered a “repricing” for purposes of the stockholder approval rules of the applicable securities exchange or inter-dealer quotation system.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23. AWARDS TO PARTICIPANTS OUTSIDE THE UNITED STATES.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provision of the Plan to the contrary, to comply with the laws in countries outside the United States in which the Company and its Subsidiaries and Affiliates operate or in which Participants work or reside, the Committee, in its sole discretion, will have the power and authority to: (a) determine which Participants outside the United States will be eligible to participate in the Plan; (b) modify the terms and conditions of any Award granted to Participants outside the United States; (c) establish sub-plans and modify exercise procedures and other terms and procedures and rules, to the extent such actions may be necessary or advisable, including adoption of rules, procedures or sub-plans applicable to particular Subsidiaries and Affiliates or Participants in particular locations; provided that no such sub-plans and/or modifications shall take precedence over Section 3 of the Plan or otherwise require stockholder approval; (d) take any action, before or after an Award is granted, that it deems advisable to obtain approval or to facilitate compliance with any necessary local governmental regulatory exemptions or approvals and (e) impose conditions on the exercise, vesting, or settlement of Awards in order to minimize the Company’s obligation with respect to tax equalization for Participants on assignments outside their home country. Without limiting the generality of the foregoing, the Committee is specifically authorized to adopt rules, procedures and sub-plans with provisions that limit or modify rights on eligibility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519555"/>
                <wp:effectExtent l="0" t="0" r="0" b="0"/>
                <wp:wrapNone/>
                <wp:docPr id="61" name="Frame61"/>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B-17</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receive an Award under the Plan or on death, Disability, retirement or other termination of employment, available methods of exercise or settlement of an Award, payment of income tax, social insurance contributions and payroll taxes, the shifting of employer tax or social insurance contribution liability to a Participant, the withholding procedures and handling of any Stock certificates or other indicia of ownership.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SECTION 24. MISCELLANEOUS. </w:t>
      </w:r>
    </w:p>
    <w:p>
      <w:pPr>
        <w:pStyle w:val="TextBody"/>
        <w:bidi w:val="0"/>
        <w:spacing w:lineRule="auto" w:line="288" w:before="120" w:after="283"/>
        <w:ind w:left="0" w:right="0" w:firstLine="490"/>
        <w:jc w:val="left"/>
        <w:rPr/>
      </w:pPr>
      <w:r>
        <w:rPr>
          <w:rFonts w:ascii="Times New Roman;serif" w:hAnsi="Times New Roman;serif"/>
          <w:b w:val="false"/>
          <w:color w:val="000000"/>
          <w:sz w:val="20"/>
        </w:rPr>
        <w:t xml:space="preserve">(a) </w:t>
      </w:r>
      <w:r>
        <w:rPr>
          <w:rFonts w:ascii="Times New Roman;serif" w:hAnsi="Times New Roman;serif"/>
          <w:b/>
          <w:color w:val="000000"/>
          <w:sz w:val="20"/>
        </w:rPr>
        <w:t>Payment</w:t>
      </w:r>
      <w:r>
        <w:rPr>
          <w:rFonts w:ascii="Times New Roman;serif" w:hAnsi="Times New Roman;serif"/>
          <w:b w:val="false"/>
          <w:color w:val="000000"/>
          <w:sz w:val="20"/>
        </w:rPr>
        <w:t xml:space="preserve">. No Shares shall be delivered pursuant to any Award until payment in full of the Exercise Price therefor is received by the Company and the Participant has paid to the Company (or such other member of the Company Group employing or engaging the Services of the Participant, as applicable) an amount equal to any federal, state, local and non-U.S. income and employment taxes required to be withheld..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(b) </w:t>
      </w:r>
      <w:r>
        <w:rPr>
          <w:rFonts w:ascii="Times New Roman;serif" w:hAnsi="Times New Roman;serif"/>
          <w:b/>
          <w:color w:val="000000"/>
          <w:sz w:val="20"/>
        </w:rPr>
        <w:t>Governing Law</w:t>
      </w:r>
      <w:r>
        <w:rPr>
          <w:rFonts w:ascii="Times New Roman;serif" w:hAnsi="Times New Roman;serif"/>
          <w:b w:val="false"/>
          <w:color w:val="000000"/>
          <w:sz w:val="20"/>
        </w:rPr>
        <w:t xml:space="preserve">. The Plan and each Award Agreement and all disputes or controversies arising out of or relating thereto shall be governed by, and construed in accordance with, the internal laws of the State of Delaware, without application of the conflicts of law principles thereof.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firstLine="490"/>
        <w:jc w:val="left"/>
        <w:rPr/>
      </w:pPr>
      <w:r>
        <w:rPr>
          <w:rFonts w:ascii="Times New Roman;serif" w:hAnsi="Times New Roman;serif"/>
          <w:b w:val="false"/>
          <w:color w:val="000000"/>
          <w:sz w:val="20"/>
        </w:rPr>
        <w:t xml:space="preserve">(c) </w:t>
      </w:r>
      <w:r>
        <w:rPr>
          <w:rFonts w:ascii="Times New Roman;serif" w:hAnsi="Times New Roman;serif"/>
          <w:b/>
          <w:color w:val="000000"/>
          <w:sz w:val="20"/>
        </w:rPr>
        <w:t>Successors and Assigns</w:t>
      </w:r>
      <w:r>
        <w:rPr>
          <w:rFonts w:ascii="Times New Roman;serif" w:hAnsi="Times New Roman;serif"/>
          <w:b w:val="false"/>
          <w:color w:val="000000"/>
          <w:sz w:val="20"/>
        </w:rPr>
        <w:t xml:space="preserve">. The terms of the Plan shall be binding upon and inure to the benefit of the Company and any successor entity, including any successor entity contemplated by Section 12(c).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(d) </w:t>
      </w:r>
      <w:r>
        <w:rPr>
          <w:rFonts w:ascii="Times New Roman;serif" w:hAnsi="Times New Roman;serif"/>
          <w:b/>
          <w:color w:val="000000"/>
          <w:sz w:val="20"/>
        </w:rPr>
        <w:t>Other Agreements</w:t>
      </w:r>
      <w:r>
        <w:rPr>
          <w:rFonts w:ascii="Times New Roman;serif" w:hAnsi="Times New Roman;serif"/>
          <w:b w:val="false"/>
          <w:color w:val="000000"/>
          <w:sz w:val="20"/>
        </w:rPr>
        <w:t xml:space="preserve">. Notwithstanding the above, the Committee may require, as a condition to the grant of and/or the receipt of Shares under an Award, that the Participant execute lock-up, stockholder or other agreements, as it may determine in its sole and absolute discretion.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(e) </w:t>
      </w:r>
      <w:r>
        <w:rPr>
          <w:rFonts w:ascii="Times New Roman;serif" w:hAnsi="Times New Roman;serif"/>
          <w:b/>
          <w:color w:val="000000"/>
          <w:sz w:val="20"/>
        </w:rPr>
        <w:t>Relationship to Other Benefits</w:t>
      </w:r>
      <w:r>
        <w:rPr>
          <w:rFonts w:ascii="Times New Roman;serif" w:hAnsi="Times New Roman;serif"/>
          <w:b w:val="false"/>
          <w:color w:val="000000"/>
          <w:sz w:val="20"/>
        </w:rPr>
        <w:t xml:space="preserve">. No payment under the Plan shall be taken into account in determining any benefits under any pension, retirement, profit sharing, group insurance or other benefit plan of the Company except as otherwise specifically provided in such other plan.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(f) </w:t>
      </w:r>
      <w:r>
        <w:rPr>
          <w:rFonts w:ascii="Times New Roman;serif" w:hAnsi="Times New Roman;serif"/>
          <w:b/>
          <w:color w:val="000000"/>
          <w:sz w:val="20"/>
        </w:rPr>
        <w:t>Nonexclusivity of the Plan</w:t>
      </w:r>
      <w:r>
        <w:rPr>
          <w:rFonts w:ascii="Times New Roman;serif" w:hAnsi="Times New Roman;serif"/>
          <w:b w:val="false"/>
          <w:color w:val="000000"/>
          <w:sz w:val="20"/>
        </w:rPr>
        <w:t xml:space="preserve">. Neither the adoption of this Plan by the Board nor the submission of this Plan to the stockholders of the Company for approval shall be construed as creating any limitations on the power of the Board to adopt such other incentive arrangements as it may deem desirable, including, without limitation, the granting of stock options otherwise than under this Plan, and such arrangements may be either applicable generally or only in specific cases.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(g) </w:t>
      </w:r>
      <w:r>
        <w:rPr>
          <w:rFonts w:ascii="Times New Roman;serif" w:hAnsi="Times New Roman;serif"/>
          <w:b/>
          <w:color w:val="000000"/>
          <w:sz w:val="20"/>
        </w:rPr>
        <w:t>No Trust or Fund Created</w:t>
      </w:r>
      <w:r>
        <w:rPr>
          <w:rFonts w:ascii="Times New Roman;serif" w:hAnsi="Times New Roman;serif"/>
          <w:b w:val="false"/>
          <w:color w:val="000000"/>
          <w:sz w:val="20"/>
        </w:rPr>
        <w:t xml:space="preserve">. Neither the Plan nor any Award shall create or be construed to create a trust or separate fund of any kind or a fiduciary relationship between any member of the Company Group, on the one hand, and a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(h) </w:t>
      </w:r>
      <w:r>
        <w:rPr>
          <w:rFonts w:ascii="Times New Roman;serif" w:hAnsi="Times New Roman;serif"/>
          <w:b/>
          <w:color w:val="000000"/>
          <w:sz w:val="20"/>
        </w:rPr>
        <w:t>Fractional Shares</w:t>
      </w:r>
      <w:r>
        <w:rPr>
          <w:rFonts w:ascii="Times New Roman;serif" w:hAnsi="Times New Roman;serif"/>
          <w:b w:val="false"/>
          <w:color w:val="000000"/>
          <w:sz w:val="20"/>
        </w:rPr>
        <w:t xml:space="preserve">. Unless otherwise provided in an Award Agreement, an Employment Agreement or otherwise by the Committee, any fractional shares due on exercise or payment in respect of an Award shall be settled in cash.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 xml:space="preserve">(i) </w:t>
      </w:r>
      <w:r>
        <w:rPr>
          <w:rFonts w:ascii="Times New Roman;serif" w:hAnsi="Times New Roman;serif"/>
          <w:b/>
          <w:color w:val="000000"/>
          <w:sz w:val="20"/>
        </w:rPr>
        <w:t>Severability</w:t>
      </w:r>
      <w:r>
        <w:rPr>
          <w:rFonts w:ascii="Times New Roman;serif" w:hAnsi="Times New Roman;serif"/>
          <w:b w:val="false"/>
          <w:color w:val="000000"/>
          <w:sz w:val="20"/>
        </w:rPr>
        <w:t xml:space="preserve">.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 Notwithstanding anything in the Plan or any Award or Award Agreement to the contrary, nothing in the Plan or in any Award or Award Agreement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519555"/>
                <wp:effectExtent l="0" t="0" r="0" b="0"/>
                <wp:wrapNone/>
                <wp:docPr id="62" name="Frame62"/>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r>
                              <w:br w:type="page"/>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B-18</w:t>
                      </w:r>
                    </w:p>
                  </w:txbxContent>
                </v:textbox>
                <w10:wrap type="none"/>
              </v:rect>
            </w:pict>
          </mc:Fallback>
        </mc:AlternateConten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519555"/>
                <wp:effectExtent l="0" t="0" r="0" b="0"/>
                <wp:wrapNone/>
                <wp:docPr id="63" name="Frame63"/>
                <a:graphic xmlns:a="http://schemas.openxmlformats.org/drawingml/2006/main">
                  <a:graphicData uri="http://schemas.microsoft.com/office/word/2010/wordprocessingShape">
                    <wps:wsp>
                      <wps:cNvSpPr txBox="1"/>
                      <wps:spPr>
                        <a:xfrm>
                          <a:off x="0" y="0"/>
                          <a:ext cx="6480175" cy="1519555"/>
                        </a:xfrm>
                        <a:prstGeom prst="rect"/>
                        <a:solidFill>
                          <a:srgbClr val="FFFFFF"/>
                        </a:solidFill>
                      </wps:spPr>
                      <wps:txb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pPr>
                      <w:r>
                        <w:rPr>
                          <w:rFonts w:ascii="Times New Roman;serif" w:hAnsi="Times New Roman;serif"/>
                          <w:b w:val="false"/>
                          <w:color w:val="000000"/>
                          <w:sz w:val="20"/>
                        </w:rPr>
                        <w:t>U</w:t>
                      </w:r>
                      <w:r>
                        <w:rPr>
                          <w:rFonts w:ascii="Times New Roman;serif" w:hAnsi="Times New Roman;serif"/>
                          <w:b w:val="false"/>
                          <w:color w:val="000000"/>
                          <w:sz w:val="15"/>
                        </w:rPr>
                        <w:t>NIVERSAL</w:t>
                      </w:r>
                      <w:r>
                        <w:rPr>
                          <w:color w:val="000000"/>
                        </w:rPr>
                        <w:t xml:space="preserve"> </w:t>
                      </w:r>
                      <w:r>
                        <w:rPr>
                          <w:rFonts w:ascii="Times New Roman;serif" w:hAnsi="Times New Roman;serif"/>
                          <w:b w:val="false"/>
                          <w:color w:val="000000"/>
                          <w:sz w:val="20"/>
                        </w:rPr>
                        <w:t>E</w:t>
                      </w:r>
                      <w:r>
                        <w:rPr>
                          <w:rFonts w:ascii="Times New Roman;serif" w:hAnsi="Times New Roman;serif"/>
                          <w:b w:val="false"/>
                          <w:color w:val="000000"/>
                          <w:sz w:val="15"/>
                        </w:rPr>
                        <w:t>LECTRONICS</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A</w:t>
                      </w:r>
                      <w:r>
                        <w:rPr>
                          <w:rFonts w:ascii="Times New Roman;serif" w:hAnsi="Times New Roman;serif"/>
                          <w:b w:val="false"/>
                          <w:color w:val="000000"/>
                          <w:sz w:val="15"/>
                        </w:rPr>
                        <w:t>MENDED</w:t>
                      </w:r>
                      <w:r>
                        <w:rPr>
                          <w:color w:val="000000"/>
                        </w:rPr>
                        <w:t xml:space="preserve"> </w:t>
                      </w:r>
                      <w:r>
                        <w:rPr>
                          <w:rFonts w:ascii="Times New Roman;serif" w:hAnsi="Times New Roman;serif"/>
                          <w:b w:val="false"/>
                          <w:color w:val="000000"/>
                          <w:sz w:val="15"/>
                        </w:rPr>
                        <w:t>AND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5"/>
                        </w:rPr>
                        <w:t>ESTATED</w:t>
                      </w:r>
                      <w:r>
                        <w:rPr>
                          <w:color w:val="000000"/>
                        </w:rPr>
                        <w:t xml:space="preserve"> </w:t>
                      </w:r>
                    </w:p>
                    <w:p>
                      <w:pPr>
                        <w:pStyle w:val="TextBody"/>
                        <w:bidi w:val="0"/>
                        <w:spacing w:lineRule="auto" w:line="288" w:before="20" w:after="283"/>
                        <w:jc w:val="center"/>
                        <w:rPr/>
                      </w:pPr>
                      <w:r>
                        <w:rPr>
                          <w:rFonts w:ascii="Times New Roman;serif" w:hAnsi="Times New Roman;serif"/>
                          <w:b w:val="false"/>
                          <w:color w:val="000000"/>
                          <w:sz w:val="20"/>
                        </w:rPr>
                        <w:t>2018 E</w:t>
                      </w:r>
                      <w:r>
                        <w:rPr>
                          <w:rFonts w:ascii="Times New Roman;serif" w:hAnsi="Times New Roman;serif"/>
                          <w:b w:val="false"/>
                          <w:color w:val="000000"/>
                          <w:sz w:val="15"/>
                        </w:rPr>
                        <w:t>QUITY AND</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5"/>
                        </w:rPr>
                        <w:t>NCENTIVE</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5"/>
                        </w:rPr>
                        <w:t>OMPENSATION</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5"/>
                        </w:rPr>
                        <w:t>LAN</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B-19</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Richard K. Carnifax, certify that: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Universal Electronics Inc.;</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8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8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80" w:after="283"/>
        <w:ind w:left="0" w:right="0" w:firstLine="18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80" w:after="283"/>
        <w:ind w:left="0" w:right="0" w:firstLine="18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333"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333" w:before="180" w:after="3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2715" w:type="dxa"/>
        <w:jc w:val="left"/>
        <w:tblInd w:w="0" w:type="dxa"/>
        <w:tblLayout w:type="fixed"/>
        <w:tblCellMar>
          <w:top w:w="28" w:type="dxa"/>
          <w:left w:w="28" w:type="dxa"/>
          <w:bottom w:w="28" w:type="dxa"/>
          <w:right w:w="28" w:type="dxa"/>
        </w:tblCellMar>
      </w:tblPr>
      <w:tblGrid>
        <w:gridCol w:w="868"/>
        <w:gridCol w:w="762"/>
        <w:gridCol w:w="1085"/>
      </w:tblGrid>
      <w:tr>
        <w:trPr/>
        <w:tc>
          <w:tcPr>
            <w:tcW w:w="8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K Carnifax</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Wade M. Jenke, certify that: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Universal Electronics Inc.;</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18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18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333"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18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180"/>
        <w:jc w:val="both"/>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lineRule="auto" w:line="333" w:before="0" w:after="100"/>
        <w:jc w:val="left"/>
        <w:rPr>
          <w:color w:val="000000"/>
        </w:rPr>
      </w:pPr>
      <w:r>
        <w:rPr>
          <w:color w:val="000000"/>
        </w:rPr>
        <w:t> </w:t>
      </w:r>
    </w:p>
    <w:tbl>
      <w:tblPr>
        <w:tblW w:w="2834" w:type="dxa"/>
        <w:jc w:val="left"/>
        <w:tblInd w:w="0" w:type="dxa"/>
        <w:tblLayout w:type="fixed"/>
        <w:tblCellMar>
          <w:top w:w="28" w:type="dxa"/>
          <w:left w:w="28" w:type="dxa"/>
          <w:bottom w:w="28" w:type="dxa"/>
          <w:right w:w="28" w:type="dxa"/>
        </w:tblCellMar>
      </w:tblPr>
      <w:tblGrid>
        <w:gridCol w:w="907"/>
        <w:gridCol w:w="795"/>
        <w:gridCol w:w="1132"/>
      </w:tblGrid>
      <w:tr>
        <w:trPr/>
        <w:tc>
          <w:tcPr>
            <w:tcW w:w="9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53" w:after="283"/>
              <w:jc w:val="left"/>
              <w:rPr>
                <w:color w:val="000000"/>
              </w:rPr>
            </w:pPr>
            <w:r>
              <w:rPr>
                <w:color w:val="000000"/>
              </w:rPr>
              <w:t> </w:t>
            </w: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lineRule="auto" w:line="333"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Universal Electronics Inc. (the "Company"), hereby certifies that the (i) Company's Form 10-Q for the fiscal quarter ended June 30, 2026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333" w:before="0" w:after="100"/>
        <w:jc w:val="both"/>
        <w:rPr>
          <w:color w:val="000000"/>
        </w:rPr>
      </w:pPr>
      <w:r>
        <w:rPr>
          <w:color w:val="000000"/>
        </w:rPr>
        <w:t> </w:t>
      </w:r>
    </w:p>
    <w:tbl>
      <w:tblPr>
        <w:tblW w:w="5810"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134"/>
        <w:gridCol w:w="134"/>
        <w:gridCol w:w="136"/>
        <w:gridCol w:w="109"/>
        <w:gridCol w:w="109"/>
        <w:gridCol w:w="109"/>
        <w:gridCol w:w="789"/>
        <w:gridCol w:w="789"/>
        <w:gridCol w:w="1121"/>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K. Carnifax</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lineRule="auto" w:line="333"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Universal Electronics Inc. (the "Company"), hereby certifies that the (i) Company's Form 10-Q for the fiscal quarter ended June 30, 2026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333" w:before="0" w:after="100"/>
        <w:jc w:val="both"/>
        <w:rPr>
          <w:color w:val="000000"/>
        </w:rPr>
      </w:pPr>
      <w:r>
        <w:rPr>
          <w:color w:val="000000"/>
        </w:rPr>
        <w:t> </w:t>
      </w:r>
    </w:p>
    <w:tbl>
      <w:tblPr>
        <w:tblW w:w="8105" w:type="dxa"/>
        <w:jc w:val="left"/>
        <w:tblInd w:w="0" w:type="dxa"/>
        <w:tblLayout w:type="fixed"/>
        <w:tblCellMar>
          <w:top w:w="28" w:type="dxa"/>
          <w:left w:w="28" w:type="dxa"/>
          <w:bottom w:w="28" w:type="dxa"/>
          <w:right w:w="28" w:type="dxa"/>
        </w:tblCellMar>
      </w:tblPr>
      <w:tblGrid>
        <w:gridCol w:w="254"/>
        <w:gridCol w:w="224"/>
        <w:gridCol w:w="226"/>
        <w:gridCol w:w="449"/>
        <w:gridCol w:w="449"/>
        <w:gridCol w:w="451"/>
        <w:gridCol w:w="109"/>
        <w:gridCol w:w="109"/>
        <w:gridCol w:w="109"/>
        <w:gridCol w:w="134"/>
        <w:gridCol w:w="134"/>
        <w:gridCol w:w="136"/>
        <w:gridCol w:w="109"/>
        <w:gridCol w:w="109"/>
        <w:gridCol w:w="109"/>
        <w:gridCol w:w="1459"/>
        <w:gridCol w:w="1459"/>
        <w:gridCol w:w="2076"/>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26000061/universalelectronics-compi.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33143</Words>
  <Characters>177094</Characters>
  <CharactersWithSpaces>209131</CharactersWithSpaces>
  <Paragraphs>3180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