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30" w:lineRule="exact"/>
        <w:rPr>
          <w:sz w:val="20"/>
          <w:szCs w:val="20"/>
          <w:color w:val="auto"/>
        </w:rPr>
      </w:pPr>
    </w:p>
    <w:p>
      <w:pPr>
        <w:jc w:val="center"/>
        <w:ind w:right="-3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Noo</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80"/>
        <w:spacing w:after="0" w:line="207" w:lineRule="exact"/>
        <w:tabs>
          <w:tab w:leader="none" w:pos="5020" w:val="left"/>
          <w:tab w:leader="none" w:pos="666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p>
    <w:p>
      <w:pPr>
        <w:spacing w:after="0" w:line="84" w:lineRule="exact"/>
        <w:rPr>
          <w:sz w:val="20"/>
          <w:szCs w:val="20"/>
          <w:color w:val="auto"/>
        </w:rPr>
      </w:pPr>
    </w:p>
    <w:p>
      <w:pPr>
        <w:ind w:left="5180"/>
        <w:spacing w:after="0" w:line="207" w:lineRule="exact"/>
        <w:tabs>
          <w:tab w:leader="none" w:pos="58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14,568,708 shares of Common Stock, par value $0.01 per share, of the registrant were outstanding on November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80" w:type="dxa"/>
            <w:vAlign w:val="bottom"/>
            <w:gridSpan w:val="4"/>
          </w:tcPr>
          <w:p>
            <w:pPr>
              <w:jc w:val="center"/>
              <w:ind w:right="3100"/>
              <w:spacing w:after="0"/>
              <w:rPr>
                <w:sz w:val="20"/>
                <w:szCs w:val="20"/>
                <w:color w:val="auto"/>
              </w:rPr>
            </w:pPr>
            <w:r>
              <w:rPr>
                <w:rFonts w:ascii="Arial" w:cs="Arial" w:eastAsia="Arial" w:hAnsi="Arial"/>
                <w:sz w:val="18"/>
                <w:szCs w:val="18"/>
                <w:b w:val="1"/>
                <w:bCs w:val="1"/>
                <w:color w:val="auto"/>
              </w:rPr>
              <w:t>UNIVERSAL ELECTRONICS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2"/>
          </w:tcPr>
          <w:p>
            <w:pPr>
              <w:jc w:val="center"/>
              <w:ind w:right="408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7"/>
            <w:vMerge w:val="restart"/>
          </w:tcPr>
          <w:p>
            <w:pPr>
              <w:spacing w:after="0"/>
              <w:rPr>
                <w:sz w:val="24"/>
                <w:szCs w:val="2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58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4. Controls and Procedures</w:t>
              </w:r>
            </w:hyperlink>
          </w:p>
        </w:tc>
        <w:tc>
          <w:tcPr>
            <w:tcW w:w="8220" w:type="dxa"/>
            <w:vAlign w:val="bottom"/>
            <w:gridSpan w:val="9"/>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980" w:type="dxa"/>
            <w:vAlign w:val="bottom"/>
            <w:gridSpan w:val="8"/>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960" w:type="dxa"/>
            <w:vAlign w:val="bottom"/>
            <w:gridSpan w:val="1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2. Unregistered Sales of Equity Securities and Use of Proceeds</w:t>
              </w:r>
            </w:hyperlink>
          </w:p>
        </w:tc>
        <w:tc>
          <w:tcPr>
            <w:tcW w:w="564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w:t>
              </w:r>
            </w:hyperlink>
          </w:p>
        </w:tc>
        <w:tc>
          <w:tcPr>
            <w:tcW w:w="460" w:type="dxa"/>
            <w:vAlign w:val="bottom"/>
            <w:tcBorders>
              <w:top w:val="single" w:sz="8" w:color="0000EE"/>
            </w:tcBorders>
            <w:gridSpan w:val="5"/>
          </w:tcPr>
          <w:p>
            <w:pPr>
              <w:spacing w:after="0"/>
              <w:rPr>
                <w:sz w:val="17"/>
                <w:szCs w:val="17"/>
                <w:color w:val="auto"/>
              </w:rPr>
            </w:pPr>
          </w:p>
        </w:tc>
        <w:tc>
          <w:tcPr>
            <w:tcW w:w="9400" w:type="dxa"/>
            <w:vAlign w:val="bottom"/>
            <w:gridSpan w:val="1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Exhibit Index</w:t>
              </w:r>
            </w:hyperlink>
          </w:p>
        </w:tc>
        <w:tc>
          <w:tcPr>
            <w:tcW w:w="9560" w:type="dxa"/>
            <w:vAlign w:val="bottom"/>
            <w:gridSpan w:val="1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44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EXHIBIT 32</w:t>
            </w:r>
          </w:p>
        </w:tc>
        <w:tc>
          <w:tcPr>
            <w:tcW w:w="94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84,498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60,602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32,552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2,776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188,750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6,902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5,783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218,032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32,972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discounts/rebates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49,748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44,013</w:t>
            </w: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6,860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 term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57,849</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$0.01 par value, 50,000,000 shares authorized; 18,263,366 and 17,543,235 shares issued at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September 30, 2007 and December 31, 2006, respectively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109,626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9,047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82,441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201,297</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Less cost of common stock in treasury, 3,831,689 and 3,528,827 shares at September 30, 2007 and December 31,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2006, respectively</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(41,114)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160,183</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218,032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68,961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206,458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43,224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38,033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131,754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25,737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21,579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59,649</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2,070</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6,661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17,393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15,142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6,274</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18,432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14,508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13,845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14,358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15,280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14,415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14,098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(benefit) for deferred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16,618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(4,162)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9,535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18,423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13,693</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66,075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84,498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accounts and transactions have been eliminated in the consolidated financial statements. Certain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results of operations for the three and nine months ended September 30, 2007 are not necessarily indicative of the results to be expected for the full year. These financial statements should be read in conjunction with the consolidated financial statements and related notes and “Management Discussion and Analysis of Financial Conditions and Results of Operations” contained in our Annual Report on Form 10-K for our fiscal year ended December 31, 2006.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“Company”, “we”, “us” and “our” refer to Universal Electronics Inc. and its subsidiaries, unless the context indicates to the contrary.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net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amounts reported in our consolidated financial statements and accompanying notes. Actual results may differ from these estimates and judgments.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February 2007, the Financial Accounting Standards Board (“FASB”) issued Statement of Financial Accounting Standards (“SFAS”) No. 159, </w:t>
      </w:r>
      <w:r>
        <w:rPr>
          <w:rFonts w:ascii="Arial" w:cs="Arial" w:eastAsia="Arial" w:hAnsi="Arial"/>
          <w:sz w:val="18"/>
          <w:szCs w:val="18"/>
          <w:i w:val="1"/>
          <w:iCs w:val="1"/>
          <w:color w:val="auto"/>
        </w:rPr>
        <w:t>The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Option for Financial Assets and Financial Liabilities—Including an amendment of FASB Statement No. 115 </w:t>
      </w:r>
      <w:r>
        <w:rPr>
          <w:rFonts w:ascii="Arial" w:cs="Arial" w:eastAsia="Arial" w:hAnsi="Arial"/>
          <w:sz w:val="18"/>
          <w:szCs w:val="18"/>
          <w:color w:val="auto"/>
        </w:rPr>
        <w:t>(“SFAS 159”), which permits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A business entity shall report unrealized gains and losses on items for which the fair value option has been elected in earnings (or another performance indicator if the business entity does not report earnings) at each subsequent reporting date. SFAS 159 is effective for the Company beginning January 1, 2008. We are currently evaluating the effect that the adoption of SFAS 159 will have on our consolidated results of operations and financial condition.</w:t>
      </w:r>
    </w:p>
    <w:p>
      <w:pPr>
        <w:spacing w:after="0" w:line="8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the Company beginning January 1, 2008. We are currently evaluating the effect that the adoption of SFAS 157 will have on our consolidated results of operations and financial condition.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Effective January 1, 2006, we adopted the fair value recognition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using the modified-prospective transition method. Stock-based compensation expense is presented in the same income statement line as cash compensation paid to the same employees or directors. During the three months ended September 30, 2007 and 2006, we recorded $1.1 million and $0.8 million, respectively, in pre-tax stock-based compensation expense. Included in SG&amp;A stock-based compensation expense is $227 thousand and $79 thousand in pre-tax compensation expense related to stock awards granted to outside directors for the three months ended September 30, 2007 and 2006, respectively. The income tax benefit associated with stock-based compensation was $0.3 million and $0.2 million for the three months ended September 30, 2007 and 2006, respectively.</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September 30, 2007 and 2006, we recorded $2.6 million and $2.4 million, respectively, in pre-tax stock-based compensation expense. Included in SG&amp;A stock-based compensation expense is $461 thousand and $242 thousand in pre-tax compensation expense related to stock awards granted to outside directors for the nine months ended September 30, 2007 and 2006, respectively. The income tax benefit associated with stock-based compensation was $0.7 million and $0.7 million for the nine months ended September 30, 2007 and 2006,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estimate the fair value of share-based payment awards using the Black-Scholes option pricing model with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8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 xml:space="preserve">September 30, </w:t>
            </w:r>
            <w:r>
              <w:rPr>
                <w:rFonts w:ascii="Arial" w:cs="Arial" w:eastAsia="Arial" w:hAnsi="Arial"/>
                <w:sz w:val="12"/>
                <w:szCs w:val="12"/>
                <w:b w:val="1"/>
                <w:bCs w:val="1"/>
                <w:color w:val="auto"/>
              </w:rPr>
              <w:t>(1)</w:t>
            </w:r>
          </w:p>
        </w:tc>
        <w:tc>
          <w:tcPr>
            <w:tcW w:w="52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12"/>
                <w:szCs w:val="12"/>
                <w:b w:val="1"/>
                <w:bCs w:val="1"/>
                <w:color w:val="auto"/>
              </w:rPr>
              <w:t>(1)</w:t>
            </w: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$ 7.27</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$11.73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$ 7.36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88"/>
              <w:spacing w:after="0"/>
              <w:rPr>
                <w:sz w:val="20"/>
                <w:szCs w:val="20"/>
                <w:color w:val="auto"/>
              </w:rPr>
            </w:pPr>
            <w:r>
              <w:rPr>
                <w:rFonts w:ascii="Arial" w:cs="Arial" w:eastAsia="Arial" w:hAnsi="Arial"/>
                <w:sz w:val="18"/>
                <w:szCs w:val="18"/>
                <w:color w:val="auto"/>
              </w:rPr>
              <w:t>4.74%</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4.58%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4.74%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38.81%</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39.06%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39.25%</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48"/>
              <w:spacing w:after="0"/>
              <w:rPr>
                <w:sz w:val="20"/>
                <w:szCs w:val="20"/>
                <w:color w:val="auto"/>
              </w:rPr>
            </w:pPr>
            <w:r>
              <w:rPr>
                <w:rFonts w:ascii="Arial" w:cs="Arial" w:eastAsia="Arial" w:hAnsi="Arial"/>
                <w:sz w:val="18"/>
                <w:szCs w:val="18"/>
                <w:color w:val="auto"/>
              </w:rPr>
              <w:t>4.78</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5.24</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Arial" w:cs="Arial" w:eastAsia="Arial" w:hAnsi="Arial"/>
                <w:sz w:val="18"/>
                <w:szCs w:val="18"/>
                <w:color w:val="auto"/>
              </w:rPr>
              <w:t>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7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calculation was based on stock options granted during the period. No stock options were granted during the three months ended September 30,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September 30, 2007 and changes during the nine months ended September 30,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3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13.73</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3040" w:type="dxa"/>
            <w:vAlign w:val="bottom"/>
            <w:gridSpan w:val="3"/>
          </w:tcPr>
          <w:p>
            <w:pPr>
              <w:jc w:val="right"/>
              <w:ind w:right="66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27.68</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13.61</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15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14.22</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2007</w:t>
            </w:r>
          </w:p>
        </w:tc>
        <w:tc>
          <w:tcPr>
            <w:tcW w:w="1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15.98</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5.52</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Vested and expected to vest at September 30, 2007</w:t>
            </w:r>
          </w:p>
        </w:tc>
        <w:tc>
          <w:tcPr>
            <w:tcW w:w="3040" w:type="dxa"/>
            <w:vAlign w:val="bottom"/>
            <w:gridSpan w:val="3"/>
          </w:tcPr>
          <w:p>
            <w:pPr>
              <w:jc w:val="right"/>
              <w:ind w:right="66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15.59</w:t>
            </w:r>
          </w:p>
        </w:tc>
        <w:tc>
          <w:tcPr>
            <w:tcW w:w="1380" w:type="dxa"/>
            <w:vAlign w:val="bottom"/>
          </w:tcPr>
          <w:p>
            <w:pPr>
              <w:jc w:val="right"/>
              <w:ind w:right="242"/>
              <w:spacing w:after="0"/>
              <w:rPr>
                <w:sz w:val="20"/>
                <w:szCs w:val="20"/>
                <w:color w:val="auto"/>
              </w:rPr>
            </w:pPr>
            <w:r>
              <w:rPr>
                <w:rFonts w:ascii="Arial" w:cs="Arial" w:eastAsia="Arial" w:hAnsi="Arial"/>
                <w:sz w:val="18"/>
                <w:szCs w:val="18"/>
                <w:color w:val="auto"/>
              </w:rPr>
              <w:t>5.35</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2007</w:t>
            </w:r>
          </w:p>
        </w:tc>
        <w:tc>
          <w:tcPr>
            <w:tcW w:w="3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13.18</w:t>
            </w:r>
          </w:p>
        </w:tc>
        <w:tc>
          <w:tcPr>
            <w:tcW w:w="13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26,078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aggregate intrinsic value in the table above represents total pre-tax intrinsic value (difference between Universal Electronics Inc.’s average of the high and low trades of the last trading day of the third quarter of 2007 (September 28, 2007) and the option exercise price, multiplied by the number of the in-the-money options) that option holders would have received had all option holders exercised their options on September 28, 2007. This amount changes based on the fair market value of our common stock. The total intrinsic value of options exercised for the three and nine months ended September 30, 2007 was</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$2.8 million and $10.7 million, respectively. The total intrinsic value of options exercised for the three and nine months ended September 30, 2006 was $0.2 million and $2.1 million, respectively.</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2007, we expect to recognize $5.0 million of total unrecognized compensation expense related to non-vested employee stock options over a weighted-average life of 2.46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September 30, 2007 and changes during the nine months ended September 30,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80" w:type="dxa"/>
            <w:vAlign w:val="bottom"/>
            <w:gridSpan w:val="2"/>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7"/>
              </w:rPr>
              <w:t>12,500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center"/>
              <w:ind w:left="76"/>
              <w:spacing w:after="0"/>
              <w:rPr>
                <w:sz w:val="20"/>
                <w:szCs w:val="20"/>
                <w:color w:val="auto"/>
              </w:rPr>
            </w:pPr>
            <w:r>
              <w:rPr>
                <w:rFonts w:ascii="Arial" w:cs="Arial" w:eastAsia="Arial" w:hAnsi="Arial"/>
                <w:sz w:val="18"/>
                <w:szCs w:val="18"/>
                <w:color w:val="auto"/>
                <w:w w:val="87"/>
              </w:rPr>
              <w:t>25,000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89"/>
              </w:rPr>
              <w:t>(18,750)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Nonvested at September 30, 2007</w:t>
            </w:r>
          </w:p>
        </w:tc>
        <w:tc>
          <w:tcPr>
            <w:tcW w:w="660" w:type="dxa"/>
            <w:vAlign w:val="bottom"/>
            <w:tcBorders>
              <w:top w:val="single" w:sz="8" w:color="auto"/>
              <w:bottom w:val="single" w:sz="8" w:color="auto"/>
            </w:tcBorders>
          </w:tcPr>
          <w:p>
            <w:pPr>
              <w:jc w:val="center"/>
              <w:ind w:left="96"/>
              <w:spacing w:after="0"/>
              <w:rPr>
                <w:sz w:val="20"/>
                <w:szCs w:val="20"/>
                <w:color w:val="auto"/>
              </w:rPr>
            </w:pPr>
            <w:r>
              <w:rPr>
                <w:rFonts w:ascii="Arial" w:cs="Arial" w:eastAsia="Arial" w:hAnsi="Arial"/>
                <w:sz w:val="18"/>
                <w:szCs w:val="18"/>
                <w:color w:val="auto"/>
                <w:w w:val="87"/>
              </w:rPr>
              <w:t>18,750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2007, we expect to recognize $0.7 million of total unrecognized compensation expense related to non-vested restricted stock awards over a weighted-average life of nine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 The Company has not experienced any losses in such accounts and believes it is not exposed to any significant risk in its cash and cash equivalents.</w:t>
      </w:r>
    </w:p>
    <w:p>
      <w:pPr>
        <w:spacing w:after="0" w:line="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At September 30, 2007, we had approximately $16.3 million and $68.2 million of cash and cash equivalents in the United States and Europe, respectively. At December 31, 2006, we had approximately $6.1 million and $60.0 million of cash and cash equivalents in the United States and Europe,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at September 30,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63,749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51,230</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 xml:space="preserve">Note receivable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April 1999, we provided a $200 thousand non-recourse interest bearing secured loan to our chief executive officer, which is due by December 15, 2007. The note and related interest are classified as a current asset.</w:t>
      </w:r>
    </w:p>
    <w:p>
      <w:pPr>
        <w:spacing w:after="0" w:line="21" w:lineRule="exact"/>
        <w:rPr>
          <w:rFonts w:ascii="Arial" w:cs="Arial" w:eastAsia="Arial" w:hAnsi="Arial"/>
          <w:sz w:val="15"/>
          <w:szCs w:val="15"/>
          <w:color w:val="auto"/>
        </w:rPr>
      </w:pPr>
    </w:p>
    <w:p>
      <w:pPr>
        <w:ind w:left="460" w:right="60" w:hanging="452"/>
        <w:spacing w:after="0" w:line="30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Other receivables as of September 30, 2007 and December 31, 2006 consisted primarily of a tenant improvement allowance provided by our landlord for the renovation and expansion of our corporate headquarters in Cypress, California. Construction is expected to be completed during the first quarter of 2008. The tenant improvement allowance will be paid upon completion of construction. headquarters in Cypress, California. Construction is expected to be completed during the first quarter of 2008. The tenant improvement allowance will be paid upon completion of construction.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had sales to one significant customer that contributed more than 10% of total net sales. Sales made to this customer were $8.8 million and $7.0 million, representing 12.8% and 11.7% of our total net sales for the three months ended September 30, 2007 and 2006, respectively. Sales made to this customer during the nine months ended September 30, 2007 and 2006 amounted to $31.4 million and $21.1 million, representing 15.2% and 12.7% of total net sales, respectively. Trade receivables with this customer amounted to $4.0 million and $3.1 million, or 6.7% and 6.0% of our net trade receivable at September 30, 2007 and December 31, 2006, respectively.</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we had sales to another customer and its sub-contractors that, when combined, totaled $11.5 million and $11.4 million, representing 16.7% and 19.2% of total net sales for the three months ended September 30, 2007 and 2006, respectively. Sales made to this customer and its sub-contractors during the nine months ended September 30, 2007 and 2006 amounted to $34.5 million and $30.9 million, representing 16.7% and 18.6% of total net sales, respectively. Trade receivables with this customer and its sub-contractors amounted to $6.4 million and $6.2 million, or 10.7% and 12.2% of our net trade receivable at September 30, 2007 and December 31, 2006, respectively.</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future loss of either of these customers or of any other key customer (in the United States or abroad, for any reason, including the financial weakness or bankruptcy of the customer or our inability to obtain orders or our inability to maintain order volume) would have an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Inventories, which consist of wireless control devices, including universal remote controls, antennas and related component parts, are valued at the lower of cost or market. Cost, which is determined using the first-in, first-out method, includes the purchase of integrated circuits, sub-contractor costs and freight-in. We carry inventory in amounts necessary to satisfy our customers’ inventory requirements on a timely basis. Product innovations and technological advances may shorten a given product’s life cycle. We continually monitor inventory to control inventory levels and dispose of any excess or obsolete inventories on hand. We write down our inventory for estimated obsolescence or unmarketable inventory, in an amount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 at September 30, 2007 and 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27,479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22,537</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Inventory,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26,459</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three months ended September 30, 2007 and 2006 inventory write-downs totaled $0.6 million and $0.7 million, respectively. During the nine months ended September 30, 2007 and 2006 inventory write-downs totaled $1.6 million and $1.2 million, respectively. Inventory write-downs are a normal part of our business and result primarily from product life cycle estimation variances.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Purchases from this major supplier amounted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$7.9 million and $3.4 million, representing 18.5% and 8.4% of total inventory purchases for the three months ended September 30, 2007 and 2006, respectively. Purchases made from this supplier during the nine months ended September 30, 2007 and 2006 amounted to $18.6 million and $9.1 million, representing 15.6% and 8.7% of total inventory purchases, respectively. Accounts payable with that supplier amounted to $3.4 million and $0.8 million, representing 10.4% and 3.9% of total accounts payable at September 30, 2007 and December 31, 2006, respectively. For the three and nine months ended September 30, 2006, a different IC supplier provided more than 10% of total inventory purchases. Purchases from that supplier amounted to $4.5 million and $11.6 million, representing 10.9% and 11.1% of total inventory purchases for the three and nine months ended September 30, 2006, respectively.</w:t>
      </w:r>
    </w:p>
    <w:p>
      <w:pPr>
        <w:spacing w:after="0" w:line="5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addition, during the three months ended September 30, 2007, we purchased component and finished good products from two major suppliers. Purchases from these two major suppliers amounted to $12.4 million and $8.3 million, representing 29.1% and 19.6%, respectively, of total inventory purchases for the three months ended September 30, 2007. During the three months ended September 30, 2006 purchases from the same two suppliers amounted to</w:t>
      </w:r>
    </w:p>
    <w:p>
      <w:pPr>
        <w:ind w:right="100"/>
        <w:spacing w:after="0" w:line="292" w:lineRule="auto"/>
        <w:rPr>
          <w:sz w:val="20"/>
          <w:szCs w:val="20"/>
          <w:color w:val="auto"/>
        </w:rPr>
      </w:pPr>
      <w:r>
        <w:rPr>
          <w:rFonts w:ascii="Arial" w:cs="Arial" w:eastAsia="Arial" w:hAnsi="Arial"/>
          <w:sz w:val="16"/>
          <w:szCs w:val="16"/>
          <w:color w:val="auto"/>
        </w:rPr>
        <w:t>$11.3 million and $5.5 million, representing 27.5% and 13.5%, respectively, of total inventory purchases. During the nine months ended September 30, 2007 purchases from these two suppliers amounted to $33.6 million and $22.7 million, representing 28.2% and 19.0%, respectively, of total inventory purchases. During the same period last year, purchases from these two suppliers amounted to $30.0 million and $9.1 million, representing 28.7% and 8.7% of total inventory purchases. For the nine months ended September 30, 2006, one other supplier provided more than 10% of total inventory purchases. Purchases from this supplier amounted to $11.2 million, representing 10.7%, of total inventory purchases for the nine months ended September 30, 2006, respectively.</w:t>
      </w:r>
    </w:p>
    <w:p>
      <w:pPr>
        <w:spacing w:after="0" w:line="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Accounts payable with the aforementioned two suppliers of component and finished good products amounted to $11.0 million and $6.3 million, representing 33.3% and 19.1%, respectively, of total accounts payable at September 30, 2007. At December 31, 2006, accounts payable with the same two suppliers amounted to $8.2 million and $2.0 million, representing 40.4% and 9.8%, respectively, of total accounts payable. No other component and finished goods supplier accounted for inventory purchases exceeding ten percent of the total inventory purchases for the three and nine months ended September 30, 2007 or 2006.</w:t>
      </w:r>
    </w:p>
    <w:p>
      <w:pPr>
        <w:spacing w:after="0" w:line="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identified alternative sources of supply for these integrated circuits, components, and finished goods; however, there can be no assurance that we will be able to continue to purchase inventory on a timely basis from any of these sources. We generally maintain inventories of our integrated chips, which could be used in part to mitigate, but not eliminate, delays resulting from supply interruptions. An extended interruption, a shortage or termination in the supply of any of the components used in our products, a reduction in their quality or reliability, or a significant increase in prices of components, would have an adverse effect on our business,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annual effective tax rate to determine our provision for income taxes for interim periods. We recorded income tax expense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 million for the three months ended September 30, 2007 compared to $1.5 million for the same period last year. Our estimated effective tax rate was</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31.4% and 29.8% during the three months ended September 30, 2007 and 2006, respectively. The increase in our effective tax rate is due primarily to a higher percentage of pre-tax income being earned in higher tax rate jurisdictions. We recorded income tax expense of $6.7 million for the nine months ended September 30, 2007 compared to $4.2 million for the same period last year. Our estimated effective tax rate was 32.1% and 34.0% during the nine months ended September 30, 2007 and 2006, respectively.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w:t>
      </w:r>
    </w:p>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We adopted the provisions of FASB Interpretation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an interpretation of FASB Statement No. 109</w:t>
      </w:r>
      <w:r>
        <w:rPr>
          <w:rFonts w:ascii="Arial" w:cs="Arial" w:eastAsia="Arial" w:hAnsi="Arial"/>
          <w:sz w:val="17"/>
          <w:szCs w:val="17"/>
          <w:color w:val="auto"/>
        </w:rPr>
        <w:t xml:space="preserve"> (“FIN 48”) effective January 1, 2007. FIN 48 clarifies the accounting for uncertainty in income taxes recognized in an enterprise’s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accordance with the adoption of FIN 48,we evaluate our tax positions to determine if it is more likely than not that a tax position is sustainable, based on its technical merits. If a tax position does not meet the more likely than not standard, a full reserve is established against the tax asset or a liability is recorded. Additionally, for a position that is determined to, more likely than not, be sustainable, we measure the benefit at the greatest cumulative probability of being realized and establish a reserve or liability for the balance. A material change in our tax reserves could have a significant impact on our results.</w:t>
      </w:r>
    </w:p>
    <w:p>
      <w:pPr>
        <w:spacing w:after="0" w:line="46"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As a result of implementing FIN 48, we recognized a $0.2 million increase in our liability for unrecognized tax benefits, which was accounted for as a reduction to the January 1, 2007 balance of retained earnings. We recorded an increase in our unrecognized tax benefits of approximately $0.1 and</w:t>
      </w:r>
    </w:p>
    <w:p>
      <w:pPr>
        <w:ind w:right="60"/>
        <w:spacing w:after="0" w:line="270" w:lineRule="auto"/>
        <w:rPr>
          <w:sz w:val="20"/>
          <w:szCs w:val="20"/>
          <w:color w:val="auto"/>
        </w:rPr>
      </w:pPr>
      <w:r>
        <w:rPr>
          <w:rFonts w:ascii="Arial" w:cs="Arial" w:eastAsia="Arial" w:hAnsi="Arial"/>
          <w:sz w:val="17"/>
          <w:szCs w:val="17"/>
          <w:color w:val="auto"/>
        </w:rPr>
        <w:t>$0.3 million for the three and nine months ended September 30, 2007, respectively. We had unrecognized tax benefits of approximately $6.8 million as of January 1, 2007, of which $6.3 million, if recognized, would result in the reduction of our effective tax rate. The open statute of limitations for our significant tax jurisdiction are as follows: federal and state for 2002 through 2006 and non-U.S. for 2001 through 2006. In accordance with FIN 48, we have elected to classify interest and penalties as components of tax expense. Interest and penalties were $0.6 million at the date of adoption and $0.9 million as of September 30, 2007 and are included in the unrecognized tax benefits. All unrecognized tax benefits at September 30, 2007 are classified as long term as prescribed by FIN 48 because we do not anticipate payment of cash within one year of the operating cycle.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any material changes to the estimated amount of liability associated with our uncertain tax positions within the next twelve months.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September 30, 2007 and 2006, 302,250 and 1,147,961 stock options, respectively, were excluded because their inclusion would have been antidilutive. In the computation of diluted earnings per common share for the nine months ended September 30, 2007 and 2006, 204,125 and 1,137,242 stock options, respectively, were excluded because their inclusion would have been antidilutive.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and nine months ended September 30, 2007 and 2006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BASI</w:t>
            </w:r>
            <w:r>
              <w:rPr>
                <w:rFonts w:ascii="Arial" w:cs="Arial" w:eastAsia="Arial" w:hAnsi="Arial"/>
                <w:sz w:val="18"/>
                <w:szCs w:val="18"/>
                <w:color w:val="auto"/>
              </w:rPr>
              <w:t>C</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14,098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14,358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13,763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DILUTED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14,098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14,508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13,845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14,358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15,280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15,149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14,336</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14,098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20,386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foreign currency translation gains of $6.3 million and $5.0 million for the nine months ended September 30, 2007 and 2006, respectively, were due to the weakening of the U.S. dollar versus the Euro. The U.S. dollar/Euro spot rate was 1.42 and 1.32 at September 30, 2007 and December 31, 2006, respectively, and 1.27 and 1.18 at September 30, 2006 and December 31, 2005,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exchange transactions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Revolving Credit Line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The amended Credit Facility provides a $15 million unsecured revolving credit agreement with Comerica for three years expiring on August 31, 2009. Under the Credit Facility, the interest payable is variable and is based on the bank’s cost of funds or LIBOR plus a fixed margin of 1.25%. The interest rate in effect as of September 30, 2007 using LIBOR plus a fixed margin of 1.25% was 6.15%. We pay a commitment fee ranging from zero to a maximum rate of 1/4 of 1% per year on the unused portion of the credit line depending on the amount of cash investment retained with Comerica during each quarter. At September 30, 2007, the commitment rate was 0.25%. Under the terms of the Credit Facility, dividend payments are allowed for up to 100% of the prior fiscal year’s net income, to be paid within 90 days of year end. We are subject to certain financial covenants related to our net worth, quick ratio and net income. Amounts available for borrowing under the Credit Facility are reduced by the outstanding balance of import letters of credit. As of September 30, 2007, we did not have any amounts outstanding under the Credit Facility or any outstanding import letters of credit. Furthermore, as of September 30, 2007, we were in compliance with all financial covenants required by the Credit Facility. Under the amended Credit Facility we have authority to acquire up to an additional 2.0 million shares of our common stock in the open market. See Note 12 for further discussion.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504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VAT taxes</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Accrued warranties</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4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840" w:type="dxa"/>
            <w:vAlign w:val="bottom"/>
            <w:vMerge w:val="restart"/>
          </w:tcPr>
          <w:p>
            <w:pPr>
              <w:jc w:val="right"/>
              <w:ind w:right="30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Treasury Stock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nine months ended September 30, 2007 and 2006, we repurchased 321,300 and 32,326 shares of our common stock at the cost of $9.4 million and $0.6 million, respectively. Repurchased shares are recorded as shares held in treasury at cost. We generally hold shares for future use as management and the Board of Directors deem appropriate, including compensating outside directors of the Company. During the nine months ended September 30, 2007 and 2006, we issued 18,438 and 15,000 shares, respectively, to outside directors for services performed. The fair value of these shares is $344,817 and $242,269, respectively. The fair value of non vested shares is determined based on the closing trade price of the Company’s shares on the date of grant. Refer to Note 2 for related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Under the requirements of SFAS 142,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the unit of accounting for goodwill and intangible assets are at a level of reporting referred to as a “reporting unit.” SFAS 142 defines a reporting unit as either (1) an operating segment, as defined in SFAS 131, </w:t>
      </w:r>
      <w:r>
        <w:rPr>
          <w:rFonts w:ascii="Arial" w:cs="Arial" w:eastAsia="Arial" w:hAnsi="Arial"/>
          <w:sz w:val="17"/>
          <w:szCs w:val="17"/>
          <w:i w:val="1"/>
          <w:iCs w:val="1"/>
          <w:color w:val="auto"/>
        </w:rPr>
        <w:t>Disclosures about Segments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Enterprise and Related Information </w:t>
      </w:r>
      <w:r>
        <w:rPr>
          <w:rFonts w:ascii="Arial" w:cs="Arial" w:eastAsia="Arial" w:hAnsi="Arial"/>
          <w:sz w:val="17"/>
          <w:szCs w:val="17"/>
          <w:color w:val="auto"/>
        </w:rPr>
        <w:t>or (2) one level below an operating segment, referred to as a component. Our domestic and international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“reporting units” within our one operating segment “Core Business.” Goodwill and intangible assets are reviewed for impairment during the fourth quarter of each year. Goodwill is tested at the reporting unit level and intangible assets are tested at the lowest identifiable cash flow level. Goodwill and intangible assets are tested for impairment between annual tests, if an event occurs or circumstances change that would reduce the fair value of a reporting unit below its carrying amount. As of September 30, 2007 management is unaware of any triggering events that would cause the fair value of goodwill or intangible assets to be reduced below the carrying value.</w:t>
      </w:r>
    </w:p>
    <w:p>
      <w:pPr>
        <w:spacing w:after="0" w:line="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reported earlier, during the fourth quarter of 2004 we purchased Simple Devices for approximately $12.8 million in cash, including direct acquisition costs and a potential performance-based payment of our unregistered common stock, if certain future financial objectives were achieved. As a result of the performance-based incentive and other factors, our chief operating decision maker (“CODM”) reviewed SimpleDevices’ discrete operating results through the second quarter of 2006. Consequently, SimpleDevices was defined as an “operating segment” and a “reporting unit” through the second quarter of 2006.</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Effective the end of the second quarter of 2006, we completed our integration of SimpleDevices’ technologies with our existing technologies and merged SimpleDevices’ sales, engineering and administrative functions into our “domestic” reporting unit. The performance-based payment related to the acquisition also expired. In addition, commencing in the third quarter of 2006, our CODM no longer reviewed SimpleDevices’ financial statements on a stand alone basis. Accordingly, SimpleDevices became part of the “domestic” reporting unit within our single operating segment in the third quarter of 2006.</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 Domestic and international goodwill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September 30, 2007, as compared to the goodwill reported at December 31, 2006,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2006</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408</w:t>
            </w: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Capitalized software (2-5 years)</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carrying amount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6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expense, including the amortization of capitalized software, which is recorded in cost of sales for the three and nine months ended September, 2007 was approximately $0.3 million and $1.0 million, respectively. Amortization expense for the three and nine months ended September 30, 2006 was approximately $0.4 million and $1.1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for existing intangible assets for each of the five succeeding years ending December 31 and thereafter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3 months)</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2008</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1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 xml:space="preserve">SFAS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defines an operating segment, in part, as a component of an enterprise whose operating results are regularly reviewed by the chief operating decision maker (“CODM”). The CODM makes decisions about resources to be allocated to the segment and assesses its performance. Operating segments may be aggregated only to the limited extent permitted by the standard.</w:t>
      </w:r>
    </w:p>
    <w:p>
      <w:pPr>
        <w:sectPr>
          <w:pgSz w:w="11900" w:h="16838" w:orient="portrait"/>
          <w:cols w:equalWidth="0" w:num="1">
            <w:col w:w="11420"/>
          </w:cols>
          <w:pgMar w:left="240" w:top="419"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SimpleDevices’ technologies with and into our own technology. In addition, we have integrated SimpleDevices’ sales, engineering and administrative functions into our own. Accordingly, commencing in the third quarter of 2006, we merged SimpleDevices into our Core Business segment, and now we operate in a single industry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sales to external customers and long-lived tangible assets by geographic area for the three and nine months ended September 30, 2007 and 2006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35,231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32,294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$ 118,053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9,840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8,032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23,916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2,642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1,864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5,618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Switzerland</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2,093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5,070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1,538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3,988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5,189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33,730</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27,318</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68,961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59,612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$ 206,458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2006</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360"/>
              <w:spacing w:after="0"/>
              <w:rPr>
                <w:sz w:val="20"/>
                <w:szCs w:val="20"/>
                <w:color w:val="auto"/>
              </w:rPr>
            </w:pPr>
            <w:r>
              <w:rPr>
                <w:rFonts w:ascii="Arial" w:cs="Arial" w:eastAsia="Arial" w:hAnsi="Arial"/>
                <w:sz w:val="18"/>
                <w:szCs w:val="18"/>
                <w:color w:val="auto"/>
                <w:w w:val="84"/>
              </w:rPr>
              <w:t>4,763</w:t>
            </w:r>
          </w:p>
        </w:tc>
        <w:tc>
          <w:tcPr>
            <w:tcW w:w="320" w:type="dxa"/>
            <w:vAlign w:val="bottom"/>
          </w:tcPr>
          <w:p>
            <w:pPr>
              <w:spacing w:after="0"/>
              <w:rPr>
                <w:sz w:val="18"/>
                <w:szCs w:val="18"/>
                <w:color w:val="auto"/>
              </w:rPr>
            </w:pP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2,411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4"/>
              </w:rPr>
              <w:t>7,174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5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held foreign currency exchange contracts which resulted in a net pre-tax gain of approximately $337 thousand for the quarter ended September 30, 2007, compared to a net pre-tax loss of approximately $101 thousand for the quarter ended September 30, 2006. For the nine months ended September 30, 2007 and 2006, we had a pre-tax gain of approximately $570 thousand, compared to a net pre-tax loss of $66 thousand the same period last year. We had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one foreign currency exchange contract outstanding at September 30, 2007, a forward contract with a notional value of $9.0 million. We had two foreign currency exchange contracts outstanding at December 31, 2006, known as participating forwards, both with a notional value of $6.25 million each.</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held a USD/Euro forward contract with a notional value of $9.0 million and a forward rate of $1.4114 USD/Euro as of September 30, 2007, due for settlement on October 26, 2007. We held the Euro position on this contract. The fair value of this contract was $106 thousand at September 30, 2007; and this contract value is included in prepaid expenses and other current assets. At December 31, 2006, we had a loss on participating forward contracts of approximately $0.6 million, which was included in other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 and Product Warranties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to insure our individual directors and officers against certain claims, including the payment of claims such as those alleged in Note 17 and attorney’s fees and related expenses incurred in connection with the defense of such claim. The amounts and types of coverage have varied from period to period as dictated by market conditions.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Cash)</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54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420" w:type="dxa"/>
            <w:vAlign w:val="bottom"/>
          </w:tcPr>
          <w:p>
            <w:pPr>
              <w:spacing w:after="0" w:line="195" w:lineRule="exact"/>
              <w:rPr>
                <w:sz w:val="20"/>
                <w:szCs w:val="20"/>
                <w:color w:val="auto"/>
              </w:rPr>
            </w:pPr>
            <w:r>
              <w:rPr>
                <w:rFonts w:ascii="Arial" w:cs="Arial" w:eastAsia="Arial" w:hAnsi="Arial"/>
                <w:sz w:val="18"/>
                <w:szCs w:val="18"/>
                <w:color w:val="auto"/>
              </w:rPr>
              <w:t>Nine Months Ended September 30, 2007</w:t>
            </w:r>
          </w:p>
        </w:tc>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$416</w:t>
            </w:r>
          </w:p>
        </w:tc>
        <w:tc>
          <w:tcPr>
            <w:tcW w:w="52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3"/>
              </w:rPr>
              <w:t>$(138)</w:t>
            </w:r>
            <w:r>
              <w:rPr>
                <w:rFonts w:ascii="Arial" w:cs="Arial" w:eastAsia="Arial" w:hAnsi="Arial"/>
                <w:sz w:val="15"/>
                <w:szCs w:val="15"/>
                <w:color w:val="auto"/>
                <w:w w:val="93"/>
              </w:rPr>
              <w:t>(1)</w:t>
            </w:r>
          </w:p>
        </w:tc>
        <w:tc>
          <w:tcPr>
            <w:tcW w:w="54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6"/>
              </w:rPr>
              <w:t>$(172)</w:t>
            </w:r>
          </w:p>
        </w:tc>
        <w:tc>
          <w:tcPr>
            <w:tcW w:w="54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Nine Months Ended September 30, 2006</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$414</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$245</w:t>
            </w: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6"/>
              </w:rPr>
              <w:t>$(172)</w:t>
            </w: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2007, we renegotiated pricing terms with our third party warranty repair vendor which resulted in lower warranty costs per unit. As a result, our warranty accrual was reduced to reflect the lower pricing.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Litigation, Proceedings and Investigations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if an unfavorable outcome.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second quarter of 2007, the Company adopted a Long-Term Incentive Plan (“LTIP”) that provides a bonus pool for the executive management team contingent on achieving certain performance goals involving sales growth and earnings per diluted share through December 31, 2008. The LTIP commits a maximum of $12 million in bonus if the highest performance goals are met. Payment is further dependent on the employee’s continued employment at the time of payment, which occurs over fiscal years 2009 and 2010, and will be in cash or the Company’s stock at the Board of Director’s discretion. The participants in the LTIP may elect to defer all the payments. Vesting in the LTIP occurs as payments are due, and management believes that a four-year period is appropriate. The LTIP was effective January 1, 2007. The Company recorded compensation expense of $250,000 and $750,000 for the three and nine months ended September 30, 2007, respectively, for the LTIP.</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321,000 individual device functions and over 3,200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ten international subsidiaries established in the Netherlands, Germany, United Kingdom, Argentina, Spain, Italy, Singapore, Hong Kong and France.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Some of our strategic business objectives for 2007 include the following:</w:t>
      </w:r>
    </w:p>
    <w:p>
      <w:pPr>
        <w:spacing w:after="0" w:line="117" w:lineRule="exact"/>
        <w:rPr>
          <w:sz w:val="20"/>
          <w:szCs w:val="20"/>
          <w:color w:val="auto"/>
        </w:rPr>
      </w:pPr>
    </w:p>
    <w:p>
      <w:pPr>
        <w:ind w:left="660" w:right="3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sales and marketing efforts, including increasing our sales force, to subscription broadcasters and OEMs in Asia, Latin America and Europe;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focus on developing and marketing additional products that are based on the Zigbee, Z-Wave</w:t>
      </w:r>
      <w:r>
        <w:rPr>
          <w:rFonts w:ascii="Arial" w:cs="Arial" w:eastAsia="Arial" w:hAnsi="Arial"/>
          <w:sz w:val="15"/>
          <w:szCs w:val="15"/>
          <w:color w:val="auto"/>
        </w:rPr>
        <w:t>®</w:t>
      </w:r>
      <w:r>
        <w:rPr>
          <w:rFonts w:ascii="Arial" w:cs="Arial" w:eastAsia="Arial" w:hAnsi="Arial"/>
          <w:sz w:val="18"/>
          <w:szCs w:val="18"/>
          <w:color w:val="auto"/>
        </w:rPr>
        <w:t xml:space="preserve"> and other radio frequency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seek strategic business opportunities that will compliment our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enhance the Nevo</w:t>
      </w:r>
      <w:r>
        <w:rPr>
          <w:rFonts w:ascii="Arial" w:cs="Arial" w:eastAsia="Arial" w:hAnsi="Arial"/>
          <w:sz w:val="15"/>
          <w:szCs w:val="15"/>
          <w:color w:val="auto"/>
        </w:rPr>
        <w:t>®</w:t>
      </w:r>
      <w:r>
        <w:rPr>
          <w:rFonts w:ascii="Arial" w:cs="Arial" w:eastAsia="Arial" w:hAnsi="Arial"/>
          <w:sz w:val="18"/>
          <w:szCs w:val="18"/>
          <w:color w:val="auto"/>
        </w:rPr>
        <w:t xml:space="preserve"> product line, which first began shipping in October 2005.</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of factors that could impact operating results, see the section below captioned “Factors That Could Affect Future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we have prepared in accordance with U.S. generally accepted accounting principles.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results may differ from these estimates under different assumptions or conditions.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other than the adoption of FASB Interpretation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w:t>
      </w:r>
      <w:r>
        <w:rPr>
          <w:rFonts w:ascii="Arial" w:cs="Arial" w:eastAsia="Arial" w:hAnsi="Arial"/>
          <w:sz w:val="16"/>
          <w:szCs w:val="16"/>
          <w:i w:val="1"/>
          <w:iCs w:val="1"/>
          <w:color w:val="auto"/>
        </w:rPr>
        <w:t xml:space="preserve"> an interpretation of FASB Statement No. 109 </w:t>
      </w:r>
      <w:r>
        <w:rPr>
          <w:rFonts w:ascii="Arial" w:cs="Arial" w:eastAsia="Arial" w:hAnsi="Arial"/>
          <w:sz w:val="16"/>
          <w:szCs w:val="16"/>
          <w:color w:val="auto"/>
        </w:rPr>
        <w:t>(“FIN 48”) and the adoption of FASB Staff Position No. 48-1,</w:t>
      </w:r>
      <w:r>
        <w:rPr>
          <w:rFonts w:ascii="Arial" w:cs="Arial" w:eastAsia="Arial" w:hAnsi="Arial"/>
          <w:sz w:val="16"/>
          <w:szCs w:val="16"/>
          <w:i w:val="1"/>
          <w:iCs w:val="1"/>
          <w:color w:val="auto"/>
        </w:rPr>
        <w:t xml:space="preserve"> Definition of Settlement in FASB Interpretation No. 48 </w:t>
      </w:r>
      <w:r>
        <w:rPr>
          <w:rFonts w:ascii="Arial" w:cs="Arial" w:eastAsia="Arial" w:hAnsi="Arial"/>
          <w:sz w:val="16"/>
          <w:szCs w:val="16"/>
          <w:color w:val="auto"/>
        </w:rPr>
        <w:t>(“FIN 48-1”), and adoption of a Long-Term Incentive Plan for our executive employees, there have been no significant changes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2007 to the items that we disclosed as our critical accounting policies and estimates in Item 7, Management’s Discussion and Analysis of Financial Condition and Results of Operations, in our Annual Report on Form 10-K for the fiscal year ended December 31,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accordance with the adoption of FIN 48 effective January 1, 2007, we evaluate our tax positions to determine if it is more likely than not that a tax position is sustainable, based on its technical merits. If a tax position does not meet the more likely than not standard, a full reserve is established. Additionally, for a position that is determined to, more likely than not, be sustainable, we measure the benefit at the greatest cumulative probability of being realized and establish a reserve for the balance. In May 2007, the FASB published FIN 48-1, </w:t>
      </w:r>
      <w:r>
        <w:rPr>
          <w:rFonts w:ascii="Arial" w:cs="Arial" w:eastAsia="Arial" w:hAnsi="Arial"/>
          <w:sz w:val="16"/>
          <w:szCs w:val="16"/>
          <w:i w:val="1"/>
          <w:iCs w:val="1"/>
          <w:color w:val="auto"/>
        </w:rPr>
        <w:t>Definition of Settlement in FASB Interpretation No. 48</w:t>
      </w:r>
      <w:r>
        <w:rPr>
          <w:rFonts w:ascii="Arial" w:cs="Arial" w:eastAsia="Arial" w:hAnsi="Arial"/>
          <w:sz w:val="16"/>
          <w:szCs w:val="16"/>
          <w:color w:val="auto"/>
        </w:rPr>
        <w:t xml:space="preserve"> (“FSP FIN 48-1”). FSP FIN 48-1 is an amendment to FIN 48. It clarifies how an enterprise should determine whether a tax position is effectively settled for the purpose of recognizing previously unrecognized tax benefits. FSP FIN 48-1 is effective upon the initial adoption of FIN 48. Accordingly, we adopted FSP FIN 48-1 on January 1, 2007. A material change in our tax reserves could have a significant impact on our results. Refer to Note 6 captioned “Income Taxes” included in the “Notes to the Consolidated Financial Statements” set forth above for additional disclosure regarding adoption of FIN 48.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Effective January 1, 2006, we adopted the fair value recognition provisions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using the modified-prospective transition method. Stock-based compensation expense is presented in the same income statement line as cash compensation paid to the same employees or directors. During the three months ended September 30, 2007 and 2006, we recorded $1.1 million and $0.8 million, respectively, in pre-tax stock-based compensation expense. Included in SG&amp;A stock-based compensation expense is $227 thousand and $79 thousand in pre-tax compensation expense related to stock awards granted to outside directors for the three months ended September 30, 2007 and 2006, respectively. The income tax benefit associated with stock-based compensation expense was $0.3 million and $0.2 million for the three months ended September 30, 2007 and 2006, respectively.</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nine months ended September 30, 2007 and 2006, we recorded $2.6 million and $2.4 million, respectively, in pre-tax stock-based compensation expense. Included in SG&amp;A stock-based compensation expense is $461 thousand and $242 thousand in pre-tax compensation expense related to stock awards granted to outside directors for the nine months ended September 30, 2007 and 2006, respectively. The income tax benefit associated with stock-based compensation expense was $0.7 million and $0.7 million for the nine months ended September 30, 2007 and 2006,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2007, we expect to recognize $5.0 million of total unrecognized compensation expense related to non-vested employee stock options over a weighted-average life of 2.46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issue restricted stock awards to the outside directors for services performed. Under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 During the nine months ended September 30, 2007 and 2006, we issued 18,438 and 15,000 shares, respectively. The fair value of these shares is $344,817 and $242,269, respectively.</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2007, we expect to recognize $0.7 million of total unrecognized compensation expense related to non-vested restricted stock awards over a weighted-average life of nine months.</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If the forfeiture rate decreased by 1%, stock-based compensation expense would have increased by approximately 4.1% and 3.7% for the three and nine months ended September 30, 2007, respectively. During the nine months ended September 30, 2007, we granted 75,250 and 248,750 stock options to executive and non-executive employees, respectively.</w:t>
      </w:r>
    </w:p>
    <w:p>
      <w:pPr>
        <w:spacing w:after="0" w:line="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Refer to Note 2 captioned “Stock-based Compensation” included in the “Notes to the Consolidated Financial Statements” set forth above for additional disclosure regarding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second quarter of 2007, the Company adopted a Long-Term Incentive Plan (“LTIP”) that provides a bonus pool for the executive management team contingent on achieving certain performance goals involving sales growth and earnings per diluted share through December 31, 2008. The LTIP commits a maximum of $12 million in bonus if the highest performance goals are met. Payment is further dependent on the employee’s continued employment at the time of payment, which occurs over fiscal years 2009 and 2010, and will be in cash or the Company’s stock at the Board of Director’s discretion. The participants in the LTIP may elect to defer all the payments. Vesting in the LTIP occurs as payments are due, and management believes that a four-year period is appropriate. The LTIP was effective January 1, 2007.</w:t>
      </w:r>
    </w:p>
    <w:p>
      <w:pPr>
        <w:spacing w:after="0" w:line="70"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On a quarterly basis, Company management reviews the most recent net sales and earnings per diluted share projections for 2007 and 2008 combined to determine the most likely payout of the LTIP as well as the appropriate LTIP accrual as of a respective balance sheet date. The Company recorded compensation expense of $250,000 and $750,000 for the three and nine months ended September 30, 2007, respectively, for the LTIP.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Refer to Note 1 to the Consolidated Financial Statements in Part 1, Item I for a full description of recent accounting pronouncements, including the expected dates of adoption and estimated effects on results of operations and financial condition. Note 1 is incorporated in this discussion by reference.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our results of operations expressed as a percentage of net sales for the three and nine months ended September 30, 2007 and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4"/>
                <w:szCs w:val="14"/>
                <w:color w:val="auto"/>
              </w:rPr>
            </w:pPr>
          </w:p>
        </w:tc>
        <w:tc>
          <w:tcPr>
            <w:tcW w:w="27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62.7</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63.8</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63.8</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w:t>
            </w:r>
          </w:p>
        </w:tc>
        <w:tc>
          <w:tcPr>
            <w:tcW w:w="16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3.0</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3.2</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16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25.4</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16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1680" w:type="dxa"/>
            <w:vAlign w:val="bottom"/>
            <w:gridSpan w:val="4"/>
          </w:tcPr>
          <w:p>
            <w:pPr>
              <w:jc w:val="right"/>
              <w:ind w:right="360"/>
              <w:spacing w:after="0"/>
              <w:rPr>
                <w:sz w:val="20"/>
                <w:szCs w:val="20"/>
                <w:color w:val="auto"/>
              </w:rPr>
            </w:pPr>
            <w:r>
              <w:rPr>
                <w:rFonts w:ascii="Arial" w:cs="Arial" w:eastAsia="Arial" w:hAnsi="Arial"/>
                <w:sz w:val="18"/>
                <w:szCs w:val="18"/>
                <w:color w:val="auto"/>
              </w:rPr>
              <w:t>0.7</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6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4"/>
        </w:trPr>
        <w:tc>
          <w:tcPr>
            <w:tcW w:w="5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6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920" w:type="dxa"/>
            <w:vAlign w:val="bottom"/>
            <w:gridSpan w:val="2"/>
            <w:vMerge w:val="continue"/>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800" w:type="dxa"/>
            <w:vAlign w:val="bottom"/>
            <w:gridSpan w:val="2"/>
            <w:vMerge w:val="continue"/>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900" w:type="dxa"/>
            <w:vAlign w:val="bottom"/>
            <w:gridSpan w:val="2"/>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2007 versus Three Months Ended September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September 30,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46.1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0</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59.</w:t>
            </w:r>
            <w:r>
              <w:rPr>
                <w:rFonts w:ascii="Arial" w:cs="Arial" w:eastAsia="Arial" w:hAnsi="Arial"/>
                <w:sz w:val="18"/>
                <w:szCs w:val="18"/>
                <w:u w:val="single" w:color="auto"/>
                <w:color w:val="auto"/>
                <w:w w:val="79"/>
              </w:rPr>
              <w:t>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for the third quarter of 2007 were $69.0 million, an increase of 16% compared to $59.6 million for the third quarter of 2006. Net income for the third quarter of 2007 was $4.9 million or $0.34 per share (basic) and $0.32 per share (diluted) compared to $3.5 million or $0.26 per share (basic) and $0.25 per share (diluted) for the third quarter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81% of net sales in the third quarter of 2007 compared to approximately 77% in the third quarter of 2006. Net sales in our Business lines for the third quarter of 2007 increased by 21% to $55.9 million from $46.1 million in the third quarter of 2006.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19% of net sales for the third quarter of 2007 compared to approximately 23% for the third quarter of 2006. Net sales in our Consumer lines for the third quarter of 2007 decreased by 3% to $13.1 million, from $13.5 million in the third quarter of 2006. Retail sales made in the United States was the key driver of the sales decline in our Consumer lines. These sales were down $0.7 million. European retail sales increased by $0.2 million compared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2006. The strengthening of both the Euro and the British Pound compared to the U.S. Dollar resulted in an increase in net sales of approximately $0.7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of this positive currency effect, Europe retail sales decreased by $0.5 million.</w:t>
      </w:r>
    </w:p>
    <w:p>
      <w:pPr>
        <w:spacing w:after="0" w:line="10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Gross profit for the third quarter of 2007 was $25.7 million compared to $21.6 million for the third quarter of 2006. Gross profit as a percentage of sales for the third quarter of 2007 was 37.3% compared to 36.2% for the same period in the prior year. The increase in gross profit as a percentage of net sales was primarily attributable to a decrease in royalty expense of $0.4 million, due to lower sales of SKY-branded retail products in Europe. This decrease in royalty expense added 0.9% to the gross profit rate. The gross profit rate was also positively impacted by the strengthening of both the Euro and British Pound compared to the U.S. Dollar, which resulted in an increase in gross profit of approximately $0.7 million, or an increase in the gross profit rate of 0.6%. A decline in scrap expense of $0.1 million added 0.2% to the gross profit rate. Partially offsetting these increases was an increase in sub-contract labor expense of $0.5 million, which reduced the gross profit rate by 0.6%.</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Research and development expenses increased 17% from $1.8 million in the third quarter of 2006 to $2.1 million in the third quarter of 2007. The increase is primarily related to internal as well as third party costs associated with the continued expansion of the Nevo</w:t>
      </w:r>
      <w:r>
        <w:rPr>
          <w:rFonts w:ascii="Arial" w:cs="Arial" w:eastAsia="Arial" w:hAnsi="Arial"/>
          <w:sz w:val="15"/>
          <w:szCs w:val="15"/>
          <w:color w:val="auto"/>
        </w:rPr>
        <w:t>®</w:t>
      </w:r>
      <w:r>
        <w:rPr>
          <w:rFonts w:ascii="Arial" w:cs="Arial" w:eastAsia="Arial" w:hAnsi="Arial"/>
          <w:sz w:val="18"/>
          <w:szCs w:val="18"/>
          <w:color w:val="auto"/>
        </w:rPr>
        <w:t xml:space="preserve"> platform and the development of products for sale in our subscription broadcasting, retail and OEM channels.</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Selling, general and administrative expenses increased 15% from $15.1 million in the third quarter of 2006 to $17.4 million in the third quarter of 2007. Payroll and benefits increased by $0.9 million due to new hires and merit increases; employee bonus expense increased by $0.9 million; the strengthening of both the Euro and British Pound compared to the U.S. Dollar resulted in an increase of $0.5 million; stock-based compensation and long-term incentive compensation increased by $0.4 million; and additional advertising expense resulted in an increase of $0.3 million. These increases were partially offset by the capitalization of internal software development costs of $0.3 million and a decrease in tradeshow expense of $0.4 million.</w:t>
      </w:r>
    </w:p>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third quarter of 2007, we recorded $0.9 million of interest income compared to $0.4 million in the third quarter of 2006. This increase is due to higher money market rates and a higher average cash balance.</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recorded income tax expense of $2.3 million in the third quarter of 2007 compared to $1.5 million in the third quarter of 2006. Our effective tax rate was 31.4% in the third quarter of 2007 compared to 29.8% in the third quarter of 2006. The increase in our effective tax rate is due primarily to a higher percentage of pre-tax income being earned in higher tax rate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2007 versus Nine Months Ended September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nine months ended September 30,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166.7</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206.5</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Net sales for the nine months ended September 30, 2007 were $206.5 million, an increase of 24% compared to $166.2 million for the nine months ended September 30, 2006. Net income for the nine months ended September 30, 2007 was $14.1 million or $0.98 per share (basic) and $0.93 per share (diluted) compared to $8.1 million or $0.59 per share (basic) and $0.56 per share (diluted) for the nine months ended September 30, 2006.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81% of net sales for the nine months ended September 30, 2007 compared to 78% for the nine months ended September 30, 2006. Net sales in our Business lines for the nine months ended September 30, 2007 increased by 29% to $166.7 million from $129.3 million for the same period last year. This increase in sales resulted primarily from an increase in the volume of remote control sales.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the deployment of the advanced function set-top boxes by the service operators to continue into the foreseeable future as penetration for each of these functions continues to increase. As a result, we expect Business category revenue to range between $215.6 and $218.6 million for the full year 2007</w:t>
      </w:r>
      <w:r>
        <w:rPr>
          <w:rFonts w:ascii="Arial" w:cs="Arial" w:eastAsia="Arial" w:hAnsi="Arial"/>
          <w:sz w:val="17"/>
          <w:szCs w:val="17"/>
          <w:b w:val="1"/>
          <w:bCs w:val="1"/>
          <w:color w:val="auto"/>
        </w:rPr>
        <w:t>.</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19% of net sales for the nine months ended September 30, 2007 compared to 22% for the nine months ended September 30, 2006. Net sales in our Consumer lines for the nine months ended September 30, 2007 increased by 8% to $39.8 million from $36.9 million for the same period last year. The increase in sales resulted primarily from an increase in European retail sales, which were up 10% to $30.5 million in the nine months ended September 30, 2007 from $27.6 million during the same period last year. This increase was primarily attributable to increased sales in the UK, as well as the strengthening of both the Euro and British Pound compared to the U.S. Dollar. The impact of the stronger currencies resulted in an increase in net sales of approximately $2.5 million. Net of this positive currency effect, European retail sales increased $0.4 million. The increase in our consumer lines was also driven by our expanding presence in the CEDIA market. CEDIA sales increased by $2.1 million from 2006. Partially offsetting these increases was a decline in retail sales made outside of both Europe and the United States, as these sales were down $1.0 million. We encountered difficult selling conditions, primarily in Latin America. United States direct import licensing and product revenues for 2007 decreased by $0.6 million or 42% to $0.8 million in 2007 from $1.4 million in 2006, due primarily to a decline in Kameleon sales in North America. Private Label sales were also down by $0.4 million, from $2.8 million to $2.4 million. We expect Consumer category revenue to range between $60.3 and $63.3 million for the full year 2007, with a higher percentage of retail sales occurring in the fourth quarter, which is consistent with prior years.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the nine months ended September 30, 2007 was $74.7 million compared to $59.6 million for the nine months ended September 30, 2006.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profit as a percentage of net sales for the nine months ended September 30, 2007 was 36.2% compared to 35.9% for the same period last year.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profit rate was positively impacted by the strengthening of both the Euro and British Pound compared to the U.S. Dollar, which resulted in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$2.3 million in gross profit, or an increase of 0.7% in the gross profit rate. A decrease in royalty expense of $0.9 million, due to lower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SKY-branded retail product in Europe, increased the gross profit rate by 0.7%, and a decline in warranty expense of $0.4 million due to lower negotiated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pricing added 0.2% to the gross profit rate. Partially offsetting these increases in the gross profit rate was an increase in freight and handling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which reduced the gross profit rate by 1.0%. The increase in freight expense is due primarily to an increase in the percentage of units shipped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air freight is significantly more costly than ocean freight. An increase in sub-contract labor expense of $0.8 million reduced the gross profit rate by 0.2%.</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increased 20% from $5.6 million in the nine months ended September 30, 2006 to $6.7 million in the nine months ended September 30, 2007. The increase is primarily related to internal as well as third party costs associated with the continued expansion of the Nevo</w:t>
      </w:r>
      <w:r>
        <w:rPr>
          <w:rFonts w:ascii="Arial" w:cs="Arial" w:eastAsia="Arial" w:hAnsi="Arial"/>
          <w:sz w:val="15"/>
          <w:szCs w:val="15"/>
          <w:color w:val="auto"/>
        </w:rPr>
        <w:t>®</w:t>
      </w:r>
      <w:r>
        <w:rPr>
          <w:rFonts w:ascii="Arial" w:cs="Arial" w:eastAsia="Arial" w:hAnsi="Arial"/>
          <w:sz w:val="18"/>
          <w:szCs w:val="18"/>
          <w:color w:val="auto"/>
        </w:rPr>
        <w:t xml:space="preserve"> platform and the development of products for sale in our subscription broadcasting, retail and OEM channels. We expect research and development expenses to remain near current levels in the fourth quarter of 2007.</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Selling, general and administrative expenses increased 17% from $42.3 million in the nine months ended September 30, 2006 to $49.6 million in the nine months ended September 30, 2007. Payroll and benefits increased by $2.5 million due to new hires and merit increases; the strengthening of both the Euro and British Pound compared to the U.S. Dollar resulted in an increase of $1.6 million; long-term incentive compensation increased by $0.8 million; delivery and freight increased $0.6 million; additional travel resulted in an increase of $0.4 million; advertising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expense increased $0.4 million; director’s fees and expenses increased by $0.3 million; telecommunications expense increased $0.2 million; rent increased $0.2 million and all other expenses increased $0.3 million. We expect that selling, general and administrative expenses will range between $67.2 and $67.8 million for the full year 2007.</w:t>
      </w:r>
    </w:p>
    <w:p>
      <w:pPr>
        <w:spacing w:after="0" w:line="7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the nine months ended September 30, 2007, we recorded $2.2 million of net interest income compared to $1.1 million during the nine months ended September 30, 2006. This increase was due to higher money market rates and a higher average cash balance in Europe. We expect this trend to continue through the remainder of 2007.</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recorded income tax expense of $6.7 million for the nine months ended September 30, 2007 compared to $4.2 million for the nine months ended September 30, 2006. Our effective tax rate was 32.1% during the nine months ended September 30, 2007 compared to 34.0% during the nine months ended September 30, 2006. The decrease in our effective tax rate is due primarily to the re-enactment of the federal research and development tax credit statute which was passed by Congress in the fourth quarter of 2006 as well as the Netherlands’ statutory tax rate decreasing from 31.5% in 2006 to 25.5% in 2007, offset partially by increased pre-tax income in higher tax rate jurisdictions. We estimate that our effective tax rate will approximate 32.5% for the full year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40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 2007</w:t>
            </w:r>
          </w:p>
        </w:tc>
        <w:tc>
          <w:tcPr>
            <w:tcW w:w="3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380" w:type="dxa"/>
            <w:vAlign w:val="bottom"/>
          </w:tcPr>
          <w:p>
            <w:pPr>
              <w:spacing w:after="0"/>
              <w:rPr>
                <w:sz w:val="14"/>
                <w:szCs w:val="14"/>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 2006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16,618</w:t>
            </w:r>
          </w:p>
        </w:tc>
        <w:tc>
          <w:tcPr>
            <w:tcW w:w="1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$ 5,561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11,057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2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(4,162)</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(455)</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(3,707)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1,942</w:t>
            </w:r>
          </w:p>
        </w:tc>
        <w:tc>
          <w:tcPr>
            <w:tcW w:w="14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(1,171)</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3,113</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4,025</w:t>
            </w:r>
          </w:p>
        </w:tc>
        <w:tc>
          <w:tcPr>
            <w:tcW w:w="1400" w:type="dxa"/>
            <w:vAlign w:val="bottom"/>
            <w:gridSpan w:val="2"/>
          </w:tcPr>
          <w:p>
            <w:pPr>
              <w:jc w:val="right"/>
              <w:ind w:right="188"/>
              <w:spacing w:after="0"/>
              <w:rPr>
                <w:sz w:val="20"/>
                <w:szCs w:val="20"/>
                <w:color w:val="auto"/>
              </w:rPr>
            </w:pPr>
            <w:r>
              <w:rPr>
                <w:rFonts w:ascii="Arial" w:cs="Arial" w:eastAsia="Arial" w:hAnsi="Arial"/>
                <w:sz w:val="18"/>
                <w:szCs w:val="18"/>
                <w:color w:val="auto"/>
              </w:rPr>
              <w:t>795</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3,230</w:t>
            </w:r>
          </w:p>
        </w:tc>
      </w:tr>
      <w:tr>
        <w:trPr>
          <w:trHeight w:val="350"/>
        </w:trPr>
        <w:tc>
          <w:tcPr>
            <w:tcW w:w="6400" w:type="dxa"/>
            <w:vAlign w:val="bottom"/>
          </w:tcPr>
          <w:p>
            <w:pPr>
              <w:spacing w:after="0"/>
              <w:rPr>
                <w:sz w:val="24"/>
                <w:szCs w:val="24"/>
                <w:color w:val="auto"/>
              </w:rPr>
            </w:pPr>
          </w:p>
        </w:tc>
        <w:tc>
          <w:tcPr>
            <w:tcW w:w="1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 2007</w:t>
            </w:r>
          </w:p>
        </w:tc>
        <w:tc>
          <w:tcPr>
            <w:tcW w:w="3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24"/>
                <w:szCs w:val="24"/>
                <w:color w:val="auto"/>
              </w:rPr>
            </w:pPr>
          </w:p>
        </w:tc>
        <w:tc>
          <w:tcPr>
            <w:tcW w:w="16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2006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84,498</w:t>
            </w:r>
          </w:p>
        </w:tc>
        <w:tc>
          <w:tcPr>
            <w:tcW w:w="1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$18,423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66,075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Working capital</w:t>
            </w:r>
          </w:p>
        </w:tc>
        <w:tc>
          <w:tcPr>
            <w:tcW w:w="5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139,002</w:t>
            </w:r>
          </w:p>
        </w:tc>
        <w:tc>
          <w:tcPr>
            <w:tcW w:w="1400" w:type="dxa"/>
            <w:vAlign w:val="bottom"/>
            <w:gridSpan w:val="2"/>
          </w:tcPr>
          <w:p>
            <w:pPr>
              <w:jc w:val="right"/>
              <w:ind w:right="188"/>
              <w:spacing w:after="0"/>
              <w:rPr>
                <w:sz w:val="20"/>
                <w:szCs w:val="20"/>
                <w:color w:val="auto"/>
              </w:rPr>
            </w:pPr>
            <w:r>
              <w:rPr>
                <w:rFonts w:ascii="Arial" w:cs="Arial" w:eastAsia="Arial" w:hAnsi="Arial"/>
                <w:sz w:val="18"/>
                <w:szCs w:val="18"/>
                <w:color w:val="auto"/>
              </w:rPr>
              <w:t>32,823</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w w:val="86"/>
              </w:rPr>
              <w:t>106,179</w:t>
            </w:r>
          </w:p>
        </w:tc>
      </w:tr>
    </w:tbl>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for the first nine months of 2007 was $16.6 million as compared to $11.1 million for the first nine months of 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cash provided by operating activities was primarily driven by an increase in net sales and net income in the first nine months of 2007 compared to 2006 of 24% and 74%, respectively, offset partially by a corresponding increase in accounts receivable. Days sales outstanding has increased from approximately 68 days at September 30, 2006 to approximately 79 days at September 30, 2007 due primarily to certain large customers unofficially extending their payment terms. We expect our days sales outstanding to resume to a range of approximately 70 days to 75 days. We have extended our payment terms with certain vendors resulting in our payables cycle increasing from approximately 49 days at September 30, 2006 to approximately 61 days at September 30, 2007.</w:t>
      </w:r>
    </w:p>
    <w:p>
      <w:pPr>
        <w:spacing w:after="0" w:line="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for the first nine months of 2007 was $4.2 million compared to $3.7 million for the first nine months of 2006.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is primarily due to the purchase of additional tooling equipment in 2007, which is required to support our current and future growth.</w:t>
      </w:r>
    </w:p>
    <w:p>
      <w:pPr>
        <w:spacing w:after="0" w:line="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order to accommodate the growth of our company, we are currently renovating and expanding our corporate headquarters. The renovation and expansion are expected to be completed during the first quarter of 2008. The total cost of this renovation is estimated to be approximately $1.0 million and will be financed by our cash flow from operations as well as a $0.4 million tenant improvement allowance. In addition, we plan to make a significant investment to upgrade our information systems, which we expect to cost approximately $1.0 million. The upgrade of our information systems commenced in the second quarter of 2007 and we expect it to be completed in 2008.</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for the first nine months of 2007 was $1.9 million as compared to cash provided by financing activities of</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$3.1 million for the first nine months of 2006. The decrease in cash provided by financing activities was primarily due to an increase in stock repurchases in 2007 compared to 2006. We purchased 321,300 shares of our common stock during the nine months ended September 30, 2007 for $9.4 million compared to 32,326 shares purchased during the first nine months of 2006 for $0.6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 Under our amended Credit Facility with Comerica Bank, we have authority to acquire up to an additional 2.0 million shares of our common stock in the open market. As of September 30, 2007, 1,582,100 shares were available for purchase under the Credit Facility. During the remainder of 2007 we may continue to purchase shares of our common stock if we believe conditions are favorable or to manage the dilutive effect of stock option exercises.</w:t>
      </w:r>
    </w:p>
    <w:p>
      <w:pPr>
        <w:spacing w:after="0" w:line="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 in stock repurchases in 2007 compared to 2006 was partially offset by an increase in proceeds from stock option exercises in 2007. Proceeds from stock option exercises were $9.5 million and $3.5 million during the first nine months of 2007 and 2006, respectively. In addition, the excess tax benefit related to stock-based compensation was $1.8 million and $0.2 million for the nine months ended September 30, 2007 and September 30, 2006,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2007 our contractual obligations were $22.5 million compared to $26.9 million as previously reported on our Annual Report on Form 10-K. Purchase obligations primarily consist of an agreement with a specific vendor to purchase approximately 80% of our integrated circuits through October 16, 2008 from this vendor. Included in our contractual obligations are future obligations on existing operating leases.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use cash provided by operations as our primary source of liquidity, since internally generated cash flows are typically sufficient to support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cash balances are held in the United States and Europe. At September 30, 2007, we had approximately $16.3 million and $68.2 million of cash and cash equivalents in the United States and Europe, respectively. At December 31, 2006, we had approximately $6.1 million and $60.0 million of cash and cash equivalents in the United States and Europe, respectively.</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$15 million unsecured revolving credit agreement (“Credit Facility”) with Comerica Bank, which expires on August 31, 2009. Under the Credit Facility, the interest payable is variable and is based on the bank’s cost of funds or LIBOR plus a fixed margin of 1.25%. The interest rate in effect as of September 30, 2007 using LIBOR plus a fixed margin of 1.25% was 6.15%.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September 30, 2007, we did not have any amounts outstanding under the Credit Facility or any outstanding import letters of credit. Furthermore, as of September 30, 2007, we were in compliance with all financial covenants required by the Credit Facility.</w:t>
      </w:r>
    </w:p>
    <w:p>
      <w:pPr>
        <w:spacing w:after="0" w:line="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funds available from our borrowing facility will be sufficient to fund current business operations and anticipated growth at least over the next twelve months; however, there can be no assurance that such funds will be adequate for that purpose.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factors discussed in our 2007 Annual Report on Form 10-K, or in our other reports filed from time to time with the Securities and Exchange Commission (“SEC”)),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our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of a war or terrorist activities on us or the economy; the economic environment’s effect on us and our customers; the growth of, acceptance of and demand for our products and technologies in various markets and geographical regions, including cable, satellite, consumer electronics, retail and interactive TV and home automation, not materializing as we believe;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various markets and industries to grow or emerge as rapidly or as successfully as we believe;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value of the Euro and other foreign currencies relative to the U.S. dollar could have on our financial results; and other factors that may be listed from time to time in our press releases and filings with the SEC.</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Throughout 2007, we will continue development of our Nevo</w:t>
      </w:r>
      <w:r>
        <w:rPr>
          <w:rFonts w:ascii="Arial" w:cs="Arial" w:eastAsia="Arial" w:hAnsi="Arial"/>
          <w:sz w:val="15"/>
          <w:szCs w:val="15"/>
          <w:color w:val="auto"/>
        </w:rPr>
        <w:t>®</w:t>
      </w:r>
      <w:r>
        <w:rPr>
          <w:rFonts w:ascii="Arial" w:cs="Arial" w:eastAsia="Arial" w:hAnsi="Arial"/>
          <w:sz w:val="18"/>
          <w:szCs w:val="18"/>
          <w:color w:val="auto"/>
        </w:rPr>
        <w:t xml:space="preserve"> technology, an embedded solution that transforms an electronic display into a sophisticated and easy-to-use wireless home control and automation device. New Nevo</w:t>
      </w:r>
      <w:r>
        <w:rPr>
          <w:rFonts w:ascii="Arial" w:cs="Arial" w:eastAsia="Arial" w:hAnsi="Arial"/>
          <w:sz w:val="15"/>
          <w:szCs w:val="15"/>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products will help us to increase the strength we have built in our custom installation business worldwide. 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2007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2007,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31, 2006, we amended our credit facility to extend for an additional three years, expiring on August 31, 2009. The interest payable under our revolving Credit Facility with our bank is variable and based on either (i) the bank’s cost of funds or (ii) the LIBOR rate plus a fixed margin of 1.25%; the rate is affected by changes in market interest rates. At September 30, 2007, we had no borrowings on our credit facility. The interest rate in effect on the credit facility as of September 30, 2007 using the LIBOR Rate option plus a fixed margin of 1.25% was 6.15%.</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September 30, 2007 we had wholly owned subsidiaries in The Netherlands, United Kingdom, Germany, France, Argentina, Spain, Hong Kong, Singapore and Italy.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4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September 30, 2007, we believe that movements in foreign currency rates could have a material affect on our financial position. We estimate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if the exchange rates for the Euro and the British Pound relative to the U.S. Dollar fluctuate 10% from September 30, 2007, net income and cash flows in the fourth quarter of 2007 would fluctuate by approximately $0.6 million and $8.6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maintain directors’ and officers’ liability insurance to insure our individual directors and officers against certain claims, including the payment of claims such as those alleged in the above lawsuits and attorney’s fees and related expenses incurred in connection with the defense of such claims.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is typical in our industry and for the nature and kind of business in which we are engaged, from time to time various claims, charges and litigation are asserted or commenced by third parties against us, against those of our customers to whom we owe indemnification,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additional and more comprehensive discussion of risk factors, see “Risk Factors” in Part 1, Item 1A, of our Annual Report on Form 10-K for the fiscal year ended December 31, 2006,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2007, we did not sell any equity securities that were not registered under the Securities Act of 1934.</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authority under the Credit Facility to acquire up to 2.0 million shares of our common stock in market purchases. Between August 31, 2006, the date of amendment of the Credit Facility, and September 30, 2007, we purchased 417,900 shares of our common stock leaving 1,582,100 remaining shares authorized for purchase under the Credit Facility. We repurchased 250,000 shares during the quarter ended September 30, 2007, and we may continue to repurchase shares of our common stock during the remainder of the year, if we believe conditions are favorable, or to manage dilution created by shares issued under the employee stock plans. Purchase information for the third quarter of 2007 is set forth by month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20" w:type="dxa"/>
            <w:vAlign w:val="bottom"/>
          </w:tcPr>
          <w:p>
            <w:pPr>
              <w:spacing w:after="0"/>
              <w:rPr>
                <w:sz w:val="12"/>
                <w:szCs w:val="12"/>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4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per Share</w:t>
            </w:r>
          </w:p>
        </w:tc>
        <w:tc>
          <w:tcPr>
            <w:tcW w:w="4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2007 — July 31, 2007</w:t>
            </w:r>
          </w:p>
        </w:tc>
        <w:tc>
          <w:tcPr>
            <w:tcW w:w="4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August 1, 2007 — August 31, 2007</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77,700</w:t>
            </w:r>
          </w:p>
        </w:tc>
        <w:tc>
          <w:tcPr>
            <w:tcW w:w="340" w:type="dxa"/>
            <w:vAlign w:val="bottom"/>
          </w:tcPr>
          <w:p>
            <w:pPr>
              <w:spacing w:after="0"/>
              <w:rPr>
                <w:sz w:val="18"/>
                <w:szCs w:val="18"/>
                <w:color w:val="auto"/>
              </w:rPr>
            </w:pPr>
          </w:p>
        </w:tc>
        <w:tc>
          <w:tcPr>
            <w:tcW w:w="1140" w:type="dxa"/>
            <w:vAlign w:val="bottom"/>
            <w:gridSpan w:val="3"/>
          </w:tcPr>
          <w:p>
            <w:pPr>
              <w:jc w:val="center"/>
              <w:ind w:left="650"/>
              <w:spacing w:after="0"/>
              <w:rPr>
                <w:sz w:val="20"/>
                <w:szCs w:val="20"/>
                <w:color w:val="auto"/>
              </w:rPr>
            </w:pPr>
            <w:r>
              <w:rPr>
                <w:rFonts w:ascii="Arial" w:cs="Arial" w:eastAsia="Arial" w:hAnsi="Arial"/>
                <w:sz w:val="18"/>
                <w:szCs w:val="18"/>
                <w:color w:val="auto"/>
                <w:w w:val="88"/>
              </w:rPr>
              <w:t>28.06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2007 — September 30, 2007</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172,300</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8"/>
              </w:rPr>
              <w:t>28.</w:t>
            </w:r>
            <w:r>
              <w:rPr>
                <w:rFonts w:ascii="Arial" w:cs="Arial" w:eastAsia="Arial" w:hAnsi="Arial"/>
                <w:sz w:val="18"/>
                <w:szCs w:val="18"/>
                <w:u w:val="single" w:color="auto"/>
                <w:color w:val="auto"/>
                <w:w w:val="88"/>
              </w:rPr>
              <w:t>05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Q3 2007</w:t>
            </w:r>
          </w:p>
        </w:tc>
        <w:tc>
          <w:tcPr>
            <w:tcW w:w="78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28.</w:t>
            </w:r>
            <w:r>
              <w:rPr>
                <w:rFonts w:ascii="Arial" w:cs="Arial" w:eastAsia="Arial" w:hAnsi="Arial"/>
                <w:sz w:val="18"/>
                <w:szCs w:val="18"/>
                <w:u w:val="single" w:color="auto"/>
                <w:color w:val="auto"/>
                <w:w w:val="88"/>
              </w:rPr>
              <w:t>05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25" w:lineRule="exact"/>
        <w:rPr>
          <w:sz w:val="20"/>
          <w:szCs w:val="20"/>
          <w:color w:val="auto"/>
        </w:rPr>
      </w:pPr>
    </w:p>
    <w:p>
      <w:pPr>
        <w:jc w:val="both"/>
        <w:ind w:left="700" w:right="40" w:hanging="688"/>
        <w:spacing w:after="0" w:line="277"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Hackworth, Chief Financial Officer (principal financial officer and principal accounting officer) of Universal Electronics Inc.</w:t>
      </w:r>
    </w:p>
    <w:p>
      <w:pPr>
        <w:spacing w:after="0" w:line="170" w:lineRule="exact"/>
        <w:rPr>
          <w:sz w:val="20"/>
          <w:szCs w:val="20"/>
          <w:color w:val="auto"/>
        </w:rPr>
      </w:pPr>
    </w:p>
    <w:p>
      <w:pPr>
        <w:ind w:left="700" w:right="100" w:hanging="692"/>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No</w:t>
            </w:r>
          </w:p>
        </w:tc>
        <w:tc>
          <w:tcPr>
            <w:tcW w:w="220" w:type="dxa"/>
            <w:vAlign w:val="bottom"/>
          </w:tcPr>
          <w:p>
            <w:pPr>
              <w:spacing w:after="0"/>
              <w:rPr>
                <w:sz w:val="24"/>
                <w:szCs w:val="2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 officer) of</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Universal Electronics Inc.</w:t>
            </w:r>
          </w:p>
        </w:tc>
      </w:tr>
    </w:tbl>
    <w:p>
      <w:pPr>
        <w:spacing w:after="0" w:line="202" w:lineRule="exact"/>
        <w:rPr>
          <w:sz w:val="20"/>
          <w:szCs w:val="20"/>
          <w:color w:val="auto"/>
        </w:rPr>
      </w:pPr>
    </w:p>
    <w:p>
      <w:pPr>
        <w:ind w:left="920" w:right="160" w:hanging="912"/>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500" w:right="20" w:hanging="276"/>
        <w:spacing w:after="0" w:line="277"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500" w:right="20" w:hanging="276"/>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9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September 30, 2007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9, 2007</w:t>
            </w:r>
          </w:p>
        </w:tc>
        <w:tc>
          <w:tcPr>
            <w:tcW w:w="7240" w:type="dxa"/>
            <w:vAlign w:val="bottom"/>
            <w:gridSpan w:val="2"/>
          </w:tcPr>
          <w:p>
            <w:pPr>
              <w:ind w:left="1740"/>
              <w:spacing w:after="0"/>
              <w:rPr>
                <w:sz w:val="20"/>
                <w:szCs w:val="20"/>
                <w:color w:val="auto"/>
              </w:rPr>
            </w:pPr>
            <w:r>
              <w:rPr>
                <w:rFonts w:ascii="Arial" w:cs="Arial" w:eastAsia="Arial" w:hAnsi="Arial"/>
                <w:sz w:val="18"/>
                <w:szCs w:val="18"/>
                <w:color w:val="auto"/>
              </w:rPr>
              <w:t>By: /s/ Paul D. Arling</w:t>
            </w:r>
          </w:p>
        </w:tc>
      </w:tr>
      <w:tr>
        <w:trPr>
          <w:trHeight w:val="195"/>
        </w:trPr>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620" w:type="dxa"/>
            <w:vAlign w:val="bottom"/>
          </w:tcPr>
          <w:p>
            <w:pPr>
              <w:spacing w:after="0"/>
              <w:rPr>
                <w:sz w:val="24"/>
                <w:szCs w:val="24"/>
                <w:color w:val="auto"/>
              </w:rPr>
            </w:pPr>
          </w:p>
        </w:tc>
        <w:tc>
          <w:tcPr>
            <w:tcW w:w="7240" w:type="dxa"/>
            <w:vAlign w:val="bottom"/>
            <w:gridSpan w:val="2"/>
          </w:tcPr>
          <w:p>
            <w:pPr>
              <w:ind w:left="1740"/>
              <w:spacing w:after="0"/>
              <w:rPr>
                <w:sz w:val="20"/>
                <w:szCs w:val="20"/>
                <w:color w:val="auto"/>
              </w:rPr>
            </w:pPr>
            <w:r>
              <w:rPr>
                <w:rFonts w:ascii="Arial" w:cs="Arial" w:eastAsia="Arial" w:hAnsi="Arial"/>
                <w:sz w:val="18"/>
                <w:szCs w:val="18"/>
                <w:color w:val="auto"/>
              </w:rPr>
              <w:t>By: /s/ Bryan M. Hackworth</w:t>
            </w:r>
          </w:p>
        </w:tc>
      </w:tr>
      <w:tr>
        <w:trPr>
          <w:trHeight w:val="195"/>
        </w:trPr>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3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2019-12-13T08:05:39Z</dcterms:created>
  <dcterms:modified xsi:type="dcterms:W3CDTF">2019-12-13T08:05:39Z</dcterms:modified>
</cp:coreProperties>
</file>