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30, 2005</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jc w:val="center"/>
        <w:ind w:right="-33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(State or other jurisdiction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of incorporation or organization)</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6101 Gateway Drive</w:t>
            </w:r>
          </w:p>
        </w:tc>
        <w:tc>
          <w:tcPr>
            <w:tcW w:w="332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Cypress, California</w:t>
            </w:r>
          </w:p>
        </w:tc>
        <w:tc>
          <w:tcPr>
            <w:tcW w:w="332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4880" w:type="dxa"/>
            <w:vAlign w:val="bottom"/>
          </w:tcPr>
          <w:p>
            <w:pPr>
              <w:jc w:val="center"/>
              <w:ind w:right="18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spacing w:after="0"/>
              <w:rPr>
                <w:sz w:val="20"/>
                <w:szCs w:val="20"/>
                <w:color w:val="auto"/>
              </w:rPr>
            </w:pPr>
          </w:p>
        </w:tc>
      </w:tr>
    </w:tbl>
    <w:p>
      <w:pPr>
        <w:spacing w:after="0" w:line="30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38"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Securities Exchange Act of 1934).</w:t>
      </w:r>
    </w:p>
    <w:p>
      <w:pPr>
        <w:spacing w:after="0" w:line="193" w:lineRule="exact"/>
        <w:rPr>
          <w:sz w:val="20"/>
          <w:szCs w:val="20"/>
          <w:color w:val="auto"/>
        </w:rPr>
      </w:pPr>
    </w:p>
    <w:p>
      <w:pPr>
        <w:ind w:left="2480"/>
        <w:spacing w:after="0" w:line="207" w:lineRule="exact"/>
        <w:tabs>
          <w:tab w:leader="none" w:pos="8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13,386,305 shares of Common Stock, par value $.01 per share, of the registrant were outstanding on August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2"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580" w:type="dxa"/>
            <w:vAlign w:val="bottom"/>
            <w:gridSpan w:val="5"/>
          </w:tcPr>
          <w:p>
            <w:pPr>
              <w:jc w:val="center"/>
              <w:ind w:right="3100"/>
              <w:spacing w:after="0"/>
              <w:rPr>
                <w:sz w:val="20"/>
                <w:szCs w:val="20"/>
                <w:color w:val="auto"/>
              </w:rPr>
            </w:pPr>
            <w:r>
              <w:rPr>
                <w:rFonts w:ascii="Arial" w:cs="Arial" w:eastAsia="Arial" w:hAnsi="Arial"/>
                <w:sz w:val="18"/>
                <w:szCs w:val="18"/>
                <w:b w:val="1"/>
                <w:bCs w:val="1"/>
                <w:color w:val="auto"/>
              </w:rPr>
              <w:t>UNIVERSAL ELECTRONICS INC.</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gridSpan w:val="2"/>
          </w:tcPr>
          <w:p>
            <w:pPr>
              <w:jc w:val="center"/>
              <w:ind w:right="4060"/>
              <w:spacing w:after="0"/>
              <w:rPr>
                <w:sz w:val="20"/>
                <w:szCs w:val="20"/>
                <w:color w:val="auto"/>
              </w:rPr>
            </w:pPr>
            <w:r>
              <w:rPr>
                <w:rFonts w:ascii="Arial" w:cs="Arial" w:eastAsia="Arial" w:hAnsi="Arial"/>
                <w:sz w:val="18"/>
                <w:szCs w:val="18"/>
                <w:color w:val="auto"/>
              </w:rPr>
              <w:t>INDEX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900" w:type="dxa"/>
            <w:vAlign w:val="bottom"/>
            <w:gridSpan w:val="13"/>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7"/>
            <w:vMerge w:val="restart"/>
          </w:tcPr>
          <w:p>
            <w:pPr>
              <w:spacing w:after="0"/>
              <w:rPr>
                <w:sz w:val="24"/>
                <w:szCs w:val="2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3"/>
            <w:vMerge w:val="continue"/>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580" w:type="dxa"/>
            <w:vAlign w:val="bottom"/>
            <w:gridSpan w:val="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gridSpan w:val="18"/>
          </w:tcPr>
          <w:p>
            <w:pPr>
              <w:spacing w:after="0"/>
              <w:rPr>
                <w:sz w:val="20"/>
                <w:szCs w:val="20"/>
                <w:color w:val="auto"/>
              </w:rPr>
            </w:pPr>
            <w:r>
              <w:rPr>
                <w:rFonts w:ascii="Arial" w:cs="Arial" w:eastAsia="Arial" w:hAnsi="Arial"/>
                <w:sz w:val="18"/>
                <w:szCs w:val="18"/>
                <w:color w:val="auto"/>
              </w:rPr>
              <w:t>Notes to Consolidated Financial Statements</w:t>
            </w: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10560" w:type="dxa"/>
            <w:vAlign w:val="bottom"/>
            <w:gridSpan w:val="20"/>
          </w:tcPr>
          <w:p>
            <w:pPr>
              <w:spacing w:after="0" w:line="190" w:lineRule="exact"/>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1"/>
              <w:spacing w:after="0" w:line="190"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54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Item 4. Controls and Procedures</w:t>
              </w:r>
            </w:hyperlink>
          </w:p>
        </w:tc>
        <w:tc>
          <w:tcPr>
            <w:tcW w:w="8220" w:type="dxa"/>
            <w:vAlign w:val="bottom"/>
            <w:gridSpan w:val="9"/>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7980" w:type="dxa"/>
            <w:vAlign w:val="bottom"/>
            <w:gridSpan w:val="8"/>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564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5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 Submission of Matters to a Vote of Security Holders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 Exhibits</w:t>
              </w:r>
            </w:hyperlink>
          </w:p>
        </w:tc>
        <w:tc>
          <w:tcPr>
            <w:tcW w:w="6240" w:type="dxa"/>
            <w:vAlign w:val="bottom"/>
            <w:gridSpan w:val="4"/>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9400" w:type="dxa"/>
            <w:vAlign w:val="bottom"/>
            <w:gridSpan w:val="1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40" w:type="dxa"/>
            <w:vAlign w:val="bottom"/>
            <w:gridSpan w:val="1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Exhibit Index</w:t>
              </w:r>
            </w:hyperlink>
          </w:p>
        </w:tc>
        <w:tc>
          <w:tcPr>
            <w:tcW w:w="9560" w:type="dxa"/>
            <w:vAlign w:val="bottom"/>
            <w:gridSpan w:val="15"/>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440" w:type="dxa"/>
            <w:vAlign w:val="bottom"/>
            <w:gridSpan w:val="13"/>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50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460" w:type="dxa"/>
            <w:vAlign w:val="bottom"/>
            <w:gridSpan w:val="14"/>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020" w:type="dxa"/>
            <w:vAlign w:val="bottom"/>
            <w:gridSpan w:val="19"/>
          </w:tcPr>
          <w:p>
            <w:pPr>
              <w:jc w:val="center"/>
              <w:ind w:left="4310"/>
              <w:spacing w:after="0"/>
              <w:rPr>
                <w:sz w:val="20"/>
                <w:szCs w:val="20"/>
                <w:color w:val="auto"/>
              </w:rPr>
            </w:pPr>
            <w:r>
              <w:rPr>
                <w:rFonts w:ascii="Arial" w:cs="Arial" w:eastAsia="Arial" w:hAnsi="Arial"/>
                <w:sz w:val="18"/>
                <w:szCs w:val="18"/>
                <w:color w:val="auto"/>
                <w:w w:val="99"/>
              </w:rPr>
              <w:t>2</w:t>
            </w:r>
          </w:p>
        </w:tc>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520" w:type="dxa"/>
            <w:vAlign w:val="bottom"/>
          </w:tcPr>
          <w:p>
            <w:pPr>
              <w:spacing w:after="0"/>
              <w:rPr>
                <w:sz w:val="14"/>
                <w:szCs w:val="14"/>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38,531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32,673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22,174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4,076</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101,345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111,378</w:t>
            </w: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3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4,115</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10,508</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6,295</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127,514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96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17,486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taxes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2,721</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accrued expenses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4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31,046</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534</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31,682</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Common stock, $.01 par value, 50,000,000 shares authorized; 16,789,510 and 16,642,743 shares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issued at June 30, 2005 and December 31, 2004, respectively</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Paid-in capital</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80,752</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(3,969)</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48,694</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stock-based compensation</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125,645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127,734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Less cost of common stock in treasury, 3,430,876 and 3,084,591 shares at June 30, 2005 and</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December 31, 2004, respectively</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(29,813)</w:t>
            </w: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(23,853)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95,832</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103,881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127,514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44,322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34,011</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85,824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28,604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21,132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54,389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41,079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15,718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12,879</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31,435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25,544</w:t>
            </w:r>
          </w:p>
        </w:tc>
        <w:tc>
          <w:tcPr>
            <w:tcW w:w="0" w:type="dxa"/>
            <w:vAlign w:val="bottom"/>
          </w:tcPr>
          <w:p>
            <w:pPr>
              <w:spacing w:after="0"/>
              <w:rPr>
                <w:sz w:val="1"/>
                <w:szCs w:val="1"/>
                <w:color w:val="auto"/>
              </w:rPr>
            </w:pPr>
          </w:p>
        </w:tc>
      </w:tr>
      <w:tr>
        <w:trPr>
          <w:trHeight w:val="432"/>
        </w:trPr>
        <w:tc>
          <w:tcPr>
            <w:tcW w:w="55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13,174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25,606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18,838</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14,744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10,462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21,046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5,260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(872)</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(1,859)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(1,789)</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3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earnings per share:</w:t>
            </w: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13,467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13,483</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13,493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13,600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13,983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13,889</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14,032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13,967</w:t>
            </w:r>
          </w:p>
        </w:tc>
        <w:tc>
          <w:tcPr>
            <w:tcW w:w="0" w:type="dxa"/>
            <w:vAlign w:val="bottom"/>
          </w:tcPr>
          <w:p>
            <w:pPr>
              <w:spacing w:after="0"/>
              <w:rPr>
                <w:sz w:val="1"/>
                <w:szCs w:val="1"/>
                <w:color w:val="auto"/>
              </w:rPr>
            </w:pPr>
          </w:p>
        </w:tc>
      </w:tr>
      <w:tr>
        <w:trPr>
          <w:trHeight w:val="20"/>
        </w:trPr>
        <w:tc>
          <w:tcPr>
            <w:tcW w:w="5880" w:type="dxa"/>
            <w:vAlign w:val="bottom"/>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60" w:type="dxa"/>
            <w:vAlign w:val="bottom"/>
            <w:gridSpan w:val="5"/>
          </w:tcPr>
          <w:p>
            <w:pPr>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3,401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3,466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1,820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Provision for doubtful accounts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2,070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Provision for inventory write-downs</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1,741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Shares issued for employee benefit plan</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302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Non-cash stock-based compensation</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Employee and director stock-based compensation</w:t>
            </w:r>
          </w:p>
        </w:tc>
        <w:tc>
          <w:tcPr>
            <w:tcW w:w="320" w:type="dxa"/>
            <w:vAlign w:val="bottom"/>
          </w:tcPr>
          <w:p>
            <w:pPr>
              <w:spacing w:after="0"/>
              <w:rPr>
                <w:sz w:val="20"/>
                <w:szCs w:val="20"/>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169</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2,978</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4"/>
              </w:rPr>
              <w:t>(1,250)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820" w:type="dxa"/>
            <w:vAlign w:val="bottom"/>
            <w:gridSpan w:val="2"/>
          </w:tcPr>
          <w:p>
            <w:pPr>
              <w:jc w:val="right"/>
              <w:ind w:right="183"/>
              <w:spacing w:after="0"/>
              <w:rPr>
                <w:sz w:val="20"/>
                <w:szCs w:val="20"/>
                <w:color w:val="auto"/>
              </w:rPr>
            </w:pPr>
            <w:r>
              <w:rPr>
                <w:rFonts w:ascii="Arial" w:cs="Arial" w:eastAsia="Arial" w:hAnsi="Arial"/>
                <w:sz w:val="18"/>
                <w:szCs w:val="18"/>
                <w:color w:val="auto"/>
                <w:w w:val="94"/>
              </w:rPr>
              <w:t>(1,137)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4"/>
              </w:rPr>
              <w:t>(3,788)</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00"/>
              <w:spacing w:after="0"/>
              <w:rPr>
                <w:sz w:val="20"/>
                <w:szCs w:val="20"/>
                <w:color w:val="auto"/>
              </w:rPr>
            </w:pPr>
            <w:r>
              <w:rPr>
                <w:rFonts w:ascii="Arial" w:cs="Arial" w:eastAsia="Arial" w:hAnsi="Arial"/>
                <w:sz w:val="18"/>
                <w:szCs w:val="18"/>
                <w:color w:val="auto"/>
              </w:rPr>
              <w:t>Accrued income and other taxes</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1,974</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8,196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00" w:type="dxa"/>
            <w:vAlign w:val="bottom"/>
            <w:gridSpan w:val="2"/>
          </w:tcPr>
          <w:p>
            <w:pPr>
              <w:spacing w:after="0"/>
              <w:rPr>
                <w:sz w:val="20"/>
                <w:szCs w:val="20"/>
                <w:color w:val="auto"/>
              </w:rPr>
            </w:pPr>
            <w:r>
              <w:rPr>
                <w:rFonts w:ascii="Arial" w:cs="Arial" w:eastAsia="Arial" w:hAnsi="Arial"/>
                <w:sz w:val="18"/>
                <w:szCs w:val="18"/>
                <w:color w:val="auto"/>
              </w:rPr>
              <w:t>Cash used for investing activities:</w:t>
            </w: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Acquisition of equipment, furniture and fixtures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4"/>
              </w:rPr>
              <w:t>(1,703)</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Acquisition of intangible assets</w:t>
            </w:r>
          </w:p>
        </w:tc>
        <w:tc>
          <w:tcPr>
            <w:tcW w:w="320" w:type="dxa"/>
            <w:vAlign w:val="bottom"/>
          </w:tcPr>
          <w:p>
            <w:pPr>
              <w:spacing w:after="0"/>
              <w:rPr>
                <w:sz w:val="18"/>
                <w:szCs w:val="18"/>
                <w:color w:val="auto"/>
              </w:rPr>
            </w:pPr>
          </w:p>
        </w:tc>
        <w:tc>
          <w:tcPr>
            <w:tcW w:w="820" w:type="dxa"/>
            <w:vAlign w:val="bottom"/>
            <w:gridSpan w:val="2"/>
          </w:tcPr>
          <w:p>
            <w:pPr>
              <w:jc w:val="right"/>
              <w:ind w:right="183"/>
              <w:spacing w:after="0"/>
              <w:rPr>
                <w:sz w:val="20"/>
                <w:szCs w:val="20"/>
                <w:color w:val="auto"/>
              </w:rPr>
            </w:pPr>
            <w:r>
              <w:rPr>
                <w:rFonts w:ascii="Arial" w:cs="Arial" w:eastAsia="Arial" w:hAnsi="Arial"/>
                <w:sz w:val="18"/>
                <w:szCs w:val="18"/>
                <w:color w:val="auto"/>
              </w:rPr>
              <w:t>(499)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Payment for business acquired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(2,216</w:t>
            </w:r>
          </w:p>
        </w:tc>
        <w:tc>
          <w:tcPr>
            <w:tcW w:w="320" w:type="dxa"/>
            <w:vAlign w:val="bottom"/>
          </w:tcPr>
          <w:p>
            <w:pPr>
              <w:jc w:val="right"/>
              <w:ind w:right="183"/>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60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18"/>
                <w:szCs w:val="18"/>
                <w:color w:val="auto"/>
              </w:rPr>
            </w:pP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rPr>
              <w:t>1,310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Treasury stock purchase</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4"/>
              </w:rPr>
              <w:t>(6,110)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100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(4,800</w:t>
            </w:r>
          </w:p>
        </w:tc>
        <w:tc>
          <w:tcPr>
            <w:tcW w:w="320" w:type="dxa"/>
            <w:vAlign w:val="bottom"/>
          </w:tcPr>
          <w:p>
            <w:pPr>
              <w:jc w:val="right"/>
              <w:ind w:right="183"/>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(5,106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w w:val="94"/>
              </w:rPr>
              <w:t>(5,121)</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24"/>
                <w:szCs w:val="24"/>
                <w:color w:val="auto"/>
              </w:rPr>
            </w:pPr>
          </w:p>
        </w:tc>
        <w:tc>
          <w:tcPr>
            <w:tcW w:w="820" w:type="dxa"/>
            <w:vAlign w:val="bottom"/>
            <w:gridSpan w:val="2"/>
          </w:tcPr>
          <w:p>
            <w:pPr>
              <w:jc w:val="right"/>
              <w:ind w:right="183"/>
              <w:spacing w:after="0"/>
              <w:rPr>
                <w:sz w:val="20"/>
                <w:szCs w:val="20"/>
                <w:color w:val="auto"/>
              </w:rPr>
            </w:pPr>
            <w:r>
              <w:rPr>
                <w:rFonts w:ascii="Arial" w:cs="Arial" w:eastAsia="Arial" w:hAnsi="Arial"/>
                <w:sz w:val="18"/>
                <w:szCs w:val="18"/>
                <w:color w:val="auto"/>
                <w:w w:val="94"/>
              </w:rPr>
              <w:t>(3,941)</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w w:val="87"/>
              </w:rPr>
              <w:t>42,472</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58,481</w:t>
            </w: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3"/>
              <w:spacing w:after="0"/>
              <w:rPr>
                <w:sz w:val="20"/>
                <w:szCs w:val="20"/>
                <w:color w:val="auto"/>
              </w:rPr>
            </w:pPr>
            <w:r>
              <w:rPr>
                <w:rFonts w:ascii="Arial" w:cs="Arial" w:eastAsia="Arial" w:hAnsi="Arial"/>
                <w:sz w:val="18"/>
                <w:szCs w:val="18"/>
                <w:color w:val="auto"/>
                <w:w w:val="87"/>
              </w:rPr>
              <w:t>38,531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57,174</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6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0" w:type="dxa"/>
            <w:vAlign w:val="bottom"/>
            <w:gridSpan w:val="2"/>
          </w:tcPr>
          <w:p>
            <w:pPr>
              <w:ind w:left="56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consolidated financial statements include the accounts of the Company and its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related notes contained in our 2004 Annual Report on Form 10-K. The financial information presented in the accompanying statements reflect all adjustments that are, in the opinion of management, necessary for a fair statement of the results for the periods presented. All such adjustments are of a normal recurring nature. As used herein, the terms “we,” “us” and “our” refer to Universal Electronics Inc. and its subsidiaries unless the context indicates to the contrary.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 of assets and liabilities, disclosure of contingent assets and liabilities, and the amount of revenue and expense during the period. On an on-going basis, we evaluate our estimates and judgments, including those related to revenue recognition, allowance for sales returns and doubtful accounts, warranties, inventory valuation, review for impairment of long-lived assets, identifiable intangible assets, goodwill, contingencies, and income taxes. Actual results may differ from those estimated and the estimates may be adjusted as more information becomes available. Any adjustment could be significant.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account for stock-based employee compensation by applying the intrinsic-value method in accordance with the provisions of Accounting Principles Board Opinion (APB) No. 25, “Accounting for Stock Issued to Employees.” Under the intrinsic-value method, compensation cost is the excess, if any, of the quoted market price of the stock at the grant date over the amount an employee must pay to acquire the stock. We grant stock options with an exercise price equal to the market value of the common stock on the date of grant, and therefore no compensation expense has been recognized related to options.</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adopted the disclosure requirements of SFAS No. 123, “Accounting for Stock-Based Compensation,” as amended by SFAS No. 148, “Accounting for Stock-Based Compensation — Transition and Disclosure.” Under SFAS 123, compensation expense is recognized based on the fair value of the stock options granted and recognized over the period during which an employee is required to provide service in exchange for the award (usually the vesting period). The fair value of the options granted is determined at the date of grant using the Black-Scholes option valuation model. If we had elected to recognize compensation cost based on the fair value of the awards at the grant date, net income would have been the pro forma amounts shown below.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 June 30,</w:t>
            </w: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2004*</w:t>
            </w:r>
          </w:p>
        </w:tc>
        <w:tc>
          <w:tcPr>
            <w:tcW w:w="3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2"/>
                <w:szCs w:val="12"/>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1,545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1,688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3,466</w:t>
            </w:r>
          </w:p>
        </w:tc>
        <w:tc>
          <w:tcPr>
            <w:tcW w:w="320" w:type="dxa"/>
            <w:vAlign w:val="bottom"/>
          </w:tcPr>
          <w:p>
            <w:pPr>
              <w:spacing w:after="0"/>
              <w:rPr>
                <w:sz w:val="18"/>
                <w:szCs w:val="18"/>
                <w:color w:val="auto"/>
              </w:rPr>
            </w:pPr>
          </w:p>
        </w:tc>
      </w:tr>
      <w:tr>
        <w:trPr>
          <w:trHeight w:val="202"/>
        </w:trPr>
        <w:tc>
          <w:tcPr>
            <w:tcW w:w="54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Less: Total stock-based employee compensation expense</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16"/>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9"/>
              </w:rPr>
              <w:t>determined under the fair value based method for all awards,</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of related tax effects</w:t>
            </w: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w:t>
            </w: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w:t>
            </w:r>
          </w:p>
        </w:tc>
        <w:tc>
          <w:tcPr>
            <w:tcW w:w="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(1,252)</w:t>
            </w: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(1,119)</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Pro forma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1,058</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2,149</w:t>
            </w: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2,347</w:t>
            </w:r>
          </w:p>
        </w:tc>
        <w:tc>
          <w:tcPr>
            <w:tcW w:w="3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As reported</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reported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r>
      <w:tr>
        <w:trPr>
          <w:trHeight w:val="230"/>
        </w:trPr>
        <w:tc>
          <w:tcPr>
            <w:tcW w:w="5460" w:type="dxa"/>
            <w:vAlign w:val="bottom"/>
          </w:tcPr>
          <w:p>
            <w:pPr>
              <w:ind w:left="220"/>
              <w:spacing w:after="0"/>
              <w:rPr>
                <w:sz w:val="20"/>
                <w:szCs w:val="20"/>
                <w:color w:val="auto"/>
              </w:rPr>
            </w:pPr>
            <w:r>
              <w:rPr>
                <w:rFonts w:ascii="Arial" w:cs="Arial" w:eastAsia="Arial" w:hAnsi="Arial"/>
                <w:sz w:val="18"/>
                <w:szCs w:val="18"/>
                <w:color w:val="auto"/>
              </w:rPr>
              <w:t>Pro forma</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compensation and the resulting pro forma net income and earnings per share for the three and six months ended June 30, 2004 have been revised to reflect the effect of stock option forfeitures.</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were 115,500 options granted during the three months ended June 30, 2005. The Black-Scholes option valuation model was used to estimate the grant date fair value of the options during the three months ended June 30, 2005 utilizing the following assumptions: risk-free interest rate of approximately 3.96%, expected volatility of 47.66%, expected life of five years, and the common stock will not pay dividends. The per-share weighted average grant date fair value of the options granted during the three months ended June 30, 2005 is $7.70.</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were 610,500 options granted during the six months ended June 30, 2005. The Black-Scholes option valuation model was used to estimate the grant date fair value of the options during the six months ended June 30, 2005 utilizing the following assumptions: risk-free interest rate of approximately 3.71%, expected volatility of 58.78%, expected life of five years, and the common stock will not pay dividends. The per-share weighted average grant date fair value of the options granted during the six months ended June 30, 2005 is $9.32.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Revenue Concentrations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Trade receivables subject us to a concentration of credit risk. This risk is mitigated by a number of factors. These factors include the size, strength, and number of customers comprising our customer base, and our performance of ongoing credit evaluations.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had sales to one significant customer of $7.0 million and $4.0 million representing 15.8% and 11.7% of our net sales for the three months ended June 30, 2005 and 2004, respectively. Trade receivable with this customer amounted to $2.5 million or 7.6% and $2.4 million or 5.9% of our total accounts receivable at June 30, 2005 and December 31, 2004, respectively. In addition, for the same periods, we had sales to a customer and its sub-contractors that, when combined, totaled $8.0 million and $1.9 million accounting for 18.1% and 5.6% of net sales for the three months ended June 30, 2005 and 2004, respectively. Trade receivable with this customer and its subcontractors amounted to $4.8 million or 14.6% and $2.4 million or 5.7% of our total trade receivables at June 30, 2005 and December 31, 2004, respectively.</w:t>
      </w:r>
    </w:p>
    <w:p>
      <w:pPr>
        <w:spacing w:after="0" w:line="85"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We had sales to the same significant customer of $11.8 million and $7.8 million representing 13.7% and 11.7% of our net sales for the six months ended June 30, 2005 and 2004, respectively. In addition, for the same periods, we had sales to a customer and its subcontractors that, when combined, totaled $16.9 million and $4.0 million accounting for 19.7% and 6.0% of net sales for the six months ended June 30, 2005 and 2004,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Suppliers</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Most of the components used in our products are available from multiple sources. However, we have elected to purchase integrated circuits, used principally in our wireless control products, and certain other components, from three main sources. These three sources each provide in excess of ten percent (10%) of the microprocessors used in our products. Purchases from these three major suppliers amounted to $9.5 million, $2.4 million and $2.3 million representing</w:t>
      </w:r>
    </w:p>
    <w:p>
      <w:pPr>
        <w:spacing w:after="0" w:line="255" w:lineRule="auto"/>
        <w:rPr>
          <w:sz w:val="20"/>
          <w:szCs w:val="20"/>
          <w:color w:val="auto"/>
        </w:rPr>
      </w:pPr>
      <w:r>
        <w:rPr>
          <w:rFonts w:ascii="Arial" w:cs="Arial" w:eastAsia="Arial" w:hAnsi="Arial"/>
          <w:sz w:val="18"/>
          <w:szCs w:val="18"/>
          <w:color w:val="auto"/>
        </w:rPr>
        <w:t>41.0%, 10.3% and 10.0%, respectively, of total inventory purchases in the quarter ended June 30, 2005. During the quarter ended June 30, 2004, purchases from these three major suppliers amounted to $6.5 million, $3.1 million and $1.9 million representing 22.6%, 10.8% and 6.8%, respectively, of total inventory purchases.</w:t>
      </w:r>
    </w:p>
    <w:p>
      <w:pPr>
        <w:spacing w:after="0" w:line="82"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During the six months ended June 30, 2005, purchases from these three suppliers amounted to $18.4 million, $4.9 million and $4.4 million representing 39.9%, 10.7%, and 9.4%, respectively, of total inventory purchases. During the six months ended June 30, 2004, purchases from these three suppliers amounted to $10.3 million, $2.6 million and $5.2 million representing 22.2%, 5.5%, and 11.3%, respectively, of total inventory purchases.</w:t>
      </w:r>
    </w:p>
    <w:p>
      <w:pPr>
        <w:spacing w:after="0" w:line="3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Accounts payable with the aforementioned three suppliers amounted to $6.4 million, $1.1 million and $1.5 million, respectively, representing 36.7%, 6.1% and 8.7% of the total accounts payable at June 30, 2005. At December 31, 2004 accounts payable for these three suppliers amounted to $5.9 million,</w:t>
      </w:r>
    </w:p>
    <w:p>
      <w:pPr>
        <w:ind w:right="180"/>
        <w:spacing w:after="0" w:line="261" w:lineRule="auto"/>
        <w:rPr>
          <w:sz w:val="20"/>
          <w:szCs w:val="20"/>
          <w:color w:val="auto"/>
        </w:rPr>
      </w:pPr>
      <w:r>
        <w:rPr>
          <w:rFonts w:ascii="Arial" w:cs="Arial" w:eastAsia="Arial" w:hAnsi="Arial"/>
          <w:sz w:val="18"/>
          <w:szCs w:val="18"/>
          <w:color w:val="auto"/>
        </w:rPr>
        <w:t>$0.6 million and $1.4 million, representing 33.8%, 3.5% and 8.0% of the total accounts payable at December 31, 2004. There was one additional significant supplier with accounts payable of $2.0 million or 11.6% of the total accounts payable at December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Inventories consisting of wireless control devices, audio/video accessories, and the related component parts, are valued at the lower of cost or market. Cost is determined using the first-in, first-out method. New product innovations and technological advances may shorten a given product’s life cycle. We continually monitor our inventory status to control inventory levels and to ensure that we dispose of any excess or obsolete inventories on hand. We write down our inventory for estimated obsolescence equal to the difference between the cost of inventory and the estimated market value based upon our best estimates about future demand and market conditions. If the actual market conditions are less favorable than those projected by management, additional inventory write-downs may be required.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June 30, 2005</w:t>
            </w:r>
          </w:p>
        </w:tc>
        <w:tc>
          <w:tcPr>
            <w:tcW w:w="52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16,217</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15,640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22,174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23,862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During the quarter ended June 30, 2005 inventory write-downs totaled $0.8 million compared to $1.5 million recorded in the quarter ended June 30, 2004. During the six months ended June 30, 2005 inventory write-downs totaled $1.7 million compared to $2.2 million recorded in the six months ended June 30, 2004. Inventory write-downs are a normal part of our business, and result primarily from product life cycle estimation variances.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use the estimated effective tax rate for the year to determine our provision for income taxes. We recorded income tax expense of $0.9 million for the three months ended June 30, 2005 compared to $0.9 million for the same period last year. Our estimated effective tax rate was 35.8% and 34.1% during the three months ended June 30, 2005 and 2004, respectively. We recorded income tax expense of $1.9 million for the six months ended June 30, 2005 compared to $1.8 million for the same period last year. Our estimated effective tax rate was 35.3% and 34.0% during the six months ended June 30, 2005 and 2004,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June 30, 2005 and 2004, 1,027,500 and 1,031,000 stock options, respectively, with exercise prices greater than the average market price of the underlying common stock were excluded because their inclusion would have been antidilutive. In the computation of diluted earnings per common share for the six months ended June 30, 2005 and 2004, approximately 1,027,000 and 1,031,000 stock options, respectively, with exercise prices greater than the average market price of the underlying common stock were excluded because their inclusion would have been antidilutive.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Earnings per share for the three and six months ended June 30, 2005 and 2004 are calculated as follows (in thousands, except per-share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June 30, 2005</w:t>
            </w:r>
          </w:p>
        </w:tc>
        <w:tc>
          <w:tcPr>
            <w:tcW w:w="4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June 30, 2004</w:t>
            </w:r>
          </w:p>
        </w:tc>
        <w:tc>
          <w:tcPr>
            <w:tcW w:w="44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b w:val="1"/>
                <w:bCs w:val="1"/>
                <w:color w:val="auto"/>
              </w:rPr>
              <w:t>June 30, 2005</w:t>
            </w:r>
          </w:p>
        </w:tc>
        <w:tc>
          <w:tcPr>
            <w:tcW w:w="46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ind w:left="2120"/>
              <w:spacing w:after="0"/>
              <w:rPr>
                <w:sz w:val="20"/>
                <w:szCs w:val="20"/>
                <w:color w:val="auto"/>
              </w:rPr>
            </w:pPr>
            <w:r>
              <w:rPr>
                <w:rFonts w:ascii="Arial" w:cs="Arial" w:eastAsia="Arial" w:hAnsi="Arial"/>
                <w:sz w:val="18"/>
                <w:szCs w:val="18"/>
                <w:b w:val="1"/>
                <w:bCs w:val="1"/>
                <w:color w:val="auto"/>
              </w:rPr>
              <w:t>BASIC</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1,545</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1,688</w:t>
            </w: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8"/>
              <w:spacing w:after="0"/>
              <w:rPr>
                <w:sz w:val="20"/>
                <w:szCs w:val="20"/>
                <w:color w:val="auto"/>
              </w:rPr>
            </w:pPr>
            <w:r>
              <w:rPr>
                <w:rFonts w:ascii="Arial" w:cs="Arial" w:eastAsia="Arial" w:hAnsi="Arial"/>
                <w:sz w:val="18"/>
                <w:szCs w:val="18"/>
                <w:color w:val="auto"/>
              </w:rPr>
              <w:t>3,401</w:t>
            </w: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13,467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13,483</w:t>
            </w: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3"/>
              </w:rPr>
              <w:t>13,493</w:t>
            </w: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13,600</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6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DILUTED</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1,545</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1,688</w:t>
            </w: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8"/>
              <w:spacing w:after="0"/>
              <w:rPr>
                <w:sz w:val="20"/>
                <w:szCs w:val="20"/>
                <w:color w:val="auto"/>
              </w:rPr>
            </w:pPr>
            <w:r>
              <w:rPr>
                <w:rFonts w:ascii="Arial" w:cs="Arial" w:eastAsia="Arial" w:hAnsi="Arial"/>
                <w:sz w:val="18"/>
                <w:szCs w:val="18"/>
                <w:color w:val="auto"/>
              </w:rPr>
              <w:t>3,401</w:t>
            </w: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3,466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13,467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13,483</w:t>
            </w: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3"/>
              </w:rPr>
              <w:t>13,493</w:t>
            </w: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406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88"/>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common shares outstanding on a diluted basis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13,983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13,889</w:t>
            </w:r>
          </w:p>
        </w:tc>
        <w:tc>
          <w:tcPr>
            <w:tcW w:w="4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3"/>
              </w:rPr>
              <w:t>14,032</w:t>
            </w: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13,967</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60" w:type="dxa"/>
            <w:vAlign w:val="bottom"/>
          </w:tcPr>
          <w:p>
            <w:pPr>
              <w:spacing w:after="0"/>
              <w:rPr>
                <w:sz w:val="18"/>
                <w:szCs w:val="18"/>
                <w:color w:val="auto"/>
              </w:rPr>
            </w:pPr>
          </w:p>
        </w:tc>
        <w:tc>
          <w:tcPr>
            <w:tcW w:w="820" w:type="dxa"/>
            <w:vAlign w:val="bottom"/>
            <w:gridSpan w:val="2"/>
          </w:tcPr>
          <w:p>
            <w:pPr>
              <w:ind w:left="7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(loss) income are listed below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gridSpan w:val="10"/>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9"/>
          </w:tcPr>
          <w:p>
            <w:pPr>
              <w:ind w:left="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8"/>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$ 1,545</w:t>
            </w: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25"/>
              <w:spacing w:after="0"/>
              <w:rPr>
                <w:sz w:val="20"/>
                <w:szCs w:val="20"/>
                <w:color w:val="auto"/>
              </w:rPr>
            </w:pPr>
            <w:r>
              <w:rPr>
                <w:rFonts w:ascii="Arial" w:cs="Arial" w:eastAsia="Arial" w:hAnsi="Arial"/>
                <w:sz w:val="18"/>
                <w:szCs w:val="18"/>
                <w:color w:val="auto"/>
              </w:rPr>
              <w:t>$ 3,401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$ 3,466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translations</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(4,650)</w:t>
            </w: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165"/>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ind w:left="60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(3,105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1,169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(4,139</w:t>
            </w:r>
          </w:p>
        </w:tc>
        <w:tc>
          <w:tcPr>
            <w:tcW w:w="300" w:type="dxa"/>
            <w:vAlign w:val="bottom"/>
          </w:tcPr>
          <w:p>
            <w:pPr>
              <w:jc w:val="right"/>
              <w:ind w:right="165"/>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2,302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 (Expense), Net</w:t>
            </w: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gridSpan w:val="6"/>
          </w:tcPr>
          <w:p>
            <w:pPr>
              <w:spacing w:after="0"/>
              <w:rPr>
                <w:sz w:val="20"/>
                <w:szCs w:val="20"/>
                <w:color w:val="auto"/>
              </w:rPr>
            </w:pPr>
            <w:r>
              <w:rPr>
                <w:rFonts w:ascii="Arial" w:cs="Arial" w:eastAsia="Arial" w:hAnsi="Arial"/>
                <w:sz w:val="18"/>
                <w:szCs w:val="18"/>
                <w:color w:val="auto"/>
              </w:rPr>
              <w:t>The components of other income (expense), net are the following (in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11"/>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8"/>
          </w:tcPr>
          <w:p>
            <w:pPr>
              <w:jc w:val="center"/>
              <w:ind w:left="25"/>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gridSpan w:val="2"/>
          </w:tcPr>
          <w:p>
            <w:pPr>
              <w:spacing w:after="0"/>
              <w:rPr>
                <w:sz w:val="12"/>
                <w:szCs w:val="12"/>
                <w:color w:val="auto"/>
              </w:rPr>
            </w:pPr>
          </w:p>
        </w:tc>
        <w:tc>
          <w:tcPr>
            <w:tcW w:w="68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exchange</w:t>
            </w:r>
          </w:p>
        </w:tc>
        <w:tc>
          <w:tcPr>
            <w:tcW w:w="11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2,244</w:t>
            </w:r>
          </w:p>
        </w:tc>
        <w:tc>
          <w:tcPr>
            <w:tcW w:w="98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2,249</w:t>
            </w:r>
          </w:p>
        </w:tc>
        <w:tc>
          <w:tcPr>
            <w:tcW w:w="98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purchased 356,285 shares of our common stock at a cost of $6.1 million during the six months ended June 30, 2005. During the six months ended</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June 30, 2004, we purchased 435,290 shares of our common stock at a cost of $5.7 million. We hold shares purchased from the open market as treasury stock and they are available to be reissued.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FASB Staff Position (“FSP”) No. 109-1, “Application of FASB Statement No. 109, Accounting for Income Taxes, to the Tax Deduction on Qualified Production Activities Provided by the American Jobs Creation Act of 2004,” (“FSP 109-1”), provides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w:t>
      </w:r>
    </w:p>
    <w:p>
      <w:pPr>
        <w:sectPr>
          <w:pgSz w:w="11900" w:h="16838" w:orient="portrait"/>
          <w:cols w:equalWidth="0" w:num="1">
            <w:col w:w="11420"/>
          </w:cols>
          <w:pgMar w:left="240" w:top="419" w:right="239" w:bottom="1043"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43"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 (b) assessing whether a valuation allowance is necessary as required by paragraph 232 of Statement 109. We are currently evaluating the effect that the adoption of FSP 109-1 will have on our consolidated results of operations and financial condition but do not expect it will have a material impact.</w:t>
      </w:r>
    </w:p>
    <w:p>
      <w:pPr>
        <w:spacing w:after="0" w:line="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 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establishes new standards for how an issuer classifies and measures certain financial instruments that have the characteristics of both liabilities and equity. SFAS 150 is effective for financial instruments entered into or modified after May 31, 2003 and otherwise was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5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2005, the SEC issued Staff Accounting Bulletin No. 107 (“SAB 107”) regarding the SEC’s interpretation of SFAS 123R and the valuation of share-based payments for public companies. We are evaluating the requirements of SFAS 123R and SAB 107 and expect that the adoption of SFAS 123R on January 1, 2006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 under SFAS 123.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composed of two operating segments. Under the requirements of SFAS 142,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is the other operating segment and is a “reporting unit” as well.</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$7.2 million was allocated to goodwill and $2.8 million was allocated to amortizable intangible assets including engineering contracts, developed and core technology, and trademarks and trade names.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140" w:type="dxa"/>
            <w:vAlign w:val="bottom"/>
            <w:gridSpan w:val="4"/>
          </w:tcPr>
          <w:p>
            <w:pPr>
              <w:ind w:left="32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2004</w:t>
            </w:r>
          </w:p>
        </w:tc>
        <w:tc>
          <w:tcPr>
            <w:tcW w:w="360" w:type="dxa"/>
            <w:vAlign w:val="bottom"/>
            <w:tcBorders>
              <w:bottom w:val="single" w:sz="8" w:color="auto"/>
            </w:tcBorders>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Core Business Segment</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85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1,191</w:t>
            </w:r>
          </w:p>
        </w:tc>
      </w:tr>
      <w:tr>
        <w:trPr>
          <w:trHeight w:val="216"/>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2,157</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2,318</w:t>
            </w:r>
          </w:p>
        </w:tc>
      </w:tr>
      <w:tr>
        <w:trPr>
          <w:trHeight w:val="223"/>
        </w:trPr>
        <w:tc>
          <w:tcPr>
            <w:tcW w:w="8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36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SimpleDevices</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7,146</w:t>
            </w:r>
          </w:p>
        </w:tc>
      </w:tr>
      <w:tr>
        <w:trPr>
          <w:trHeight w:val="223"/>
        </w:trPr>
        <w:tc>
          <w:tcPr>
            <w:tcW w:w="8520" w:type="dxa"/>
            <w:vAlign w:val="bottom"/>
          </w:tcPr>
          <w:p>
            <w:pPr>
              <w:ind w:left="620"/>
              <w:spacing w:after="0"/>
              <w:rPr>
                <w:sz w:val="20"/>
                <w:szCs w:val="20"/>
                <w:color w:val="auto"/>
              </w:rPr>
            </w:pPr>
            <w:r>
              <w:rPr>
                <w:rFonts w:ascii="Arial" w:cs="Arial" w:eastAsia="Arial" w:hAnsi="Arial"/>
                <w:sz w:val="18"/>
                <w:szCs w:val="18"/>
                <w:color w:val="auto"/>
              </w:rPr>
              <w:t>Total Goodwill</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10,508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10,655</w:t>
            </w:r>
          </w:p>
        </w:tc>
        <w:tc>
          <w:tcPr>
            <w:tcW w:w="36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difference in international goodwill reported at June 30, 2005, as compared to the goodwill reported at December 31, 2004,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Besides Goodwill, our other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two to ten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June 30, 2005</w:t>
            </w:r>
          </w:p>
        </w:tc>
        <w:tc>
          <w:tcPr>
            <w:tcW w:w="5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December 31, 2004</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Distribution rights (10 years)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405</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 (10 years)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4,361</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3,945</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Trademark and trade names (10 years)</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979</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and core technology (5 years)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2,410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2,410</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Capitalized software (2 years)</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849</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(5-7 years)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carrying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9,372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9,058</w:t>
            </w:r>
          </w:p>
        </w:tc>
        <w:tc>
          <w:tcPr>
            <w:tcW w:w="5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Distribution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1,619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1,463</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Trademark and trade names</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and core technology</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429</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297</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3,077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2,508</w:t>
            </w:r>
          </w:p>
        </w:tc>
        <w:tc>
          <w:tcPr>
            <w:tcW w:w="5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Distribution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351</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2,742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2,482</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Trademark and trade names</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904</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and core technology</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1,658</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1,981</w:t>
            </w:r>
          </w:p>
        </w:tc>
      </w:tr>
      <w:tr>
        <w:trPr>
          <w:trHeight w:val="216"/>
        </w:trPr>
        <w:tc>
          <w:tcPr>
            <w:tcW w:w="8400" w:type="dxa"/>
            <w:vAlign w:val="bottom"/>
          </w:tcPr>
          <w:p>
            <w:pPr>
              <w:ind w:left="42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552</w:t>
            </w: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6,295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6,550</w:t>
            </w:r>
          </w:p>
        </w:tc>
        <w:tc>
          <w:tcPr>
            <w:tcW w:w="5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Amortization expense for the three and six months ended June 30, 2005 was approximately $0.3 million and $0.7 million, respectively. Amortization expense for the three and six months ended June 30, 2004 was approximately $0.1 and $0.3 million, respectively. Estimated amortization expense for existing intangible assets for each of the five succeeding years ending December 31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2005 (remaining six months)</w:t>
            </w:r>
          </w:p>
        </w:tc>
        <w:tc>
          <w:tcPr>
            <w:tcW w:w="5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  689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2006</w:t>
            </w:r>
          </w:p>
        </w:tc>
        <w:tc>
          <w:tcPr>
            <w:tcW w:w="5080" w:type="dxa"/>
            <w:vAlign w:val="bottom"/>
          </w:tcPr>
          <w:p>
            <w:pPr>
              <w:jc w:val="right"/>
              <w:ind w:right="250"/>
              <w:spacing w:after="0"/>
              <w:rPr>
                <w:sz w:val="20"/>
                <w:szCs w:val="20"/>
                <w:color w:val="auto"/>
              </w:rPr>
            </w:pPr>
            <w:r>
              <w:rPr>
                <w:rFonts w:ascii="Arial" w:cs="Arial" w:eastAsia="Arial" w:hAnsi="Arial"/>
                <w:sz w:val="18"/>
                <w:szCs w:val="18"/>
                <w:color w:val="auto"/>
              </w:rPr>
              <w:t>1,373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2008</w:t>
            </w:r>
          </w:p>
        </w:tc>
        <w:tc>
          <w:tcPr>
            <w:tcW w:w="5080" w:type="dxa"/>
            <w:vAlign w:val="bottom"/>
          </w:tcPr>
          <w:p>
            <w:pPr>
              <w:jc w:val="right"/>
              <w:ind w:right="250"/>
              <w:spacing w:after="0"/>
              <w:rPr>
                <w:sz w:val="20"/>
                <w:szCs w:val="20"/>
                <w:color w:val="auto"/>
              </w:rPr>
            </w:pPr>
            <w:r>
              <w:rPr>
                <w:rFonts w:ascii="Arial" w:cs="Arial" w:eastAsia="Arial" w:hAnsi="Arial"/>
                <w:sz w:val="18"/>
                <w:szCs w:val="18"/>
                <w:color w:val="auto"/>
              </w:rPr>
              <w:t>962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862</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2010</w:t>
            </w:r>
          </w:p>
        </w:tc>
        <w:tc>
          <w:tcPr>
            <w:tcW w:w="5080" w:type="dxa"/>
            <w:vAlign w:val="bottom"/>
          </w:tcPr>
          <w:p>
            <w:pPr>
              <w:jc w:val="right"/>
              <w:ind w:right="250"/>
              <w:spacing w:after="0"/>
              <w:rPr>
                <w:sz w:val="20"/>
                <w:szCs w:val="20"/>
                <w:color w:val="auto"/>
              </w:rPr>
            </w:pPr>
            <w:r>
              <w:rPr>
                <w:rFonts w:ascii="Arial" w:cs="Arial" w:eastAsia="Arial" w:hAnsi="Arial"/>
                <w:sz w:val="18"/>
                <w:szCs w:val="18"/>
                <w:color w:val="auto"/>
              </w:rPr>
              <w:t>555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foreign currency exposures are primarily concentrated in the Euro and British Pound. We do not enter into financial instruments for speculation or trading purposes. Depending on the predictability of future receivables, payables and cash flows in each operating currency, we periodically enter into foreign currency exchange contracts with terms normally lasting less than six months to protect against the adverse effects that exchange-rate fluctuations may have on our foreign currency-denominated receivables, payables and cash flows. These derivatives have not qualified for hedge accounting. The gains and losses on both the derivatives and the foreign currency-denominated balances are recorded as foreign exchange transaction gains or losses in other income.</w:t>
      </w:r>
    </w:p>
    <w:p>
      <w:pPr>
        <w:spacing w:after="0" w:line="5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the quarter ended June 30, 2005 we entered into foreign currency exchange contracts which resulted in a net gain of approximately $35 thousand. We had three foreign currency exchange contracts outstanding at June 30, 2005, two forward contracts with a combined notional value of $15.0 million, and one option structure known as a participating forward with a notional value of $25.0 million. We had no foreign currency exchange contracts or other derivatives at December 31, 2004.</w:t>
      </w:r>
    </w:p>
    <w:p>
      <w:pPr>
        <w:sectPr>
          <w:pgSz w:w="11900" w:h="16838" w:orient="portrait"/>
          <w:cols w:equalWidth="0" w:num="1">
            <w:col w:w="11420"/>
          </w:cols>
          <w:pgMar w:left="240" w:top="419"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Participating Forward</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entered into a USD/Euro participating forward with a 50% participation rate and a notional value of $25.0 million in April 2005. The strike price of the participating forward is $1.2675. The contract expires on December 30, 2005.</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gain recorded during the quarter ended June 30, 2005 was approximately $1.0 million, and the value of this contract was approximately $1.0 million at June 30, 2005. The value of the contract is included in prepaid expenses and other current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two reportable segments, Core Business and SimpleDevices. The Core Business segment produces a broad line of easy-to-use, pre-programmed universal wireless control products that are marketed principally for home video and audio entertainment equipment through various channels of distribution, including international retail, private label, OEMs, cable and satellite service providers, and to companies in the computing industry. The SimpleDevices segment produces connected-device technology solutions, as well as hardware reference designs, that link the home computer and the Internet to existing consumer electronic devices in the home and car using Universal Plug and Play (“UPnP”) compatible software that is marketed primarily to OEMs.</w:t>
      </w:r>
    </w:p>
    <w:p>
      <w:pPr>
        <w:spacing w:after="0" w:line="5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disaggregated financial results for our reportable segments have been prepared using a management approach, which is consistent with the basis and manner in which we make internal operating and resource allocation decisions. The accounting policies of the reportable segments are the same as those described under the “Summary of Significant Accounting Policies” section contained in our 2004 Annual Report on Form 10-K. The segment information does not include a full allocation of corporate overhead costs between the SimpleDevices and Core Business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17"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During the fourth quarter of 2004 we purchased SimpleDevices, Inc. for approximately $12.8 million in cash, including direct acquisition costs, and a potential performance-based payment of our unregistered common stock, if certain future financial objectives are achieved. As a result of the performance based incentive and other factors, we review SimpleDevices operating results on a regular basis. As the integration of SimpleDevices operations continues, and the performance based incentive expires, we may or may not determine in the future that SimpleDevices will continue to be a reportable segment in accordance with SFAS 131. Other factors that we considered in the determination of reportable operating segments included product differences, current management structure, distribution methods, and economic characteristics. We concluded, as of June 30, 2005, that reporting SimpleDevices as a reportable segment is in accordance with SFAS 131.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for the quarter ended June 30, 2005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Quarter Ended June 30, 2005</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Core Business</w:t>
            </w:r>
          </w:p>
        </w:tc>
        <w:tc>
          <w:tcPr>
            <w:tcW w:w="48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SimpleDevices (1)</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44,195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44,322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818</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940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135</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3,480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w w:val="91"/>
              </w:rPr>
              <w:t>(1,075)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2,405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123,840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3,674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127,514</w:t>
            </w:r>
          </w:p>
        </w:tc>
      </w:tr>
      <w:tr>
        <w:trPr>
          <w:trHeight w:val="405"/>
        </w:trPr>
        <w:tc>
          <w:tcPr>
            <w:tcW w:w="4060" w:type="dxa"/>
            <w:vAlign w:val="bottom"/>
          </w:tcPr>
          <w:p>
            <w:pPr>
              <w:spacing w:after="0"/>
              <w:rPr>
                <w:sz w:val="24"/>
                <w:szCs w:val="24"/>
                <w:color w:val="auto"/>
              </w:rPr>
            </w:pPr>
          </w:p>
        </w:tc>
        <w:tc>
          <w:tcPr>
            <w:tcW w:w="2520" w:type="dxa"/>
            <w:vAlign w:val="bottom"/>
          </w:tcPr>
          <w:p>
            <w:pPr>
              <w:jc w:val="right"/>
              <w:ind w:right="69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40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for the six months ended June 30, 2005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 2005</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Core Business</w:t>
            </w:r>
          </w:p>
        </w:tc>
        <w:tc>
          <w:tcPr>
            <w:tcW w:w="48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SimpleDevices (1)</w:t>
            </w:r>
          </w:p>
        </w:tc>
        <w:tc>
          <w:tcPr>
            <w:tcW w:w="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85,173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651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85,824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1,576</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244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1,820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352</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7,023</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w w:val="91"/>
              </w:rPr>
              <w:t>(1,763)</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8"/>
                <w:szCs w:val="18"/>
                <w:color w:val="auto"/>
              </w:rPr>
              <w:t>5,260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6"/>
              </w:rPr>
              <w:t>123,840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3,674</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127,514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100" w:hanging="452"/>
        <w:spacing w:after="0" w:line="31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SimpleDevices was acquired in October 2004, consequently the results of operations and assets of SimpleDevices are not presented for the quarter and year to date ended June 30, 2004. In addition, the results of operations and assets for the Core Business segment are not presented for quarter and year to date ended June 30, 2004 as they correspond to the income and assets in the accompanying unaudited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presented below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2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4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36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$25,741</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color w:val="auto"/>
              </w:rPr>
              <w:t>$17,749</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$49,046</w:t>
            </w:r>
          </w:p>
        </w:tc>
        <w:tc>
          <w:tcPr>
            <w:tcW w:w="1680" w:type="dxa"/>
            <w:vAlign w:val="bottom"/>
            <w:gridSpan w:val="4"/>
          </w:tcPr>
          <w:p>
            <w:pPr>
              <w:jc w:val="right"/>
              <w:ind w:right="320"/>
              <w:spacing w:after="0"/>
              <w:rPr>
                <w:sz w:val="20"/>
                <w:szCs w:val="20"/>
                <w:color w:val="auto"/>
              </w:rPr>
            </w:pPr>
            <w:r>
              <w:rPr>
                <w:rFonts w:ascii="Arial" w:cs="Arial" w:eastAsia="Arial" w:hAnsi="Arial"/>
                <w:sz w:val="18"/>
                <w:szCs w:val="18"/>
                <w:color w:val="auto"/>
              </w:rPr>
              <w:t>$35,454</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United Kingdom</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3,893</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color w:val="auto"/>
              </w:rPr>
              <w:t>5,177</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8,061</w:t>
            </w:r>
          </w:p>
        </w:tc>
        <w:tc>
          <w:tcPr>
            <w:tcW w:w="1680" w:type="dxa"/>
            <w:vAlign w:val="bottom"/>
            <w:gridSpan w:val="4"/>
          </w:tcPr>
          <w:p>
            <w:pPr>
              <w:jc w:val="right"/>
              <w:ind w:right="320"/>
              <w:spacing w:after="0"/>
              <w:rPr>
                <w:sz w:val="20"/>
                <w:szCs w:val="20"/>
                <w:color w:val="auto"/>
              </w:rPr>
            </w:pPr>
            <w:r>
              <w:rPr>
                <w:rFonts w:ascii="Arial" w:cs="Arial" w:eastAsia="Arial" w:hAnsi="Arial"/>
                <w:sz w:val="18"/>
                <w:szCs w:val="18"/>
                <w:color w:val="auto"/>
              </w:rPr>
              <w:t>10,967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Asia</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3,690</w:t>
            </w:r>
          </w:p>
        </w:tc>
        <w:tc>
          <w:tcPr>
            <w:tcW w:w="17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1,187</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6,432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Spain</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1,739</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color w:val="auto"/>
              </w:rPr>
              <w:t>3,128</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4,129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4,279</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Germany</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1,543</w:t>
            </w:r>
          </w:p>
        </w:tc>
        <w:tc>
          <w:tcPr>
            <w:tcW w:w="17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1,633</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3,636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France</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1,644</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color w:val="auto"/>
              </w:rPr>
              <w:t>1,508</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3,074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3,173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Switzerland</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1,840</w:t>
            </w:r>
          </w:p>
        </w:tc>
        <w:tc>
          <w:tcPr>
            <w:tcW w:w="17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2,953</w:t>
            </w:r>
          </w:p>
        </w:tc>
        <w:tc>
          <w:tcPr>
            <w:tcW w:w="16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979</w:t>
            </w:r>
          </w:p>
        </w:tc>
      </w:tr>
      <w:tr>
        <w:trPr>
          <w:trHeight w:val="216"/>
        </w:trPr>
        <w:tc>
          <w:tcPr>
            <w:tcW w:w="2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rPr>
              <w:t>South Africa</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745</w:t>
            </w:r>
          </w:p>
        </w:tc>
        <w:tc>
          <w:tcPr>
            <w:tcW w:w="1740" w:type="dxa"/>
            <w:vAlign w:val="bottom"/>
            <w:gridSpan w:val="4"/>
          </w:tcPr>
          <w:p>
            <w:pPr>
              <w:jc w:val="right"/>
              <w:ind w:right="340"/>
              <w:spacing w:after="0"/>
              <w:rPr>
                <w:sz w:val="20"/>
                <w:szCs w:val="20"/>
                <w:color w:val="auto"/>
              </w:rPr>
            </w:pPr>
            <w:r>
              <w:rPr>
                <w:rFonts w:ascii="Arial" w:cs="Arial" w:eastAsia="Arial" w:hAnsi="Arial"/>
                <w:sz w:val="18"/>
                <w:szCs w:val="18"/>
                <w:color w:val="auto"/>
              </w:rPr>
              <w:t>466</w:t>
            </w:r>
          </w:p>
        </w:tc>
        <w:tc>
          <w:tcPr>
            <w:tcW w:w="1600" w:type="dxa"/>
            <w:vAlign w:val="bottom"/>
            <w:gridSpan w:val="4"/>
          </w:tcPr>
          <w:p>
            <w:pPr>
              <w:jc w:val="right"/>
              <w:ind w:right="340"/>
              <w:spacing w:after="0"/>
              <w:rPr>
                <w:sz w:val="20"/>
                <w:szCs w:val="20"/>
                <w:color w:val="auto"/>
              </w:rPr>
            </w:pPr>
            <w:r>
              <w:rPr>
                <w:rFonts w:ascii="Arial" w:cs="Arial" w:eastAsia="Arial" w:hAnsi="Arial"/>
                <w:sz w:val="18"/>
                <w:szCs w:val="18"/>
                <w:color w:val="auto"/>
              </w:rPr>
              <w:t>1,072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All Other</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3,487</w:t>
            </w:r>
          </w:p>
        </w:tc>
        <w:tc>
          <w:tcPr>
            <w:tcW w:w="17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2,467</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7,421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3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400"/>
              <w:spacing w:after="0"/>
              <w:rPr>
                <w:sz w:val="20"/>
                <w:szCs w:val="20"/>
                <w:color w:val="auto"/>
              </w:rPr>
            </w:pPr>
            <w:r>
              <w:rPr>
                <w:rFonts w:ascii="Arial" w:cs="Arial" w:eastAsia="Arial" w:hAnsi="Arial"/>
                <w:sz w:val="18"/>
                <w:szCs w:val="18"/>
                <w:color w:val="auto"/>
              </w:rPr>
              <w:t>Total International</w:t>
            </w:r>
          </w:p>
        </w:tc>
        <w:tc>
          <w:tcPr>
            <w:tcW w:w="3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18,581</w:t>
            </w:r>
          </w:p>
        </w:tc>
        <w:tc>
          <w:tcPr>
            <w:tcW w:w="32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16,262</w:t>
            </w:r>
          </w:p>
        </w:tc>
        <w:tc>
          <w:tcPr>
            <w:tcW w:w="34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36,778</w:t>
            </w: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31,169</w:t>
            </w:r>
          </w:p>
        </w:tc>
        <w:tc>
          <w:tcPr>
            <w:tcW w:w="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$44,322</w:t>
            </w:r>
          </w:p>
        </w:tc>
        <w:tc>
          <w:tcPr>
            <w:tcW w:w="17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$34,011</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$85,824</w:t>
            </w:r>
          </w:p>
        </w:tc>
        <w:tc>
          <w:tcPr>
            <w:tcW w:w="16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$66,623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1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June 30, 2005</w:t>
            </w:r>
          </w:p>
        </w:tc>
        <w:tc>
          <w:tcPr>
            <w:tcW w:w="5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December 31, 2004</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4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5700" w:type="dxa"/>
            <w:vAlign w:val="bottom"/>
            <w:gridSpan w:val="4"/>
          </w:tcPr>
          <w:p>
            <w:pPr>
              <w:jc w:val="right"/>
              <w:ind w:right="340"/>
              <w:spacing w:after="0"/>
              <w:rPr>
                <w:sz w:val="20"/>
                <w:szCs w:val="20"/>
                <w:color w:val="auto"/>
              </w:rPr>
            </w:pPr>
            <w:r>
              <w:rPr>
                <w:rFonts w:ascii="Arial" w:cs="Arial" w:eastAsia="Arial" w:hAnsi="Arial"/>
                <w:sz w:val="18"/>
                <w:szCs w:val="18"/>
                <w:color w:val="auto"/>
              </w:rPr>
              <w:t>$3,036</w:t>
            </w:r>
          </w:p>
        </w:tc>
        <w:tc>
          <w:tcPr>
            <w:tcW w:w="1920" w:type="dxa"/>
            <w:vAlign w:val="bottom"/>
            <w:gridSpan w:val="4"/>
          </w:tcPr>
          <w:p>
            <w:pPr>
              <w:jc w:val="right"/>
              <w:ind w:right="50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5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1,453</w:t>
            </w:r>
          </w:p>
        </w:tc>
        <w:tc>
          <w:tcPr>
            <w:tcW w:w="19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4,489</w:t>
            </w: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6,667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600" w:type="dxa"/>
            <w:vAlign w:val="bottom"/>
            <w:vMerge w:val="restart"/>
          </w:tcPr>
          <w:p>
            <w:pPr>
              <w:jc w:val="right"/>
              <w:ind w:right="251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1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following unaudited pro forma financial information presents the combined results of our operations and SimpleDevices as if the acquisition had occurred as of the beginning of the periods presented. Adjustments of $28,000 for the quarter ended June 30, 2004 and $56,000 for the six months ended June 30, 2004 have been made to the combined results of operations, reflecting primarily amortization of purchased intangible assets, net of tax.</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for the three and six months ended June 30, 2005 and 2004 are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1"/>
              </w:rPr>
              <w:t>2004 (1)</w:t>
            </w:r>
          </w:p>
        </w:tc>
        <w:tc>
          <w:tcPr>
            <w:tcW w:w="4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1"/>
              </w:rPr>
              <w:t>2004 (1)</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7"/>
              </w:rPr>
              <w:t>44,322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7"/>
              </w:rPr>
              <w:t>34,286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3"/>
              </w:rPr>
              <w:t>85,824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67,255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6"/>
              <w:spacing w:after="0"/>
              <w:rPr>
                <w:sz w:val="20"/>
                <w:szCs w:val="20"/>
                <w:color w:val="auto"/>
              </w:rPr>
            </w:pPr>
            <w:r>
              <w:rPr>
                <w:rFonts w:ascii="Arial" w:cs="Arial" w:eastAsia="Arial" w:hAnsi="Arial"/>
                <w:sz w:val="18"/>
                <w:szCs w:val="18"/>
                <w:color w:val="auto"/>
              </w:rPr>
              <w:t>1,545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1,320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3,401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2,812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220" w:type="dxa"/>
            <w:vAlign w:val="bottom"/>
          </w:tcPr>
          <w:p>
            <w:pPr>
              <w:ind w:left="4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6"/>
              <w:spacing w:after="0"/>
              <w:rPr>
                <w:sz w:val="20"/>
                <w:szCs w:val="20"/>
                <w:color w:val="auto"/>
              </w:rPr>
            </w:pPr>
            <w:r>
              <w:rPr>
                <w:rFonts w:ascii="Arial" w:cs="Arial" w:eastAsia="Arial" w:hAnsi="Arial"/>
                <w:sz w:val="18"/>
                <w:szCs w:val="18"/>
                <w:color w:val="auto"/>
              </w:rPr>
              <w:t>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0.10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0.25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4"/>
              <w:spacing w:after="0"/>
              <w:rPr>
                <w:sz w:val="20"/>
                <w:szCs w:val="20"/>
                <w:color w:val="auto"/>
              </w:rPr>
            </w:pPr>
            <w:r>
              <w:rPr>
                <w:rFonts w:ascii="Arial" w:cs="Arial" w:eastAsia="Arial" w:hAnsi="Arial"/>
                <w:sz w:val="18"/>
                <w:szCs w:val="18"/>
                <w:color w:val="auto"/>
              </w:rPr>
              <w:t>0.21</w:t>
            </w:r>
          </w:p>
        </w:tc>
      </w:tr>
      <w:tr>
        <w:trPr>
          <w:trHeight w:val="216"/>
        </w:trPr>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0.10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pro-forma net income does not reflect the write-off of $240,000 of acquired in-process research and development of SimpleDevices.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73"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We warrant our products against defects in materials and workmanship arising during normal use and service. We service warranty claims directly through our customer service department or contracted third-party warranty repair facilities. Our warranty period ranges up to three years. We provide for estimated product warranty expenses as we sell the related products. Because warranty expense is a forecast based on the best available information, mostly historical claims experience, actual claim costs may differ from the amounts provided. The change in the liability for product warranties is presented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vMerge w:val="restart"/>
          </w:tcPr>
          <w:p>
            <w:pPr>
              <w:jc w:val="right"/>
              <w:ind w:right="236"/>
              <w:spacing w:after="0"/>
              <w:rPr>
                <w:sz w:val="20"/>
                <w:szCs w:val="20"/>
                <w:color w:val="auto"/>
              </w:rPr>
            </w:pPr>
            <w:r>
              <w:rPr>
                <w:rFonts w:ascii="Arial" w:cs="Arial" w:eastAsia="Arial" w:hAnsi="Arial"/>
                <w:sz w:val="14"/>
                <w:szCs w:val="14"/>
                <w:b w:val="1"/>
                <w:bCs w:val="1"/>
                <w:color w:val="auto"/>
              </w:rPr>
              <w:t>Balance at</w:t>
            </w:r>
          </w:p>
        </w:tc>
        <w:tc>
          <w:tcPr>
            <w:tcW w:w="4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Accruals for</w:t>
            </w:r>
          </w:p>
        </w:tc>
        <w:tc>
          <w:tcPr>
            <w:tcW w:w="44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Settlements</w:t>
            </w:r>
          </w:p>
        </w:tc>
        <w:tc>
          <w:tcPr>
            <w:tcW w:w="46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Warranties</w:t>
            </w:r>
          </w:p>
        </w:tc>
        <w:tc>
          <w:tcPr>
            <w:tcW w:w="440" w:type="dxa"/>
            <w:vAlign w:val="bottom"/>
          </w:tcPr>
          <w:p>
            <w:pPr>
              <w:spacing w:after="0"/>
              <w:rPr>
                <w:sz w:val="12"/>
                <w:szCs w:val="12"/>
                <w:color w:val="auto"/>
              </w:rPr>
            </w:pPr>
          </w:p>
        </w:tc>
        <w:tc>
          <w:tcPr>
            <w:tcW w:w="13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 Cash or in</w:t>
            </w: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Pr>
          <w:p>
            <w:pPr>
              <w:spacing w:after="0"/>
              <w:rPr>
                <w:sz w:val="12"/>
                <w:szCs w:val="12"/>
                <w:color w:val="auto"/>
              </w:rPr>
            </w:pP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Beginning of</w:t>
            </w:r>
          </w:p>
        </w:tc>
        <w:tc>
          <w:tcPr>
            <w:tcW w:w="4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Issued During</w:t>
            </w:r>
          </w:p>
        </w:tc>
        <w:tc>
          <w:tcPr>
            <w:tcW w:w="440" w:type="dxa"/>
            <w:vAlign w:val="bottom"/>
          </w:tcPr>
          <w:p>
            <w:pPr>
              <w:spacing w:after="0"/>
              <w:rPr>
                <w:sz w:val="12"/>
                <w:szCs w:val="12"/>
                <w:color w:val="auto"/>
              </w:rPr>
            </w:pP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Kind) During</w:t>
            </w:r>
          </w:p>
        </w:tc>
        <w:tc>
          <w:tcPr>
            <w:tcW w:w="4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71"/>
        </w:trPr>
        <w:tc>
          <w:tcPr>
            <w:tcW w:w="458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the Period</w:t>
            </w:r>
          </w:p>
        </w:tc>
        <w:tc>
          <w:tcPr>
            <w:tcW w:w="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0"/>
              </w:rPr>
              <w:t>the Period</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Six Months Ended June 30, 2005</w:t>
            </w:r>
          </w:p>
        </w:tc>
        <w:tc>
          <w:tcPr>
            <w:tcW w:w="42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56"/>
              <w:spacing w:after="0" w:line="195" w:lineRule="exact"/>
              <w:rPr>
                <w:sz w:val="20"/>
                <w:szCs w:val="20"/>
                <w:color w:val="auto"/>
              </w:rPr>
            </w:pPr>
            <w:r>
              <w:rPr>
                <w:rFonts w:ascii="Arial" w:cs="Arial" w:eastAsia="Arial" w:hAnsi="Arial"/>
                <w:sz w:val="18"/>
                <w:szCs w:val="18"/>
                <w:color w:val="auto"/>
                <w:w w:val="89"/>
              </w:rPr>
              <w:t>167,614</w:t>
            </w:r>
          </w:p>
        </w:tc>
        <w:tc>
          <w:tcPr>
            <w:tcW w:w="420" w:type="dxa"/>
            <w:vAlign w:val="bottom"/>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21,710</w:t>
            </w:r>
          </w:p>
        </w:tc>
        <w:tc>
          <w:tcPr>
            <w:tcW w:w="440" w:type="dxa"/>
            <w:vAlign w:val="bottom"/>
          </w:tcPr>
          <w:p>
            <w:pPr>
              <w:spacing w:after="0"/>
              <w:rPr>
                <w:sz w:val="16"/>
                <w:szCs w:val="16"/>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96"/>
              <w:spacing w:after="0" w:line="195" w:lineRule="exact"/>
              <w:rPr>
                <w:sz w:val="20"/>
                <w:szCs w:val="20"/>
                <w:color w:val="auto"/>
              </w:rPr>
            </w:pPr>
            <w:r>
              <w:rPr>
                <w:rFonts w:ascii="Arial" w:cs="Arial" w:eastAsia="Arial" w:hAnsi="Arial"/>
                <w:sz w:val="18"/>
                <w:szCs w:val="18"/>
                <w:color w:val="auto"/>
              </w:rPr>
              <w:t>(28,734)</w:t>
            </w:r>
          </w:p>
        </w:tc>
        <w:tc>
          <w:tcPr>
            <w:tcW w:w="460" w:type="dxa"/>
            <w:vAlign w:val="bottom"/>
          </w:tcPr>
          <w:p>
            <w:pPr>
              <w:spacing w:after="0"/>
              <w:rPr>
                <w:sz w:val="16"/>
                <w:szCs w:val="16"/>
                <w:color w:val="auto"/>
              </w:rPr>
            </w:pPr>
          </w:p>
        </w:tc>
        <w:tc>
          <w:tcPr>
            <w:tcW w:w="1140" w:type="dxa"/>
            <w:vAlign w:val="bottom"/>
          </w:tcPr>
          <w:p>
            <w:pPr>
              <w:jc w:val="right"/>
              <w:ind w:right="184"/>
              <w:spacing w:after="0" w:line="195" w:lineRule="exact"/>
              <w:rPr>
                <w:sz w:val="20"/>
                <w:szCs w:val="20"/>
                <w:color w:val="auto"/>
              </w:rPr>
            </w:pPr>
            <w:r>
              <w:rPr>
                <w:rFonts w:ascii="Arial" w:cs="Arial" w:eastAsia="Arial" w:hAnsi="Arial"/>
                <w:sz w:val="18"/>
                <w:szCs w:val="18"/>
                <w:color w:val="auto"/>
              </w:rPr>
              <w:t>$160,590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Six Months Ended June 30, 2004</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56"/>
              <w:spacing w:after="0"/>
              <w:rPr>
                <w:sz w:val="20"/>
                <w:szCs w:val="20"/>
                <w:color w:val="auto"/>
              </w:rPr>
            </w:pPr>
            <w:r>
              <w:rPr>
                <w:rFonts w:ascii="Arial" w:cs="Arial" w:eastAsia="Arial" w:hAnsi="Arial"/>
                <w:sz w:val="18"/>
                <w:szCs w:val="18"/>
                <w:color w:val="auto"/>
              </w:rPr>
              <w:t>95,005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0"/>
              <w:spacing w:after="0"/>
              <w:rPr>
                <w:sz w:val="20"/>
                <w:szCs w:val="20"/>
                <w:color w:val="auto"/>
              </w:rPr>
            </w:pPr>
            <w:r>
              <w:rPr>
                <w:rFonts w:ascii="Arial" w:cs="Arial" w:eastAsia="Arial" w:hAnsi="Arial"/>
                <w:sz w:val="18"/>
                <w:szCs w:val="18"/>
                <w:color w:val="auto"/>
                <w:w w:val="86"/>
              </w:rPr>
              <w:t>216,609</w:t>
            </w:r>
          </w:p>
        </w:tc>
        <w:tc>
          <w:tcPr>
            <w:tcW w:w="780" w:type="dxa"/>
            <w:vAlign w:val="bottom"/>
            <w:gridSpan w:val="2"/>
          </w:tcPr>
          <w:p>
            <w:pPr>
              <w:ind w:left="70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96"/>
              <w:spacing w:after="0"/>
              <w:rPr>
                <w:sz w:val="20"/>
                <w:szCs w:val="20"/>
                <w:color w:val="auto"/>
              </w:rPr>
            </w:pPr>
            <w:r>
              <w:rPr>
                <w:rFonts w:ascii="Arial" w:cs="Arial" w:eastAsia="Arial" w:hAnsi="Arial"/>
                <w:sz w:val="18"/>
                <w:szCs w:val="18"/>
                <w:color w:val="auto"/>
                <w:w w:val="90"/>
              </w:rPr>
              <w:t>(127,609)</w:t>
            </w:r>
          </w:p>
        </w:tc>
        <w:tc>
          <w:tcPr>
            <w:tcW w:w="1600" w:type="dxa"/>
            <w:vAlign w:val="bottom"/>
            <w:gridSpan w:val="2"/>
          </w:tcPr>
          <w:p>
            <w:pPr>
              <w:jc w:val="right"/>
              <w:ind w:right="184"/>
              <w:spacing w:after="0"/>
              <w:rPr>
                <w:sz w:val="20"/>
                <w:szCs w:val="20"/>
                <w:color w:val="auto"/>
              </w:rPr>
            </w:pPr>
            <w:r>
              <w:rPr>
                <w:rFonts w:ascii="Arial" w:cs="Arial" w:eastAsia="Arial" w:hAnsi="Arial"/>
                <w:sz w:val="18"/>
                <w:szCs w:val="18"/>
                <w:color w:val="auto"/>
              </w:rPr>
              <w:t>$184,005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first six months of 2004 there were several warranty issues that came about during the normal course of business. As of June 30, 2005, all but one of the issues has been resolved and we do not believe there is any remaining exposure relating to the other warranty issues. The one remaining issue is specifically reserved for at June 30,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has been recorded as a liability as of June 30, 2005. With respect to the remaining matters before the court, the court appointed expert has not yet finalized his pre-trial report to the court,</w:t>
      </w:r>
    </w:p>
    <w:p>
      <w:pPr>
        <w:sectPr>
          <w:pgSz w:w="11900" w:h="16838" w:orient="portrait"/>
          <w:cols w:equalWidth="0" w:num="1">
            <w:col w:w="11420"/>
          </w:cols>
          <w:pgMar w:left="240" w:top="419"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filing of which is expected to occur during the quarter ending September 30, 2005. It is our intention to seek a settlement of all of these matters, but if settlement is not possible, each of the subsidiaries will continue to disagree with the allegations of the former distributor and will vigorously defended itself against the counterclaims.</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(or that it is probable we have incurred a loss contingency)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June 30, 2005.</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a broad line of easy-to-use, pre-programmed universal wireless control products and audio-video accessories that are marketed to enhance home entertainment systems. Our channels of distribution include international retail, U.S. retail, private label, OEMs, custom installers,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devices worldwide.</w:t>
      </w:r>
    </w:p>
    <w:p>
      <w:pPr>
        <w:spacing w:after="0" w:line="8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of over 177,000 IR codes that cover nearly 216,000 individual device functions and over 2,500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our wireless control devices by adding IR codes from our library that were not originally included.</w:t>
      </w:r>
    </w:p>
    <w:p>
      <w:pPr>
        <w:spacing w:after="0" w:line="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in 2002, we began selling our Nevo® 1.0 software embedded on our chip to a third-party supplier of personal digital assistant devices (PDAs). Nevo 2.0® was launched in July of 2004. Building on this platform, we used some components of the Nevo 2.0® technology in a new product named “NevoSL®” which began shipping during the second quarter. NevoSL® is a universal controller that delivers complete audio, visual and Wi-Fi digital media control for the networked home.</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performance-based payment of our unregistered common stock to be paid in the future if certain financial objectives are achieved. We did not reflect the value of the unregistered common stock as part of the purchase price as of June 30, 2005 since we did not believe that it was probable the performance metrics will be met.</w:t>
      </w:r>
    </w:p>
    <w:p>
      <w:pPr>
        <w:spacing w:after="0" w:line="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value we received from this acquisition relates primarily to SimpleDevices’ unique capabilities, as well as its complete and in-process technology. SimpleDevices has developed connected-device technology solutions that link the home computer and the Internet to existing consumer electronic devices in the home and car. The company provides Universal Plug and Play (UPnP) compatible software to transform common home devices into “connected” devices</w:t>
      </w:r>
    </w:p>
    <w:p>
      <w:pPr>
        <w:ind w:right="100"/>
        <w:spacing w:after="0" w:line="253" w:lineRule="auto"/>
        <w:rPr>
          <w:sz w:val="20"/>
          <w:szCs w:val="20"/>
          <w:color w:val="auto"/>
        </w:rPr>
      </w:pPr>
      <w:r>
        <w:rPr>
          <w:rFonts w:ascii="Arial" w:cs="Arial" w:eastAsia="Arial" w:hAnsi="Arial"/>
          <w:sz w:val="18"/>
          <w:szCs w:val="18"/>
          <w:color w:val="auto"/>
        </w:rPr>
        <w:t>— that is, allow them to find, control and share entertainment media across a home network. UPnP is an architecture for pervasive peer-to-peer network connectivity of intelligent appliances, wireless devices, and PCs of all form factors. It is designed to bring standards-based connectivity to ad-hoc or unmanaged networks whether in the home, in a small business, public spaces, or attached to the Internet. UPnP is a distributed, open networking architecture that leverages TCP/IP and the Web technologies to enable proximity networking in addition to control and data transfer among networked devices in the home, office, and public spaces.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results of operations expressed as a percentage of net sales for the three and six months ended June 30, 2005 and 2004: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12"/>
          </w:tcPr>
          <w:p>
            <w:pPr>
              <w:jc w:val="right"/>
              <w:ind w:right="270"/>
              <w:spacing w:after="0"/>
              <w:rPr>
                <w:sz w:val="20"/>
                <w:szCs w:val="20"/>
                <w:color w:val="auto"/>
              </w:rPr>
            </w:pPr>
            <w:r>
              <w:rPr>
                <w:rFonts w:ascii="Arial" w:cs="Arial" w:eastAsia="Arial" w:hAnsi="Arial"/>
                <w:sz w:val="14"/>
                <w:szCs w:val="14"/>
                <w:b w:val="1"/>
                <w:bCs w:val="1"/>
                <w:color w:val="auto"/>
                <w:w w:val="93"/>
              </w:rPr>
              <w:t>Three Months Ended June 30,</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center"/>
              <w:ind w:right="25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gridSpan w:val="3"/>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auto"/>
            </w:tcBorders>
          </w:tcPr>
          <w:p>
            <w:pPr>
              <w:spacing w:after="0"/>
              <w:rPr>
                <w:sz w:val="12"/>
                <w:szCs w:val="12"/>
                <w:color w:val="auto"/>
              </w:rPr>
            </w:pPr>
          </w:p>
        </w:tc>
        <w:tc>
          <w:tcPr>
            <w:tcW w:w="560" w:type="dxa"/>
            <w:vAlign w:val="bottom"/>
            <w:gridSpan w:val="2"/>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80" w:type="dxa"/>
            <w:vAlign w:val="bottom"/>
            <w:gridSpan w:val="8"/>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1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60" w:type="dxa"/>
            <w:vAlign w:val="bottom"/>
            <w:gridSpan w:val="7"/>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gridSpan w:val="2"/>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64.</w:t>
            </w:r>
            <w:r>
              <w:rPr>
                <w:rFonts w:ascii="Arial" w:cs="Arial" w:eastAsia="Arial" w:hAnsi="Arial"/>
                <w:sz w:val="18"/>
                <w:szCs w:val="18"/>
                <w:u w:val="single" w:color="auto"/>
                <w:color w:val="auto"/>
                <w:w w:val="91"/>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62.</w:t>
            </w:r>
            <w:r>
              <w:rPr>
                <w:rFonts w:ascii="Arial" w:cs="Arial" w:eastAsia="Arial" w:hAnsi="Arial"/>
                <w:sz w:val="18"/>
                <w:szCs w:val="18"/>
                <w:u w:val="single" w:color="auto"/>
                <w:color w:val="auto"/>
                <w:w w:val="85"/>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63.</w:t>
            </w:r>
            <w:r>
              <w:rPr>
                <w:rFonts w:ascii="Arial" w:cs="Arial" w:eastAsia="Arial" w:hAnsi="Arial"/>
                <w:sz w:val="18"/>
                <w:szCs w:val="18"/>
                <w:u w:val="single" w:color="auto"/>
                <w:color w:val="auto"/>
                <w:w w:val="85"/>
              </w:rPr>
              <w:t>4</w:t>
            </w: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gridSpan w:val="2"/>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36.6</w:t>
            </w: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6</w:t>
            </w:r>
          </w:p>
        </w:tc>
        <w:tc>
          <w:tcPr>
            <w:tcW w:w="32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8</w:t>
            </w: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u w:val="single" w:color="auto"/>
                <w:color w:val="auto"/>
              </w:rPr>
              <w:t>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33.</w:t>
            </w:r>
            <w:r>
              <w:rPr>
                <w:rFonts w:ascii="Arial" w:cs="Arial" w:eastAsia="Arial" w:hAnsi="Arial"/>
                <w:sz w:val="18"/>
                <w:szCs w:val="18"/>
                <w:u w:val="single" w:color="auto"/>
                <w:color w:val="auto"/>
                <w:w w:val="91"/>
              </w:rPr>
              <w:t>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30.</w:t>
            </w:r>
            <w:r>
              <w:rPr>
                <w:rFonts w:ascii="Arial" w:cs="Arial" w:eastAsia="Arial" w:hAnsi="Arial"/>
                <w:sz w:val="18"/>
                <w:szCs w:val="18"/>
                <w:u w:val="single" w:color="auto"/>
                <w:color w:val="auto"/>
                <w:w w:val="85"/>
              </w:rPr>
              <w:t>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33.</w:t>
            </w:r>
            <w:r>
              <w:rPr>
                <w:rFonts w:ascii="Arial" w:cs="Arial" w:eastAsia="Arial" w:hAnsi="Arial"/>
                <w:sz w:val="18"/>
                <w:szCs w:val="18"/>
                <w:u w:val="single" w:color="auto"/>
                <w:color w:val="auto"/>
                <w:w w:val="85"/>
              </w:rPr>
              <w:t>5</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31.</w:t>
            </w:r>
            <w:r>
              <w:rPr>
                <w:rFonts w:ascii="Arial" w:cs="Arial" w:eastAsia="Arial" w:hAnsi="Arial"/>
                <w:sz w:val="18"/>
                <w:szCs w:val="18"/>
                <w:u w:val="single" w:color="auto"/>
                <w:color w:val="auto"/>
                <w:w w:val="85"/>
              </w:rPr>
              <w:t>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Interest income, net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7"/>
          </w:tcPr>
          <w:p>
            <w:pPr>
              <w:jc w:val="right"/>
              <w:ind w:right="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240" w:type="dxa"/>
            <w:vAlign w:val="bottom"/>
            <w:gridSpan w:val="6"/>
          </w:tcPr>
          <w:p>
            <w:pPr>
              <w:jc w:val="right"/>
              <w:ind w:right="20"/>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gridSpan w:val="2"/>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60" w:type="dxa"/>
            <w:vAlign w:val="bottom"/>
            <w:gridSpan w:val="4"/>
          </w:tcPr>
          <w:p>
            <w:pPr>
              <w:jc w:val="right"/>
              <w:ind w:right="180"/>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60" w:type="dxa"/>
            <w:vAlign w:val="bottom"/>
            <w:gridSpan w:val="3"/>
          </w:tcPr>
          <w:p>
            <w:pPr>
              <w:jc w:val="right"/>
              <w:ind w:right="110"/>
              <w:spacing w:after="0"/>
              <w:rPr>
                <w:sz w:val="20"/>
                <w:szCs w:val="20"/>
                <w:color w:val="auto"/>
              </w:rPr>
            </w:pPr>
            <w:r>
              <w:rPr>
                <w:rFonts w:ascii="Arial" w:cs="Arial" w:eastAsia="Arial" w:hAnsi="Arial"/>
                <w:sz w:val="18"/>
                <w:szCs w:val="18"/>
                <w:color w:val="auto"/>
              </w:rPr>
              <w:t>5.0%</w:t>
            </w:r>
          </w:p>
        </w:tc>
        <w:tc>
          <w:tcPr>
            <w:tcW w:w="840" w:type="dxa"/>
            <w:vAlign w:val="bottom"/>
            <w:gridSpan w:val="2"/>
            <w:vMerge w:val="continue"/>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5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60" w:type="dxa"/>
            <w:vAlign w:val="bottom"/>
            <w:gridSpan w:val="3"/>
          </w:tcPr>
          <w:p>
            <w:pPr>
              <w:jc w:val="right"/>
              <w:ind w:right="9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31"/>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Second Quarter 2005 versus Second Quarter 2004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rPr>
              <w:t>$ (millions)</w:t>
            </w:r>
          </w:p>
        </w:tc>
        <w:tc>
          <w:tcPr>
            <w:tcW w:w="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jc w:val="right"/>
              <w:ind w:right="130"/>
              <w:spacing w:after="0" w:line="142" w:lineRule="exact"/>
              <w:rPr>
                <w:sz w:val="20"/>
                <w:szCs w:val="20"/>
                <w:color w:val="auto"/>
              </w:rPr>
            </w:pPr>
            <w:r>
              <w:rPr>
                <w:rFonts w:ascii="Arial" w:cs="Arial" w:eastAsia="Arial" w:hAnsi="Arial"/>
                <w:sz w:val="14"/>
                <w:szCs w:val="14"/>
                <w:b w:val="1"/>
                <w:bCs w:val="1"/>
                <w:color w:val="auto"/>
              </w:rPr>
              <w:t>% of total</w:t>
            </w:r>
          </w:p>
        </w:tc>
        <w:tc>
          <w:tcPr>
            <w:tcW w:w="50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 (millions)</w:t>
            </w:r>
          </w:p>
        </w:tc>
        <w:tc>
          <w:tcPr>
            <w:tcW w:w="5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jc w:val="right"/>
              <w:ind w:right="130"/>
              <w:spacing w:after="0" w:line="142"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00"/>
              <w:spacing w:after="0"/>
              <w:rPr>
                <w:sz w:val="20"/>
                <w:szCs w:val="20"/>
                <w:color w:val="auto"/>
              </w:rPr>
            </w:pPr>
            <w:r>
              <w:rPr>
                <w:rFonts w:ascii="Arial" w:cs="Arial" w:eastAsia="Arial" w:hAnsi="Arial"/>
                <w:sz w:val="18"/>
                <w:szCs w:val="18"/>
                <w:color w:val="auto"/>
              </w:rPr>
              <w:t>Business</w:t>
            </w:r>
          </w:p>
        </w:tc>
        <w:tc>
          <w:tcPr>
            <w:tcW w:w="720" w:type="dxa"/>
            <w:vAlign w:val="bottom"/>
            <w:gridSpan w:val="5"/>
          </w:tcPr>
          <w:p>
            <w:pPr>
              <w:jc w:val="right"/>
              <w:ind w:right="4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18"/>
                <w:szCs w:val="18"/>
                <w:color w:val="auto"/>
              </w:rPr>
            </w:pPr>
          </w:p>
        </w:tc>
        <w:tc>
          <w:tcPr>
            <w:tcW w:w="1580" w:type="dxa"/>
            <w:vAlign w:val="bottom"/>
            <w:gridSpan w:val="8"/>
          </w:tcPr>
          <w:p>
            <w:pPr>
              <w:jc w:val="right"/>
              <w:ind w:right="90"/>
              <w:spacing w:after="0"/>
              <w:rPr>
                <w:sz w:val="20"/>
                <w:szCs w:val="20"/>
                <w:color w:val="auto"/>
              </w:rPr>
            </w:pPr>
            <w:r>
              <w:rPr>
                <w:rFonts w:ascii="Arial" w:cs="Arial" w:eastAsia="Arial" w:hAnsi="Arial"/>
                <w:sz w:val="18"/>
                <w:szCs w:val="18"/>
                <w:color w:val="auto"/>
              </w:rPr>
              <w:t>73.4%</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$21.2</w:t>
            </w:r>
          </w:p>
        </w:tc>
        <w:tc>
          <w:tcPr>
            <w:tcW w:w="1560" w:type="dxa"/>
            <w:vAlign w:val="bottom"/>
            <w:gridSpan w:val="7"/>
          </w:tcPr>
          <w:p>
            <w:pPr>
              <w:jc w:val="right"/>
              <w:ind w:right="9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Consumer</w:t>
            </w:r>
          </w:p>
        </w:tc>
        <w:tc>
          <w:tcPr>
            <w:tcW w:w="7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8</w:t>
            </w:r>
          </w:p>
        </w:tc>
        <w:tc>
          <w:tcPr>
            <w:tcW w:w="280" w:type="dxa"/>
            <w:vAlign w:val="bottom"/>
            <w:shd w:val="clear" w:color="auto" w:fill="CCEEFF"/>
          </w:tcPr>
          <w:p>
            <w:pPr>
              <w:spacing w:after="0"/>
              <w:rPr>
                <w:sz w:val="18"/>
                <w:szCs w:val="18"/>
                <w:color w:val="auto"/>
              </w:rPr>
            </w:pPr>
          </w:p>
        </w:tc>
        <w:tc>
          <w:tcPr>
            <w:tcW w:w="1580" w:type="dxa"/>
            <w:vAlign w:val="bottom"/>
            <w:gridSpan w:val="8"/>
            <w:shd w:val="clear" w:color="auto" w:fill="CCEEFF"/>
          </w:tcPr>
          <w:p>
            <w:pPr>
              <w:jc w:val="right"/>
              <w:ind w:right="90"/>
              <w:spacing w:after="0"/>
              <w:rPr>
                <w:sz w:val="20"/>
                <w:szCs w:val="20"/>
                <w:color w:val="auto"/>
              </w:rPr>
            </w:pPr>
            <w:r>
              <w:rPr>
                <w:rFonts w:ascii="Arial" w:cs="Arial" w:eastAsia="Arial" w:hAnsi="Arial"/>
                <w:sz w:val="18"/>
                <w:szCs w:val="18"/>
                <w:color w:val="auto"/>
              </w:rPr>
              <w:t>26.6%</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8</w:t>
            </w:r>
          </w:p>
        </w:tc>
        <w:tc>
          <w:tcPr>
            <w:tcW w:w="1560" w:type="dxa"/>
            <w:vAlign w:val="bottom"/>
            <w:gridSpan w:val="7"/>
            <w:shd w:val="clear" w:color="auto" w:fill="CCEEFF"/>
          </w:tcPr>
          <w:p>
            <w:pPr>
              <w:jc w:val="right"/>
              <w:ind w:right="9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1"/>
              </w:rPr>
              <w:t>44.3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4"/>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34.0</w:t>
            </w:r>
          </w:p>
        </w:tc>
        <w:tc>
          <w:tcPr>
            <w:tcW w:w="340" w:type="dxa"/>
            <w:vAlign w:val="bottom"/>
          </w:tcPr>
          <w:p>
            <w:pPr>
              <w:spacing w:after="0"/>
              <w:rPr>
                <w:sz w:val="19"/>
                <w:szCs w:val="19"/>
                <w:color w:val="auto"/>
              </w:rPr>
            </w:pPr>
          </w:p>
        </w:tc>
        <w:tc>
          <w:tcPr>
            <w:tcW w:w="840" w:type="dxa"/>
            <w:vAlign w:val="bottom"/>
            <w:gridSpan w:val="3"/>
          </w:tcPr>
          <w:p>
            <w:pPr>
              <w:spacing w:after="0"/>
              <w:rPr>
                <w:sz w:val="19"/>
                <w:szCs w:val="19"/>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100.0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sales for the second quarter of 2005 were $44.3 million, an increase of 30% compared to $34.0 million for the second quarter of 2004. Net income for the second quarter of 2005 was $1.5 million or $0.11 per share (basic) and $0.11 per share (diluted) compared to $1.7 million or $0.13 per share (basic) and $0.12 per share (diluted) for the second quarter of 2004.</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73% of net sales for the second quarter of 2005 compared to 62% for the second quarter of 2004. Net sales in our Business lines for the second quarter of 2005 increased by 53% to $32.5 million from $21.2 million for the same period last year.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(HD) television. Royalty revenue (revenue earned through licensing of intellectual property) recognized in the second quarter of 2005 attributable to agreements signed in the fourth quarter of 2004 and the acquisition of SimpleDevices also contributed to the increase in net sales. The acquisition of SimpleDevices added net sales of $0.1 million and 1% to the Business category net sales growth. We expect that the deployment of the advanced function set-top boxes by the service operators will continue into the foreseeable future as penetration for each of the functions cited continues to increase. As a result, we expect business category revenue to remain as the driver of total revenue growth for the remainder of 2005.</w:t>
      </w:r>
    </w:p>
    <w:p>
      <w:pPr>
        <w:spacing w:after="0" w:line="6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sales in our Consumer lines (</w:t>
      </w:r>
      <w:r>
        <w:rPr>
          <w:rFonts w:ascii="Arial" w:cs="Arial" w:eastAsia="Arial" w:hAnsi="Arial"/>
          <w:sz w:val="17"/>
          <w:szCs w:val="17"/>
          <w:i w:val="1"/>
          <w:iCs w:val="1"/>
          <w:color w:val="auto"/>
        </w:rPr>
        <w:t>One For All®</w:t>
      </w:r>
      <w:r>
        <w:rPr>
          <w:rFonts w:ascii="Arial" w:cs="Arial" w:eastAsia="Arial" w:hAnsi="Arial"/>
          <w:sz w:val="17"/>
          <w:szCs w:val="17"/>
          <w:color w:val="auto"/>
        </w:rPr>
        <w:t xml:space="preserve"> international retail, private label, custom installers and direct import) were approximately 27% of net sales for the second quarter of 2005 compared to 38% for the second quarter of 2004. Net sales in our Consumer lines for the second quarter of 2005 decreased by 8% to $11.8 million from $12.8 million during the same period last year. The decrease in sales resulted primarily from private label sales, which decreased by 35% to $1.4 million in the second quarter of 2005 from $2.1 million in the second quarter of 2004. This was due to a decline in the volume of Kameleon sales. Kameleon sales declined during the second quarter of 2005 compared to the second quarter of 2004, as a result of fewer new product introductions. European retail sales also contributed to the decrease, down 6% to $8.8 million in the second quarter of 2005 from $9.3 million in the second quarter of 2004. This decrease was primarily attributable to lower volumes in the UK and Spanish markets, offset by the strengthening of both the Euro and British Pound compared to the U.S. Dollar, which resulted in an increase in net sales of approximately $0.3 million. Net of the positive foreign exchange impact, European retail sales decreased $0.9 million compared to the second quarter of 2004. Partially offsetting the decrease in sales was the introduction of the Nevo® SL product in the second quarter of 2005, which generated net sales of $0.3 million. We expect that the Consumer lines will return to at or above prior year levels for the remainder of 2005, driven by the continued rollout of the Nevo® SL product.</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for the second quarter of 2005 was $15.7 million compared to $12.9 million for the second quarter of 2004. Gross profit as a percentage of net sales for the second quarter of 2005 was 35.5% compared to 37.9% for the second quarter of 2004. The decrease in gross profit as a percentage of net sales was primarily attributable to subscription broadcast sales, which generally have a lower gross profit rate as compared to our other sales, being a larger percentage of our total business. The impact of this change in mix was a 4.1% reduction in the gross profit rate. Gross profit was also negatively impacted by $1.2 million of cost resulting from a larger proportion of air shipments caused by increased volume, which contributed to a 2.4% reduction in gross profit rate. These items were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partially offset by lower inventory scrap expense, which as compared to the prior year quarter added $0.5 million to gross profit and 1.9% to the gross profit rate; various cost reductions across product lines, which added $0.4 million to gross profit and 1.1% to the gross profit rate; a reduction in royalty expense of $0.2 million, which added 1.0% to the gross profit rate; and the strengthening of both the Euro and British Pound compared to the U.S. Dollar, which resulted in an increase in gross profit of approximately $0.3 million and added 0.4% to the gross profit rate. We expect gross profit rates to be closer to historical levels of 37% to 39% for the remainder of 2005.</w:t>
      </w:r>
    </w:p>
    <w:p>
      <w:pPr>
        <w:spacing w:after="0" w:line="8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Research and development expenses increased 46% from $1.1 million in the second quarter of 2004 to $1.6 million in the second quarter of 2005. This increase was primarily related to our continued expansion of the Nevo® platform, and the development of audio-video accessories for sale in our retail channel. We expect research and development expenses to remain at the current level throughout 2005.</w:t>
      </w:r>
    </w:p>
    <w:p>
      <w:pPr>
        <w:spacing w:after="0" w:line="5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Selling, general and administrative expenses increased 40% from $9.4 million in the second quarter of 2004 to $13.2 million in the second quarter of 2005. Approximately $1.7 million of the increase was attributable to bad debt expense, which included a $1.6 million reserve for a receivable due from a former European distributor, $1.0 million to the acquisition of SimpleDevices, $0.5 million to payroll and benefits, $0.3 million to increased tax and audit fees, $0.2 million to product development efforts (non research and development), $0.2 million to the appreciation of the Euro relative to the U.S. Dollar,</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$0.2 million to delivery and freight costs caused by the increase in sales volume, and $0.2 million to sales commissions. These items were partially offset by lower employee bonus expense, which decreased by $0.5 million. We expect that selling, general and administrative expenses will range from $12.0 to $13.0 million per quarter for the remainder of 2005.</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second quarter of 2005, we recorded $0.1 million of net interest income compared to $0.2 million during the second quarter of 2004. This decrease was due to $0.1 million interest expense relating to our 2001 federal tax return. Net interest income should return to approximately $0.2 million per quarter for the remainder of 2005.</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second quarter of 2005, net other income was $1.3 million as compared to $7 thousand of other expense for the second quarter of 2004. Approximately $1.3 million of other income in the second quarter of 2005 was the result of a foreign exchange gain, compared to a foreign exchange loss of $8 thousand for the second quarter of 2004.</w:t>
      </w:r>
    </w:p>
    <w:p>
      <w:pPr>
        <w:spacing w:after="0" w:line="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recorded income tax expense of $0.9 million for the second quarter of 2005 compared to $0.9 million for the second quarter of 2004. Our effective tax rate was 36% during the three months ended June 30, 2005 compared to 34% during the three months ended June 30, 2004. The increase in the effective tax rate was the result of not recording a tax benefit relating to the second quarter reserve for a balance due from a former European distributor. The reserve was recorded in a subsidiary where it is more likely than not that the resultant deferred tax asset will not be realized, and, as such, we recorded a full valuation allowance on the tax benefit related to this reserve. During the quarter, we released discrete tax reserves related to research and development credits taken on our 2001 federal tax return. As a result of the completion of the audit for this tax year, these reserves reduced our tax rate in the quarter by approximately 3%. We expect that our effective tax rate will be approximately 37% for 2005, primarily as a result of the tax treatment of the reserve for the balance due from a former European distributor.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SimpleDevices recorded net sales of $0.1 million and a pretax loss of $1.1 million during the second quarter of 2005. Sales consisted primarily of engineering services related to the development of hardware utilized by SimpleDevices’ customers to run the SimplePlatforms software. In addition, SimpleDevices also generated revenue by customizing its software products to customer’s specific needs. Sales attributable to SimpleDevices are included in our Business category when we discuss consolidated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-$0.1 million, or -78% of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$1.0 million, which consisted primarily of engineering payroll and benefit costs.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2005 versus Six Months ended June 30, 2004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000" w:type="dxa"/>
            <w:vAlign w:val="bottom"/>
            <w:tcBorders>
              <w:bottom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 (million)</w:t>
            </w:r>
          </w:p>
        </w:tc>
        <w:tc>
          <w:tcPr>
            <w:tcW w:w="5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 of total</w:t>
            </w:r>
          </w:p>
        </w:tc>
        <w:tc>
          <w:tcPr>
            <w:tcW w:w="500" w:type="dxa"/>
            <w:vAlign w:val="bottom"/>
          </w:tcPr>
          <w:p>
            <w:pPr>
              <w:spacing w:after="0"/>
              <w:rPr>
                <w:sz w:val="12"/>
                <w:szCs w:val="12"/>
                <w:color w:val="auto"/>
              </w:rPr>
            </w:pPr>
          </w:p>
        </w:tc>
        <w:tc>
          <w:tcPr>
            <w:tcW w:w="100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 (million)</w:t>
            </w:r>
          </w:p>
        </w:tc>
        <w:tc>
          <w:tcPr>
            <w:tcW w:w="5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 of total</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Business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$62.1</w:t>
            </w:r>
          </w:p>
        </w:tc>
        <w:tc>
          <w:tcPr>
            <w:tcW w:w="320" w:type="dxa"/>
            <w:vAlign w:val="bottom"/>
          </w:tcPr>
          <w:p>
            <w:pPr>
              <w:spacing w:after="0"/>
              <w:rPr>
                <w:sz w:val="18"/>
                <w:szCs w:val="18"/>
                <w:color w:val="auto"/>
              </w:rPr>
            </w:pPr>
          </w:p>
        </w:tc>
        <w:tc>
          <w:tcPr>
            <w:tcW w:w="1560" w:type="dxa"/>
            <w:vAlign w:val="bottom"/>
            <w:gridSpan w:val="4"/>
          </w:tcPr>
          <w:p>
            <w:pPr>
              <w:jc w:val="right"/>
              <w:ind w:right="90"/>
              <w:spacing w:after="0"/>
              <w:rPr>
                <w:sz w:val="20"/>
                <w:szCs w:val="20"/>
                <w:color w:val="auto"/>
              </w:rPr>
            </w:pPr>
            <w:r>
              <w:rPr>
                <w:rFonts w:ascii="Arial" w:cs="Arial" w:eastAsia="Arial" w:hAnsi="Arial"/>
                <w:sz w:val="18"/>
                <w:szCs w:val="18"/>
                <w:color w:val="auto"/>
              </w:rPr>
              <w:t>72.4%</w:t>
            </w:r>
          </w:p>
        </w:tc>
        <w:tc>
          <w:tcPr>
            <w:tcW w:w="1500" w:type="dxa"/>
            <w:vAlign w:val="bottom"/>
            <w:gridSpan w:val="4"/>
          </w:tcPr>
          <w:p>
            <w:pPr>
              <w:ind w:left="760"/>
              <w:spacing w:after="0"/>
              <w:rPr>
                <w:sz w:val="20"/>
                <w:szCs w:val="20"/>
                <w:color w:val="auto"/>
              </w:rPr>
            </w:pPr>
            <w:r>
              <w:rPr>
                <w:rFonts w:ascii="Arial" w:cs="Arial" w:eastAsia="Arial" w:hAnsi="Arial"/>
                <w:sz w:val="18"/>
                <w:szCs w:val="18"/>
                <w:color w:val="auto"/>
              </w:rPr>
              <w:t>$39.3</w:t>
            </w:r>
          </w:p>
        </w:tc>
        <w:tc>
          <w:tcPr>
            <w:tcW w:w="1560" w:type="dxa"/>
            <w:vAlign w:val="bottom"/>
            <w:gridSpan w:val="4"/>
          </w:tcPr>
          <w:p>
            <w:pPr>
              <w:jc w:val="right"/>
              <w:ind w:right="90"/>
              <w:spacing w:after="0"/>
              <w:rPr>
                <w:sz w:val="20"/>
                <w:szCs w:val="20"/>
                <w:color w:val="auto"/>
              </w:rPr>
            </w:pPr>
            <w:r>
              <w:rPr>
                <w:rFonts w:ascii="Arial" w:cs="Arial" w:eastAsia="Arial" w:hAnsi="Arial"/>
                <w:sz w:val="18"/>
                <w:szCs w:val="18"/>
                <w:color w:val="auto"/>
              </w:rPr>
              <w:t>59.0%</w:t>
            </w: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7</w:t>
            </w:r>
          </w:p>
        </w:tc>
        <w:tc>
          <w:tcPr>
            <w:tcW w:w="3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27.6%</w:t>
            </w:r>
          </w:p>
        </w:tc>
        <w:tc>
          <w:tcPr>
            <w:tcW w:w="150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3</w:t>
            </w:r>
          </w:p>
        </w:tc>
        <w:tc>
          <w:tcPr>
            <w:tcW w:w="15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41.0%</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Total net sales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85.8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66.6</w:t>
            </w:r>
          </w:p>
        </w:tc>
        <w:tc>
          <w:tcPr>
            <w:tcW w:w="34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r>
      <w:tr>
        <w:trPr>
          <w:trHeight w:val="20"/>
        </w:trPr>
        <w:tc>
          <w:tcPr>
            <w:tcW w:w="5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six months ended June 30, 2005 were $85.8 million, an increase of 29% compared to $66.6 million for the six months ended June 30, 2004. Net income for the six months ended June 30, 2005 was $3.4 million or $0.25 per share (basic) and $0.24 per share (diluted) compared to $3.5 million or $0.25 per share (basic) and $0.25 per share (diluted) for the six months ended June 30, 2004.</w:t>
      </w:r>
    </w:p>
    <w:p>
      <w:pPr>
        <w:spacing w:after="0" w:line="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sales in our Business lines (subscription broadcasting, OEM, and computing companies) were approximately 72% of net sales for the six months ended June 30, 2005 compared to 59% for the six months ended June 30, 2004. Net sales in our Business lines for the six months ended June 30, 2005 increased by 58% to $62.1 million from $39.3 million for the same period last year. This increase in sales resulted primarily from an increase in the volume of remote control sales 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digital video recording (DVR), video-on-demand (VOD), and high definition (HD) television. Royalty revenue (revenue earned through licensing of intellectual property) recognized in the six months ended June 30, 2005 attributable to agreements signed in the fourth quarter of 2004 and the acquisition of SimpleDevices contributed to the increase in net sales. The acquisition of SimpleDevices added net sales of $0.7 million and 2% to the Business category net sales growth. We expect that the deployment of the advanced function set-top boxes by the service operators will continue into the foreseeable future as penetration for each of the functions cited continues to increase. As a result, we expect business category revenue to remain as the driver of total revenue growth for the remainder of 2005.</w:t>
      </w:r>
    </w:p>
    <w:p>
      <w:pPr>
        <w:spacing w:after="0" w:line="7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16"/>
          <w:szCs w:val="16"/>
          <w:color w:val="auto"/>
        </w:rPr>
        <w:t xml:space="preserve"> international retail, private label, custom installers and direct import) were approximately 28% of net sales for the six months ended June 30, 2005 compared to 41% for the six months ended June 30, 2004. Net sales in our Consumer lines for the six months ended June 30, 2005 decreased by 13% to $23.7 million from $27.3 million for the same period last year. The decrease in sales resulted primarily from private label sales, which decreased by 59% to $2.1 million in the six months ended June 30, 2005 from $5.1 million in the six months ended June 30, 2004. This was due to a decline in the volume of Kameleon sales. Kameleon sales declined during the six months ended 2005, as compared to the six months ended 2004, as a result of fewer new product introductions. European retail sales also contributed to the decrease, down 4% to $19.0 million in the six months ended June 30, 2005 from $19.8 million in the six months ended June 30, 2004. This decrease was primarily attributable to lower volumes in the UK and Spanish markets, offset by the strengthening of both the Euro and British Pound compared to the U.S. Dollar, which resulted in an increase in net sales of approximately</w:t>
      </w:r>
    </w:p>
    <w:p>
      <w:pPr>
        <w:spacing w:after="0" w:line="1" w:lineRule="exact"/>
        <w:rPr>
          <w:sz w:val="20"/>
          <w:szCs w:val="20"/>
          <w:color w:val="auto"/>
        </w:rPr>
      </w:pPr>
    </w:p>
    <w:p>
      <w:pPr>
        <w:ind w:right="400"/>
        <w:spacing w:after="0" w:line="281" w:lineRule="auto"/>
        <w:rPr>
          <w:sz w:val="20"/>
          <w:szCs w:val="20"/>
          <w:color w:val="auto"/>
        </w:rPr>
      </w:pPr>
      <w:r>
        <w:rPr>
          <w:rFonts w:ascii="Arial" w:cs="Arial" w:eastAsia="Arial" w:hAnsi="Arial"/>
          <w:sz w:val="16"/>
          <w:szCs w:val="16"/>
          <w:color w:val="auto"/>
        </w:rPr>
        <w:t>$0.8 million. Net of the positive foreign exchange impact, European retail sales decreased $1.6 million compared to the six months ended June 30, 2004. Partially offsetting the decrease in sales was the introduction of the Nevo® SL product in the second quarter of 2005, which generated net sales of</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$0.3 million. We expect that the Consumer lines will return to at or above prior year levels for the remainder of 2005, driven by the continued rollout of the Nevo® SL product.</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Gross profit for the six months ended June 30, 2005 was $31.4 million compared to $25.5 million for the six months ended June 30, 2004. Gross profit as a percentage of net sales for the six months ended June 30, 2005 was 36.6% compared to 38.3% for the six months ended June 30, 2004. The decrease in gross profit as a percentage of net sales was primarily attributable to subscription broadcast sales, which generally have a lower gross profit rate as compared to our other sales, being a larger percentage of our total business. The impact of this change in mix was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4.0% reduction in the gross profit rate. Gross profit was also negatively impacted by $1.6 million of cost resulting from a larger proportion of air shipments caused by increased volume, which contributed to a 1.5% reduction in gross profit rate. These items were partially offset by lower inventory scrap expense, which as compared to six months ended June 30, 2004, added $0.4 million to gross profit and 1.2% to the gross profit rate; a reduction in royalty expense of $0.4 million, which added 1.1% to the gross profit rate; the strengthening of both the Euro and British Pound compared to the U.S. Dollar, which resulted in an increase in gross profit of approximately $0.7 million and added 0.5% to the gross profit rate; various cost reductions across product lines, which added $0.4 million to gross profit and 0.5% to the gross profit rate; and subcontract labor savings, which added $0.1 million to gross profit and 0.4% to the gross profit rate. We expect gross profit rates to be closer to historical levels of 37-39% for the remainder of 2005.</w:t>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Research and development expenses increased 44% from $2.2 million in the six months ended June 30, 2004 to $3.2 million in the six months ended June 30, 2005. This increase was primarily related to our continued expansion of the Nevo® platform, and the development of audio-video accessories for sale in our retail channel. We expect research and development expense to remain at the current level throughout 2005.</w:t>
      </w:r>
    </w:p>
    <w:p>
      <w:pPr>
        <w:spacing w:after="0" w:line="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Selling, general and administrative expenses increased 36% from $18.8 million in the six months ended June 30, 2004 to $25.6 million in the six months ended June 30, 2005. Approximately $1.9 million of the increase was attributable to bad debt expense, which included a $1.6 million reserve for a receivable due from a former European distributor, $1.8 million to the acquisition of SimpleDevices, $1.1 million to payroll and benefits, $1.0 million to delivery and freight costs caused by the increase in sales volume, $0.6 million to increased tax and audit fees, $0.5 million to the appreciation of the Euro relative to the U.S. Dollar, $0.4 million to product development efforts (non research and development), and $0.4 million to sales commissions. These items were partially offset by lower employee bonus expense, which decreased by $1.0 million. We expect that selling, general and administrative expenses will range between $12.0 and $13.0 million per quarter for the remainder of 2005.</w:t>
      </w:r>
    </w:p>
    <w:p>
      <w:pPr>
        <w:spacing w:after="0" w:line="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the six months ended June 30, 2005, we recorded $0.4 million of net interest income compared to $0.3 million during the six months ended June 30, 2004. This increase was due to higher money market rates and a higher average cash balance in Europe. Partially offsetting the increase was interest expense of $0.1 million relating to our 2001 federal tax return. Net interest income should return to approximately $0.2 million per quarter for the remainder of 2005.</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2005, net other income was $2.2 million as compared to $0.5 million of net other income for the six months ended June 30, 2004. Approximately $2.2 million of net other income in the six months ended June 30, 2005 was the result of a foreign exchange gain, compared to a foreign exchange gain of $0.5 million for the six months ended June 30, 2004.</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recorded income tax expense of $1.9 million for the six months ended June 30, 2005 compared to $1.8 million for the six months ended June 30, 2004. Our effective tax rate was 35% during the six months ended June 30, 2005 compared to 34% during the six months ended June 30, 2004. The increase in the effective tax rate was the result of not recording a tax benefit relating to the second quarter reserve for a balance due from a former European distributor. The reserve was recorded in a subsidiary where it is more likely than not that the resultant deferred tax asset will not be realized, and, as such, we recorded a full valuation allowance on the tax benefit related to this reserve. During the second quarter, we released discrete tax reserves related to research and development credits taken on our 2001 federal tax return. As a result of the completion of the audit for this tax year, these reserves reduced our tax rate in the six month period ended June 30, 2005 by approximately 2%. We expect that our effective tax rate will be approximately 37% for 2005, primarily as a result of the tax treatment of the reserve for the balance due from a former European distributor.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SimpleDevices recorded net sales of $0.7 million and a pretax loss of $1.8 million during the six months ended June 30, 2005. Sales consisted primarily of engineering services related to the development of hardware utilized by SimpleDevices’ customers to run the SimplePlatforms software. In addition, SimpleDevices also generated revenue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by customizing its software products to customer’s specific needs. Sales attributable to SimpleDevices are included in our Business category when we discuss consolidated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$0.1 million, or 11% of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$1.8 million, which consisted primarily of engineering payroll and benefit costs.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6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June 30, 2005</w:t>
            </w:r>
          </w:p>
        </w:tc>
        <w:tc>
          <w:tcPr>
            <w:tcW w:w="280" w:type="dxa"/>
            <w:vAlign w:val="bottom"/>
          </w:tcPr>
          <w:p>
            <w:pPr>
              <w:spacing w:after="0"/>
              <w:rPr>
                <w:sz w:val="14"/>
                <w:szCs w:val="14"/>
                <w:color w:val="auto"/>
              </w:rPr>
            </w:pPr>
          </w:p>
        </w:tc>
        <w:tc>
          <w:tcPr>
            <w:tcW w:w="12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1"/>
              </w:rPr>
              <w:t>Increase</w:t>
            </w:r>
          </w:p>
        </w:tc>
        <w:tc>
          <w:tcPr>
            <w:tcW w:w="15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171"/>
        </w:trPr>
        <w:tc>
          <w:tcPr>
            <w:tcW w:w="66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4"/>
            <w:vMerge w:val="continue"/>
          </w:tcPr>
          <w:p>
            <w:pPr>
              <w:spacing w:after="0"/>
              <w:rPr>
                <w:sz w:val="14"/>
                <w:szCs w:val="14"/>
                <w:color w:val="auto"/>
              </w:rPr>
            </w:pPr>
          </w:p>
        </w:tc>
        <w:tc>
          <w:tcPr>
            <w:tcW w:w="15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(decrease)</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680" w:type="dxa"/>
            <w:vAlign w:val="bottom"/>
            <w:vMerge w:val="continue"/>
          </w:tcPr>
          <w:p>
            <w:pPr>
              <w:spacing w:after="0"/>
              <w:rPr>
                <w:sz w:val="16"/>
                <w:szCs w:val="16"/>
                <w:color w:val="auto"/>
              </w:rPr>
            </w:pPr>
          </w:p>
        </w:tc>
        <w:tc>
          <w:tcPr>
            <w:tcW w:w="1200" w:type="dxa"/>
            <w:vAlign w:val="bottom"/>
            <w:tcBorders>
              <w:top w:val="single" w:sz="8" w:color="auto"/>
            </w:tcBorders>
            <w:gridSpan w:val="2"/>
          </w:tcPr>
          <w:p>
            <w:pPr>
              <w:jc w:val="right"/>
              <w:ind w:right="268"/>
              <w:spacing w:after="0" w:line="195" w:lineRule="exact"/>
              <w:rPr>
                <w:sz w:val="20"/>
                <w:szCs w:val="20"/>
                <w:color w:val="auto"/>
              </w:rPr>
            </w:pPr>
            <w:r>
              <w:rPr>
                <w:rFonts w:ascii="Arial" w:cs="Arial" w:eastAsia="Arial" w:hAnsi="Arial"/>
                <w:sz w:val="18"/>
                <w:szCs w:val="18"/>
                <w:color w:val="auto"/>
              </w:rPr>
              <w:t>$38,531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168"/>
              <w:spacing w:after="0" w:line="195" w:lineRule="exact"/>
              <w:rPr>
                <w:sz w:val="20"/>
                <w:szCs w:val="20"/>
                <w:color w:val="auto"/>
              </w:rPr>
            </w:pPr>
            <w:r>
              <w:rPr>
                <w:rFonts w:ascii="Arial" w:cs="Arial" w:eastAsia="Arial" w:hAnsi="Arial"/>
                <w:sz w:val="18"/>
                <w:szCs w:val="18"/>
                <w:color w:val="auto"/>
              </w:rPr>
              <w:t>$(3,941)</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28"/>
              <w:spacing w:after="0" w:line="195" w:lineRule="exact"/>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Working capital</w:t>
            </w:r>
          </w:p>
        </w:tc>
        <w:tc>
          <w:tcPr>
            <w:tcW w:w="1200" w:type="dxa"/>
            <w:vAlign w:val="bottom"/>
            <w:gridSpan w:val="2"/>
          </w:tcPr>
          <w:p>
            <w:pPr>
              <w:jc w:val="right"/>
              <w:ind w:right="268"/>
              <w:spacing w:after="0"/>
              <w:rPr>
                <w:sz w:val="20"/>
                <w:szCs w:val="20"/>
                <w:color w:val="auto"/>
              </w:rPr>
            </w:pPr>
            <w:r>
              <w:rPr>
                <w:rFonts w:ascii="Arial" w:cs="Arial" w:eastAsia="Arial" w:hAnsi="Arial"/>
                <w:sz w:val="18"/>
                <w:szCs w:val="18"/>
                <w:color w:val="auto"/>
              </w:rPr>
              <w:t>70,299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8"/>
              <w:spacing w:after="0"/>
              <w:rPr>
                <w:sz w:val="20"/>
                <w:szCs w:val="20"/>
                <w:color w:val="auto"/>
              </w:rPr>
            </w:pPr>
            <w:r>
              <w:rPr>
                <w:rFonts w:ascii="Arial" w:cs="Arial" w:eastAsia="Arial" w:hAnsi="Arial"/>
                <w:sz w:val="18"/>
                <w:szCs w:val="18"/>
                <w:color w:val="auto"/>
              </w:rPr>
              <w:t>(4,782)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428"/>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342"/>
        </w:trPr>
        <w:tc>
          <w:tcPr>
            <w:tcW w:w="6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Six months ended</w:t>
            </w:r>
          </w:p>
        </w:tc>
        <w:tc>
          <w:tcPr>
            <w:tcW w:w="280" w:type="dxa"/>
            <w:vAlign w:val="bottom"/>
          </w:tcPr>
          <w:p>
            <w:pPr>
              <w:spacing w:after="0"/>
              <w:rPr>
                <w:sz w:val="24"/>
                <w:szCs w:val="24"/>
                <w:color w:val="auto"/>
              </w:rPr>
            </w:pPr>
          </w:p>
        </w:tc>
        <w:tc>
          <w:tcPr>
            <w:tcW w:w="1280" w:type="dxa"/>
            <w:vAlign w:val="bottom"/>
            <w:gridSpan w:val="3"/>
          </w:tcPr>
          <w:p>
            <w:pPr>
              <w:ind w:left="280"/>
              <w:spacing w:after="0"/>
              <w:rPr>
                <w:sz w:val="20"/>
                <w:szCs w:val="20"/>
                <w:color w:val="auto"/>
              </w:rPr>
            </w:pPr>
            <w:r>
              <w:rPr>
                <w:rFonts w:ascii="Arial" w:cs="Arial" w:eastAsia="Arial" w:hAnsi="Arial"/>
                <w:sz w:val="14"/>
                <w:szCs w:val="14"/>
                <w:b w:val="1"/>
                <w:bCs w:val="1"/>
                <w:color w:val="auto"/>
              </w:rPr>
              <w:t>Increase</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2005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$ 8,196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$ 5,982</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(5,121)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(4,482)</w:t>
            </w:r>
          </w:p>
        </w:tc>
        <w:tc>
          <w:tcPr>
            <w:tcW w:w="180" w:type="dxa"/>
            <w:vAlign w:val="bottom"/>
          </w:tcPr>
          <w:p>
            <w:pPr>
              <w:spacing w:after="0"/>
              <w:rPr>
                <w:sz w:val="20"/>
                <w:szCs w:val="20"/>
                <w:color w:val="auto"/>
              </w:rPr>
            </w:pP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principal source of funds is from operations. Cash provided by operating activities for the first six months of 2005 was $8.2 million as compared to $6.0 million in the first six months of 2004.</w:t>
      </w:r>
    </w:p>
    <w:p>
      <w:pPr>
        <w:spacing w:after="0" w:line="6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Cash used for investing activities for the first six months of 2005 was $2.2 million as compared to $1.5 million for the first six months of 2004. The increase in cash used for investing activities was primarily due to the acquisition of fixed assets. Capital expenditures in the first six months of 2005 and 2004 were approximately $1.7 million and $0.9 million, respectively. These expenditures related primarily to our acquisition of product tooling.</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used for financing activities for the first six months of 2005 was $4.8 million as compared to $5.1 million for the first six months of 2004. Proceeds from stock option exercises were $1.3 million during the six months ended June 30, 2005, compared to proceeds of $0.6 million during the six months ended June 30, 2004. We purchased 356,285 shares of our common stock at a cost of $6.1 million during the six months ended June 30, 2005, compared to 435,290 shares at a cost of $5.7 million during the six months ended June 30, 2004.</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hold these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Between the date of execution of the Credit Facility and June 30, 2005, we have purchased 897,019 shares of our common stock leaving 602,981 remaining shares authorized for purchase under the credit facility. In 2005 we may continue to purchase shares of our common stock if we believe conditions are favorable.</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15, 2003, we entered into a three-year $15.0 million unsecured revolving credit agreement (the “Credit Facility”) with Comerica Bank (“Comerica”). Under the Credit Facility, the interest payable is variable and is based on the bank’s cost of funds or the LIBOR rate plus a fixed margin of 1.25%. The interest rate in effect as of June 30, 2005 using the LIBOR Rate option plus a fixed margin of 1.25% was 4.59%. We pay a commitment fee ranging from zero to a maximum rate of 1/4 of 1% per year on the unused portion of the credit line depending on the amount of cash investment retained with Comerica during each quarter. Under the terms of this Credit Facility, dividend payments are allowed for up to 100% of the prior fiscal year’s net income, to be paid within 90 days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year end. We are subject to certain financial covenants related to our net worth, quick ratio, and net income. Amounts available for borrowing under this Credit Facility are reduced by the outstanding balance of import letters of credit. As of June 30, 2005, we did not have any amounts outstanding under this credit facility or any outstanding import letters of credit. Furthermore, as of June 30, 2005, we were in compliance with all financial covenants required by the Credit Facility.</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FASB Staff Position (“FSP”) No. 109-1, “Application of FASB Statement No. 109, Accounting for Income Taxes, to the Tax Deduction on Qualified Production Activities Provided by the American Jobs Creation Act of 2004,” (“FSP 109-1”), provides guidance under SFAS No. 109, “Accounting for Income Taxes,” with respect to the provision within the American Jobs Creation Act of 2004 (the “Jobs Act”) that provides a tax deduction on qualified production activities. The Jobs Act includes a tax deduction of up to 9 percent (when fully phased-in) of the lesser of (a) “qualified production activities income,” as defined in the Jobs Act, or (b) taxable income (after the deduction for the utilization of any net operating loss carryforwards). This tax deduction is limited to 50 percent of W-2 wages paid by the taxpayer. FSP 109-1 states that an enterprise should account for the deduction as a special deduction in accordance with Statement 109. In addition, FSP 109-1 requires that the special deduction be considered by an enterprise in (a) measuring deferred taxes when graduated tax rates are a significant factor and (b) assessing whether a valuation allowance is necessary as required by paragraph 232 of Statement 109. We are currently evaluating the effect that the adoption of FSP 109-1 will have on our consolidated results of operations and financial condition but do not expect it will have a material impact.</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FASB Staff Position (“FSP”) No. 109-2, “Accounting and Disclosure Guidance for the Foreign Earnings Repatriation Provision within the American Jobs Creation Act of 2004” (“FSP 109-2”), provides guidance under SFAS No. 109, “Accounting for Income Taxes,” with respect to recording the potential impact of the repatriation provisions of the American Jobs Creation Act of 2004 (the “Jobs Act”) on income tax expense and deferred tax liabilities. The Jobs Act was enacted on October 22, 2004. FSP 109-2 states that an enterprise is allowed time beyond the financial reporting period of enactment to evaluate the effect of the Jobs Act on its plan for reinvestment or repatriation of foreign earnings for purposes of applying SFAS No. 109. The undistributed earnings of our foreign subsidiaries are considered to be indefinitely reinvested. Consequently, we do not expect this standard to have a material impact on our consolidated results of operations and financial condition.</w:t>
      </w:r>
    </w:p>
    <w:p>
      <w:pPr>
        <w:spacing w:after="0" w:line="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establishes new standards for how an issuer classifies and measures certain financial instruments that have the characteristics of both liabilities and equity. SFAS 150 is effective for financial instruments entered into or modified after May 31, 2003 and otherwise was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do not expect this standard to have a material impact on our consolidated results of operations and financial condition.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2005, the FASB issued SFAS No. 154, “Accounting Changes and Error Corrections” (“SFAS 154”) which replaces Accounting Principles Board Opinions No. 20 “Accounting Changes” and SFAS No.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and we are required to adopt the standard in the first quarter of fiscal 2006. We do not expect this standard to have a material impact on our consolidated results of operations and financial condition.</w:t>
      </w:r>
    </w:p>
    <w:p>
      <w:pPr>
        <w:spacing w:after="0" w:line="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2005, the SEC issued Staff Accounting Bulletin No. 107 (“SAB 107”) regarding the SEC’s interpretation of SFAS 123R and the valuation of share-based payments for public companies. We are evaluating the requirements of SFAS 123R and SAB 107 and expect that the adoption of SFAS 123R on January 1, 2006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 under SFAS 123.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below or above in the “Management’s Discussion and Analysis of Financial Condition and Results of Operations,” as well as those factors discussed in the 2004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New factors emerge from time to time, and it is not possible for us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While we believe that the forward looking statements made in this report are based on reasonable assumptions, the actual outcome of such statements are subject to a number of risks and uncertainties, including the failure of our customers and markets to continue growing and expanding in the manner we anticipated;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maintain the strength of our balance sheet; our inability to continue selling our products or licensing our technologies at higher or profitable margins;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Euro and other foreign currencies could have on our financial results; and other factors listed from time to time in our press releases and filings with the Securities and Exchange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Most of the components used in our products are available from multiple sources. However, we have elected to purchase integrated circuits, used principally in our wireless control products, and certain other components, from three main sources, each of which provides in excess of ten percent (10%) of the microprocessors used in our products. We have identified alternative sources of supply for these integrated circuit components, but there can be no assurance that we will be able to continue to obtain these components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Factors such as quarterly variations in financial results could have a material adverse affect on the volatility and market price of our common stock.</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If this happens the price of our common stock will likely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susceptible to fluctuations in our business based upon consumer demand for our products. We believe that our success depends on our ability to anticipate, gauge and respond to fluctuations in consumer preferences. However, it is impossible to predict with complete accuracy the occurrence and effect of fluctuations in consumer demand for our products. Moreover, we caution that any growth in revenues that we achieve may be transitory and should not be relied upon as an indication of future performance. Thus, we cannot guarantee that increases in our remote control sales associated with increases in the deployment of advanced set-top boxes will continue. In addition, while we expect our consumer lines of business to return to prior year levels for the remainder of 2005, we make no assurance that this will happen.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To date, we have not obtained any new customers, and there can be no assurance that we will be able to attract new customers in the future.</w:t>
      </w:r>
    </w:p>
    <w:p>
      <w:pPr>
        <w:spacing w:after="0" w:line="5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Our Kameleon® and Nevo® line of products have more features and are more complex than our older products and therefore may require more end-user technical support. For our Nevo® product line, we currently rely, and intend to continue to rely, on the distributor or dealers to provide first line technical support to the end-users. However,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products market will depend considerably upon our ability to successfully identify new product opportunities, as well as developing and introducing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each of the first two quarters of 2005 and the year ended December 31, 2004, we had sales to one customer that amounted to more than ten percent of our net sales for the respective period. In addition, for the same periods, we had sales to a customer and its sub-contractors, that when combined, exceeded 10% of net sales for the respective period. The future loss of these customers or any key customer, either in the United States or abroad, due to their financial weakness, bankruptcy, or our inability to maintain order volume with these customers, may have an adverse effect on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SimpleDevices Inc.</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October 1, 2004, we acquired SimpleDevices Inc. for approximately $12.8 million in cash including direct acquisition costs, plus a performance-based payment of our unregistered common stock to be paid in the future, if certain financial objectives are achieved.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The success of SimpleDevices will depend upon (i) our ability to bring SimpleDevices’ products to market in a timely and cost effective manner; (ii) the market accepting SimpleDevices’ products and technology to the extent anticipated by us; (iii) 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1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2004 we hired personnel to develop and market additional products that are part of the Nevo® platform family. In addition, outside resources were used, and will continue to be used, to develop these products. Furthermore, there is certain minimum inventory purchases associated with these products. Since software based media control products are a departure from our traditional business, there is greater financial risk associated with these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any strategic alliances, if any, will achieve the type, extent, and amount of success or business that we expect them to achieve – in that sales of Nevo products may not occur or grow in the manner expected by us, and thus we may not recoup cost incurred in the research and development of these products as quickly as we expect or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will deliver any lasting value to us.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on Universal Due to International Operations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risks of doing business internationally could adversely affect our sales, operations, earnings and cash flows due to a variety of factors, including, but not limited to:</w:t>
      </w:r>
    </w:p>
    <w:p>
      <w:pPr>
        <w:spacing w:after="0" w:line="62" w:lineRule="exact"/>
        <w:rPr>
          <w:sz w:val="20"/>
          <w:szCs w:val="20"/>
          <w:color w:val="auto"/>
        </w:rPr>
      </w:pPr>
    </w:p>
    <w:p>
      <w:pPr>
        <w:ind w:left="660" w:right="1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75"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longer accounts receivable cycles and financial instability among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trade regulations and procedures and actions affecting production, pricing and marketing of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local labor conditions, customs, and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changes in the regulatory or legal environment;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differing technology standards or customer requirements;</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fluctuations in freight costs and disruptions at important geographic points of exit and entry;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natural and medical disasters.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 and Acts of War</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Terrorism and acts of war (wherever occurring throughout the world) may cause damage or disruption to us, our employees, facilities, partners, suppliers, distributors, resellers or customers, which could significantly impact our revenue, costs, expenses and financial condition. We are predominately uninsured for losses and interruptions caused by terrorist acts and acts of war.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lease all of the properties used in our business. During 2005, our lease contract for the property located in Cypress California will expire. We are currently negotiating a new or renewal lease, and we believe that a new or renewed lease will be entered into before the current lease expires, and that when entered into, the lease will be satisfactory for our needs and purposes. However, we can give no assurance that we will enter into the new or renewal lease,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currently derive substantial revenue from the sale of wireless remote controls based on infrared (IR) technology. Other control technologies exist or could be developed that could compete with IR. If other wireless control technology gains acceptance, and starts to be integrated into home electronics devices currently controlled through our IR remote controllers, demand for our products may decrease, resulting in lower sales, earnings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Retain and Recruit Key Personnel Would Harm Our Ability to Grow and Meet Key Objectives.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achieve revenue growth in the future will depend, in part, on our success in recruiting and retaining highly skilled advanced technology, managerial, sales, and marketing personnel. Our corporate office, including our advance technology engineering group, is based in Southern California. The high cost of living in Southern California makes it difficult to attract talent from outside the region and may also put pressure on overall employment related expense. The inability to retain and attract qualified personnel in a timely manner, or the loss of any key personnel, could make it difficult to meet key objectives, such as timely and effective product introductions.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manufacturers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and, as a result, products may be shipped via air which is more costly than ocean shipments. Often, we cannot recover the increased cost of airfreight from our customers. The inability to predict swings in demand can increase the cost of freight which could have a material adverse effect on our product margins.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remotes and audio-video accessories. The second form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Proprietary Technologies May Include Design or Performance Defects and May Not Achieve Their Intended Results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detect all defects, either in individual products or defects that could affect numerous shipments. The presence of defects may harm customer satisfaction, reduce sales opportunities, or increase returns. An inability to cure or repair a product defect could result in the failure of a product line, temporary or permanent withdrawal from a product or market, damage to our reputation, increased inventory costs, or product reengineering expenses, any of which could have a material impact on our revenues, margins and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from time to time, pursue the acquisition of businesses, products or technologies that complement or expand our existing operations, including those that could be material in size and scope. Acquisitions involve many risks, including the diversion of management’s attention away from day-to-day operations. There is also the risk that we will not be able to successfully assimilate the operations, personnel, customer base, products or technologies of an acquired business. Such acquisitions could also have adverse short-term effects on our operating results, and could result in dilutive issuances of equity securities, the incurrence of debt, and the loss of key employees. In addition,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acquisitions will occur or, if such acquisitions do occur, that the acquired businesses, customer bases, products or technologies will generate sufficient revenue to offset the associated costs or effects.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2004, we continued to develop new products featuring our Kameleon® interface technology, a display technology that provides ease of use by illuminating only the keys needed to control each entertainment device. We also continued development of our Nevo® technology, an embedded solution that transforms an electronic display (such as HP’s iPaq Pocket PC) into a sophisticated and easy-to-use wireless home control and automation device. We are continuing to seek ways to integrate these platform technologies into other forms and devices. Nevo 2.0® was launched in July of 2004 as a feature on a series of HP’s handheld devices. Building on this platform, we used some components of the Nevo 2.0® technology in a new product named “Nevo SL”® which we began to ship in the second quarter. This product is designed for use in the home. In addition, we are working on product line extensions to our One For All® audio/video accessories which include digital antennas, signal boosters, television brackets and A/V cleaning products.</w:t>
      </w:r>
    </w:p>
    <w:p>
      <w:pPr>
        <w:spacing w:after="0" w:line="5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also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for approximately $12.8 million in cash, plus a performance-based payment of our unregistered common stock, tied to achieving certain future financial objectives.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we look to build upon these relationships and the software’s potential in future product and customer announcements.</w:t>
      </w:r>
    </w:p>
    <w:p>
      <w:pPr>
        <w:spacing w:after="0" w:line="8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2005,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these risks.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interest payable under our revolving Credit Facility with our bank is variable and based on either (i) the bank’s cost of funds or (ii) the LIBOR rate plus a fixed margin of 1.25%; the rate is affected by changes in market interest rates. At June 30, 2005, we had no borrowings on our credit line. The interest rate in effect on the credit line as of June 30, 2005 using the LIBOR Rate option plus a fixed margin of 1.25% was 4.59%.</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At June 30, 2005 we had wholly owned subsidiaries in The Netherlands, United Kingdom, Germany, France, Argentina and Spain.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six months. We do not enter into any derivative transactions for speculative purposes.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June 30, 2005, we believe that movements in foreign currency rates could have a material affect on our financial position. We estimate that if the exchange rates for the Euro and the British Pound relative to the U.S. Dollar fluctuate 10% from June 30, 2005, third quarter net income and cash flows would fluctuate by approximately $1.0 million and $5.0 million, respectively.</w:t>
      </w:r>
    </w:p>
    <w:p>
      <w:pPr>
        <w:spacing w:after="0" w:line="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value of our net balance sheet positions held in foreign currency can also be impacted by fluctuating exchange rates, as can the value of the income generated by our European subsidiaries. It is difficult to estimate the impact of fluctuations on reported income, as it depends on the opening and closing rates as well as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There are currently three contracts in place with a combined notional value of $40 million in order to minimize risk to reported income associated with these types of exposures.</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estimate that if the exchange rate for the Euro relative to the U.S. Dollar fluctuates 10% from June 30, 2005, the value of the $15 million in forward contracts would fluctuate by approximately $1.5 million, and the value of the $25 million participating forward would fluctuate by approximately $1.5 to $2.0 million.</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result of the foregoing factors (discussed under this caption “Quantitative And Qualitative Disclosures About Market Risk” and above under the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performed under the supervision and with the participation of our management team, including our Chief Executive Officer and Chief Accounting Officer (principal financial officer), of the effectiveness of the design and operation of our disclosure controls and procedures as of the end of the period covered by this report. Based on that evaluation, our Chief Executive Officer and Chief Accounting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materially affected or is reasonably likely to materially affect, our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has been recorded as a liability as of June 30, 2005. With respect to the remaining matters before the court, the court appointed expert has not yet finalized his pre-trial report to the court, the filing of which is expected to occur during the third quarter of 2005. It is our intention to seek a settlement of all of these matters, but if settlement is not possible, each of the subsidiaries will continue to disagree with the allegations of the former distributor and will vigorously defended itself against the counterclaims.</w:t>
      </w:r>
    </w:p>
    <w:p>
      <w:pPr>
        <w:spacing w:after="0" w:line="8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which has been scheduled for hearing in late 2006. It is our intention to seek a settlement of this matter with the ex-employee. If a settlement is not possible, our subsidiary will again vigorously defend itself.</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 and still remains on the books at June 30, 2005.</w:t>
      </w:r>
    </w:p>
    <w:p>
      <w:pPr>
        <w:spacing w:after="0" w:line="8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to the above, there were no material developments or terminations with respect to any previously reported legal proceeding, during the period covered by this report. Reference is made to the description of the legal proceedings in Note 19 contained in our Annual Report on Form 10-K for the year ended December 31, 2004 for information regarding reportable legal proceedings pending as of that date.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the six months ended June 30, 2005 and June 30, 2004, we did not sell any equity securities that were not registered under the Securities Act of 1934. However, we purchased 356,285 shares of our common stock at a cost of approximately $6.1 million during the six months ended June 30, 2005 and during the six months ended June 30, 2004, we purchased 435,290 shares of our common stock at a cost of $5.7 million. Purchase information is set forth by month in the following table: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360" w:type="dxa"/>
            <w:vAlign w:val="bottom"/>
          </w:tcPr>
          <w:p>
            <w:pPr>
              <w:spacing w:after="0"/>
              <w:rPr>
                <w:sz w:val="14"/>
                <w:szCs w:val="14"/>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380" w:type="dxa"/>
            <w:vAlign w:val="bottom"/>
          </w:tcPr>
          <w:p>
            <w:pPr>
              <w:spacing w:after="0"/>
              <w:rPr>
                <w:sz w:val="12"/>
                <w:szCs w:val="12"/>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36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380" w:type="dxa"/>
            <w:vAlign w:val="bottom"/>
          </w:tcPr>
          <w:p>
            <w:pPr>
              <w:spacing w:after="0"/>
              <w:rPr>
                <w:sz w:val="12"/>
                <w:szCs w:val="12"/>
                <w:color w:val="auto"/>
              </w:rPr>
            </w:pPr>
          </w:p>
        </w:tc>
        <w:tc>
          <w:tcPr>
            <w:tcW w:w="10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Price Paid</w:t>
            </w: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9"/>
              </w:rPr>
              <w:t>or</w:t>
            </w:r>
          </w:p>
        </w:tc>
        <w:tc>
          <w:tcPr>
            <w:tcW w:w="360" w:type="dxa"/>
            <w:vAlign w:val="bottom"/>
          </w:tcPr>
          <w:p>
            <w:pPr>
              <w:spacing w:after="0"/>
              <w:rPr>
                <w:sz w:val="12"/>
                <w:szCs w:val="12"/>
                <w:color w:val="auto"/>
              </w:rPr>
            </w:pPr>
          </w:p>
        </w:tc>
        <w:tc>
          <w:tcPr>
            <w:tcW w:w="1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80" w:type="dxa"/>
            <w:vAlign w:val="bottom"/>
          </w:tcPr>
          <w:p>
            <w:pPr>
              <w:spacing w:after="0"/>
              <w:rPr>
                <w:sz w:val="14"/>
                <w:szCs w:val="14"/>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360" w:type="dxa"/>
            <w:vAlign w:val="bottom"/>
          </w:tcPr>
          <w:p>
            <w:pPr>
              <w:spacing w:after="0"/>
              <w:rPr>
                <w:sz w:val="14"/>
                <w:szCs w:val="14"/>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2005 - January 31, 2005</w:t>
            </w:r>
          </w:p>
        </w:tc>
        <w:tc>
          <w:tcPr>
            <w:tcW w:w="360" w:type="dxa"/>
            <w:vAlign w:val="bottom"/>
            <w:shd w:val="clear" w:color="auto" w:fill="CCEEFF"/>
          </w:tcPr>
          <w:p>
            <w:pPr>
              <w:spacing w:after="0"/>
              <w:rPr>
                <w:sz w:val="18"/>
                <w:szCs w:val="18"/>
                <w:color w:val="auto"/>
              </w:rPr>
            </w:pPr>
          </w:p>
        </w:tc>
        <w:tc>
          <w:tcPr>
            <w:tcW w:w="9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99,654</w:t>
            </w:r>
          </w:p>
        </w:tc>
        <w:tc>
          <w:tcPr>
            <w:tcW w:w="3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tcBorders>
              <w:top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$17.33</w:t>
            </w: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February 1, 2005 - February 28, 2005</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6,631</w:t>
            </w:r>
          </w:p>
        </w:tc>
        <w:tc>
          <w:tcPr>
            <w:tcW w:w="34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$16.80</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1, 2005 - March 31, 2005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Q1 2005</w:t>
            </w:r>
          </w:p>
        </w:tc>
        <w:tc>
          <w:tcPr>
            <w:tcW w:w="7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106,285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17.30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April 1, 2005 – April 30, 2005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May 1, 2005 – May 31, 2005</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171,701</w:t>
            </w:r>
          </w:p>
        </w:tc>
        <w:tc>
          <w:tcPr>
            <w:tcW w:w="34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$16.97</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1, 2005 – June 30, 2005</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78,299</w:t>
            </w:r>
          </w:p>
        </w:tc>
        <w:tc>
          <w:tcPr>
            <w:tcW w:w="3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$17.34</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Q2 2005</w:t>
            </w:r>
          </w:p>
        </w:tc>
        <w:tc>
          <w:tcPr>
            <w:tcW w:w="7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17.09</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January 1, 2004 - January 31, 2004</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55,090</w:t>
            </w:r>
          </w:p>
        </w:tc>
        <w:tc>
          <w:tcPr>
            <w:tcW w:w="3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February 1, 2004 - February 28, 2004</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76,000</w:t>
            </w:r>
          </w:p>
        </w:tc>
        <w:tc>
          <w:tcPr>
            <w:tcW w:w="34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$12.72</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March 1, 2004 - March 31, 2004</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162,200</w:t>
            </w:r>
          </w:p>
        </w:tc>
        <w:tc>
          <w:tcPr>
            <w:tcW w:w="3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$12.73</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Q1 2004</w:t>
            </w:r>
          </w:p>
        </w:tc>
        <w:tc>
          <w:tcPr>
            <w:tcW w:w="7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293,290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April 1, 2004 – April 30, 2004</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69,900</w:t>
            </w:r>
          </w:p>
        </w:tc>
        <w:tc>
          <w:tcPr>
            <w:tcW w:w="3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$12.82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May 1, 2004 – May 31, 2004</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68,600</w:t>
            </w:r>
          </w:p>
        </w:tc>
        <w:tc>
          <w:tcPr>
            <w:tcW w:w="340" w:type="dxa"/>
            <w:vAlign w:val="bottom"/>
          </w:tcPr>
          <w:p>
            <w:pPr>
              <w:spacing w:after="0"/>
              <w:rPr>
                <w:sz w:val="18"/>
                <w:szCs w:val="18"/>
                <w:color w:val="auto"/>
              </w:rPr>
            </w:pPr>
          </w:p>
        </w:tc>
        <w:tc>
          <w:tcPr>
            <w:tcW w:w="1400" w:type="dxa"/>
            <w:vAlign w:val="bottom"/>
            <w:gridSpan w:val="4"/>
          </w:tcPr>
          <w:p>
            <w:pPr>
              <w:jc w:val="right"/>
              <w:ind w:right="300"/>
              <w:spacing w:after="0"/>
              <w:rPr>
                <w:sz w:val="20"/>
                <w:szCs w:val="20"/>
                <w:color w:val="auto"/>
              </w:rPr>
            </w:pPr>
            <w:r>
              <w:rPr>
                <w:rFonts w:ascii="Arial" w:cs="Arial" w:eastAsia="Arial" w:hAnsi="Arial"/>
                <w:sz w:val="18"/>
                <w:szCs w:val="18"/>
                <w:color w:val="auto"/>
              </w:rPr>
              <w:t>$14.18</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2"/>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June 1, 2004 – June 30, 2004</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3,500</w:t>
            </w:r>
          </w:p>
        </w:tc>
        <w:tc>
          <w:tcPr>
            <w:tcW w:w="3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$14.55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Total Q2 2004</w:t>
            </w:r>
          </w:p>
        </w:tc>
        <w:tc>
          <w:tcPr>
            <w:tcW w:w="720" w:type="dxa"/>
            <w:vAlign w:val="bottom"/>
            <w:gridSpan w:val="2"/>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13.52</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held its Annual Meeting on June 15, 2005. The term of one of the Company’s five directors expired at the meeting. This director was re-elected by the stockholders for the term indicated. The stockholders also ratified the appointment of the Company’s independent registered public accounting firm. Results of the voting were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Election of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Nominee</w:t>
            </w:r>
          </w:p>
        </w:tc>
        <w:tc>
          <w:tcPr>
            <w:tcW w:w="4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Expiring in</w:t>
            </w:r>
          </w:p>
        </w:tc>
        <w:tc>
          <w:tcPr>
            <w:tcW w:w="480" w:type="dxa"/>
            <w:vAlign w:val="bottom"/>
          </w:tcPr>
          <w:p>
            <w:pPr>
              <w:spacing w:after="0"/>
              <w:rPr>
                <w:sz w:val="14"/>
                <w:szCs w:val="14"/>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480" w:type="dxa"/>
            <w:vAlign w:val="bottom"/>
          </w:tcPr>
          <w:p>
            <w:pPr>
              <w:spacing w:after="0"/>
              <w:rPr>
                <w:sz w:val="14"/>
                <w:szCs w:val="14"/>
                <w:color w:val="auto"/>
              </w:rPr>
            </w:pPr>
          </w:p>
        </w:tc>
        <w:tc>
          <w:tcPr>
            <w:tcW w:w="20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Withheld</w:t>
            </w: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Paul D. Arling</w:t>
            </w:r>
          </w:p>
        </w:tc>
        <w:tc>
          <w:tcPr>
            <w:tcW w:w="480" w:type="dxa"/>
            <w:vAlign w:val="bottom"/>
          </w:tcPr>
          <w:p>
            <w:pPr>
              <w:spacing w:after="0"/>
              <w:rPr>
                <w:sz w:val="19"/>
                <w:szCs w:val="19"/>
                <w:color w:val="auto"/>
              </w:rPr>
            </w:pPr>
          </w:p>
        </w:tc>
        <w:tc>
          <w:tcPr>
            <w:tcW w:w="1260" w:type="dxa"/>
            <w:vAlign w:val="bottom"/>
          </w:tcPr>
          <w:p>
            <w:pPr>
              <w:jc w:val="right"/>
              <w:ind w:right="359"/>
              <w:spacing w:after="0"/>
              <w:rPr>
                <w:sz w:val="20"/>
                <w:szCs w:val="20"/>
                <w:color w:val="auto"/>
              </w:rPr>
            </w:pPr>
            <w:r>
              <w:rPr>
                <w:rFonts w:ascii="Arial" w:cs="Arial" w:eastAsia="Arial" w:hAnsi="Arial"/>
                <w:sz w:val="18"/>
                <w:szCs w:val="18"/>
                <w:color w:val="auto"/>
              </w:rPr>
              <w:t>2006</w:t>
            </w:r>
          </w:p>
        </w:tc>
        <w:tc>
          <w:tcPr>
            <w:tcW w:w="480" w:type="dxa"/>
            <w:vAlign w:val="bottom"/>
          </w:tcPr>
          <w:p>
            <w:pPr>
              <w:spacing w:after="0"/>
              <w:rPr>
                <w:sz w:val="19"/>
                <w:szCs w:val="19"/>
                <w:color w:val="auto"/>
              </w:rPr>
            </w:pPr>
          </w:p>
        </w:tc>
        <w:tc>
          <w:tcPr>
            <w:tcW w:w="3100" w:type="dxa"/>
            <w:vAlign w:val="bottom"/>
          </w:tcPr>
          <w:p>
            <w:pPr>
              <w:jc w:val="right"/>
              <w:ind w:right="1079"/>
              <w:spacing w:after="0"/>
              <w:rPr>
                <w:sz w:val="20"/>
                <w:szCs w:val="20"/>
                <w:color w:val="auto"/>
              </w:rPr>
            </w:pPr>
            <w:r>
              <w:rPr>
                <w:rFonts w:ascii="Arial" w:cs="Arial" w:eastAsia="Arial" w:hAnsi="Arial"/>
                <w:sz w:val="18"/>
                <w:szCs w:val="18"/>
                <w:color w:val="auto"/>
              </w:rPr>
              <w:t>12,365,002</w:t>
            </w:r>
          </w:p>
        </w:tc>
        <w:tc>
          <w:tcPr>
            <w:tcW w:w="480" w:type="dxa"/>
            <w:vAlign w:val="bottom"/>
          </w:tcPr>
          <w:p>
            <w:pPr>
              <w:spacing w:after="0"/>
              <w:rPr>
                <w:sz w:val="19"/>
                <w:szCs w:val="19"/>
                <w:color w:val="auto"/>
              </w:rPr>
            </w:pPr>
          </w:p>
        </w:tc>
        <w:tc>
          <w:tcPr>
            <w:tcW w:w="2040" w:type="dxa"/>
            <w:vAlign w:val="bottom"/>
          </w:tcPr>
          <w:p>
            <w:pPr>
              <w:jc w:val="right"/>
              <w:ind w:right="679"/>
              <w:spacing w:after="0"/>
              <w:rPr>
                <w:sz w:val="20"/>
                <w:szCs w:val="20"/>
                <w:color w:val="auto"/>
              </w:rPr>
            </w:pPr>
            <w:r>
              <w:rPr>
                <w:rFonts w:ascii="Arial" w:cs="Arial" w:eastAsia="Arial" w:hAnsi="Arial"/>
                <w:sz w:val="18"/>
                <w:szCs w:val="18"/>
                <w:color w:val="auto"/>
              </w:rPr>
              <w:t>313,150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Ratification of the appointment of PricewaterhouseCoopers LLP, as the Company’s independent registered public accounting firm for the year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Favor</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Opposed</w:t>
            </w:r>
          </w:p>
        </w:tc>
        <w:tc>
          <w:tcPr>
            <w:tcW w:w="560" w:type="dxa"/>
            <w:vAlign w:val="bottom"/>
          </w:tcPr>
          <w:p>
            <w:pPr>
              <w:spacing w:after="0"/>
              <w:rPr>
                <w:sz w:val="14"/>
                <w:szCs w:val="14"/>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Abstain</w:t>
            </w:r>
          </w:p>
        </w:tc>
      </w:tr>
      <w:tr>
        <w:trPr>
          <w:trHeight w:val="224"/>
        </w:trPr>
        <w:tc>
          <w:tcPr>
            <w:tcW w:w="3440" w:type="dxa"/>
            <w:vAlign w:val="bottom"/>
          </w:tcPr>
          <w:p>
            <w:pPr>
              <w:jc w:val="right"/>
              <w:ind w:right="1239"/>
              <w:spacing w:after="0"/>
              <w:rPr>
                <w:sz w:val="20"/>
                <w:szCs w:val="20"/>
                <w:color w:val="auto"/>
              </w:rPr>
            </w:pPr>
            <w:r>
              <w:rPr>
                <w:rFonts w:ascii="Arial" w:cs="Arial" w:eastAsia="Arial" w:hAnsi="Arial"/>
                <w:sz w:val="18"/>
                <w:szCs w:val="18"/>
                <w:color w:val="auto"/>
              </w:rPr>
              <w:t>12,188,692</w:t>
            </w:r>
          </w:p>
        </w:tc>
        <w:tc>
          <w:tcPr>
            <w:tcW w:w="58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471,720</w:t>
            </w:r>
          </w:p>
        </w:tc>
        <w:tc>
          <w:tcPr>
            <w:tcW w:w="560" w:type="dxa"/>
            <w:vAlign w:val="bottom"/>
          </w:tcPr>
          <w:p>
            <w:pPr>
              <w:spacing w:after="0"/>
              <w:rPr>
                <w:sz w:val="19"/>
                <w:szCs w:val="19"/>
                <w:color w:val="auto"/>
              </w:rPr>
            </w:pPr>
          </w:p>
        </w:tc>
        <w:tc>
          <w:tcPr>
            <w:tcW w:w="3420" w:type="dxa"/>
            <w:vAlign w:val="bottom"/>
          </w:tcPr>
          <w:p>
            <w:pPr>
              <w:ind w:left="1460"/>
              <w:spacing w:after="0"/>
              <w:rPr>
                <w:sz w:val="20"/>
                <w:szCs w:val="20"/>
                <w:color w:val="auto"/>
              </w:rPr>
            </w:pPr>
            <w:r>
              <w:rPr>
                <w:rFonts w:ascii="Arial" w:cs="Arial" w:eastAsia="Arial" w:hAnsi="Arial"/>
                <w:sz w:val="18"/>
                <w:szCs w:val="18"/>
                <w:color w:val="auto"/>
              </w:rPr>
              <w:t>17,740</w:t>
            </w:r>
          </w:p>
        </w:tc>
      </w:tr>
      <w:tr>
        <w:trPr>
          <w:trHeight w:val="391"/>
        </w:trPr>
        <w:tc>
          <w:tcPr>
            <w:tcW w:w="3440" w:type="dxa"/>
            <w:vAlign w:val="bottom"/>
          </w:tcPr>
          <w:p>
            <w:pPr>
              <w:spacing w:after="0"/>
              <w:rPr>
                <w:sz w:val="24"/>
                <w:szCs w:val="24"/>
                <w:color w:val="auto"/>
              </w:rPr>
            </w:pPr>
          </w:p>
        </w:tc>
        <w:tc>
          <w:tcPr>
            <w:tcW w:w="400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34</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6"/>
        </w:trPr>
        <w:tc>
          <w:tcPr>
            <w:tcW w:w="3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31.1  Rule 13a-14(a) Certifications of Paul D. Arling, Chief Executive Officer of Universal Electronics Inc.</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31.2  Rule 13a-14(a) Certifications of Bryan Hackworth, Chief Accounting Officer (principal financial officer) of Universal Electronics Inc.</w:t>
      </w:r>
    </w:p>
    <w:p>
      <w:pPr>
        <w:spacing w:after="0" w:line="131" w:lineRule="exact"/>
        <w:rPr>
          <w:sz w:val="20"/>
          <w:szCs w:val="20"/>
          <w:color w:val="auto"/>
        </w:rPr>
      </w:pPr>
    </w:p>
    <w:p>
      <w:pPr>
        <w:ind w:left="800" w:right="180" w:hanging="454"/>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(principal financial officer) of Universal Electronics Inc. pursuant to 18 U.S.C. Section 1350</w:t>
      </w: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7060" w:val="left"/>
        </w:tabs>
        <w:rPr>
          <w:sz w:val="20"/>
          <w:szCs w:val="20"/>
          <w:color w:val="auto"/>
        </w:rPr>
      </w:pPr>
      <w:r>
        <w:rPr>
          <w:rFonts w:ascii="Arial" w:cs="Arial" w:eastAsia="Arial" w:hAnsi="Arial"/>
          <w:sz w:val="18"/>
          <w:szCs w:val="18"/>
          <w:color w:val="auto"/>
        </w:rPr>
        <w:t>Date: August 9, 2005</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Accounting Officer (principal financial</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20" w:type="dxa"/>
            <w:vAlign w:val="bottom"/>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900" w:type="dxa"/>
            <w:vAlign w:val="bottom"/>
          </w:tcPr>
          <w:p>
            <w:pPr>
              <w:jc w:val="right"/>
              <w:ind w:right="519"/>
              <w:spacing w:after="0"/>
              <w:rPr>
                <w:sz w:val="20"/>
                <w:szCs w:val="20"/>
                <w:color w:val="auto"/>
              </w:rPr>
            </w:pPr>
            <w:r>
              <w:rPr>
                <w:rFonts w:ascii="Arial" w:cs="Arial" w:eastAsia="Arial" w:hAnsi="Arial"/>
                <w:sz w:val="18"/>
                <w:szCs w:val="18"/>
                <w:color w:val="auto"/>
                <w:w w:val="79"/>
              </w:rPr>
              <w:t>31.1</w:t>
            </w: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18"/>
        </w:trPr>
        <w:tc>
          <w:tcPr>
            <w:tcW w:w="920" w:type="dxa"/>
            <w:vAlign w:val="bottom"/>
            <w:gridSpan w:val="2"/>
          </w:tcPr>
          <w:p>
            <w:pPr>
              <w:jc w:val="right"/>
              <w:ind w:right="519"/>
              <w:spacing w:after="0"/>
              <w:rPr>
                <w:sz w:val="20"/>
                <w:szCs w:val="20"/>
                <w:color w:val="auto"/>
              </w:rPr>
            </w:pPr>
            <w:r>
              <w:rPr>
                <w:rFonts w:ascii="Arial" w:cs="Arial" w:eastAsia="Arial" w:hAnsi="Arial"/>
                <w:sz w:val="18"/>
                <w:szCs w:val="18"/>
                <w:color w:val="auto"/>
                <w:w w:val="85"/>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Rule 13a-14(a) Certifications of Bryan M. Hackworth, Chief Accounting Officer (principal financial officer) of Universal Electronics Inc.</w:t>
            </w:r>
          </w:p>
        </w:tc>
      </w:tr>
    </w:tbl>
    <w:p>
      <w:pPr>
        <w:spacing w:after="0" w:line="202" w:lineRule="exact"/>
        <w:rPr>
          <w:sz w:val="20"/>
          <w:szCs w:val="20"/>
          <w:color w:val="auto"/>
        </w:rPr>
      </w:pPr>
    </w:p>
    <w:p>
      <w:pPr>
        <w:ind w:left="1160" w:right="640" w:hanging="1152"/>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Section 1350 Certifications of Paul D. Arling, Chief Executive Officer of Universal Electronics Inc., and Bryan M. Hackworth, Chief Accounting Officer (principal financial officer) of Universal Electronics Inc. pursuant to 18 U.S.C. Section 1350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1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22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2005</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Paul D. Arling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100" w:hanging="436"/>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40" w:hanging="436"/>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260" w:right="58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22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80" w:hanging="436"/>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2005</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 Bryan M. Hackworth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Accounting Officer (principal financial officer)</w:t>
      </w:r>
    </w:p>
    <w:p>
      <w:pPr>
        <w:sectPr>
          <w:pgSz w:w="11900" w:h="16838" w:orient="portrait"/>
          <w:cols w:equalWidth="0" w:num="1">
            <w:col w:w="11420"/>
          </w:cols>
          <w:pgMar w:left="240" w:top="136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Company’s Form 10-Q for the fiscal quarter ended June 30, 2005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pacing w:after="0" w:line="188" w:lineRule="exact"/>
        <w:rPr>
          <w:sz w:val="20"/>
          <w:szCs w:val="20"/>
          <w:color w:val="auto"/>
        </w:rPr>
      </w:pPr>
    </w:p>
    <w:p>
      <w:pPr>
        <w:spacing w:after="0"/>
        <w:tabs>
          <w:tab w:leader="none" w:pos="4760" w:val="left"/>
          <w:tab w:leader="none" w:pos="5260" w:val="left"/>
        </w:tabs>
        <w:rPr>
          <w:sz w:val="20"/>
          <w:szCs w:val="20"/>
          <w:color w:val="auto"/>
        </w:rPr>
      </w:pPr>
      <w:r>
        <w:rPr>
          <w:rFonts w:ascii="Arial" w:cs="Arial" w:eastAsia="Arial" w:hAnsi="Arial"/>
          <w:sz w:val="18"/>
          <w:szCs w:val="18"/>
          <w:color w:val="auto"/>
        </w:rPr>
        <w:t>Dated: August 9,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023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jc w:val="center"/>
        <w:ind w:left="4780"/>
        <w:spacing w:after="0"/>
        <w:tabs>
          <w:tab w:leader="none" w:pos="220" w:val="left"/>
        </w:tabs>
        <w:rPr>
          <w:sz w:val="20"/>
          <w:szCs w:val="20"/>
          <w:color w:val="auto"/>
        </w:rPr>
      </w:pPr>
      <w:r>
        <w:rPr>
          <w:rFonts w:ascii="Arial" w:cs="Arial" w:eastAsia="Arial" w:hAnsi="Arial"/>
          <w:sz w:val="18"/>
          <w:szCs w:val="18"/>
          <w:color w:val="auto"/>
        </w:rPr>
        <w:t>By:</w:t>
        <w:tab/>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14605</wp:posOffset>
            </wp:positionV>
            <wp:extent cx="2023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emdash "/>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32"/>
    </w:lvl>
  </w:abstractNum>
  <w:abstractNum w:abstractNumId="10">
    <w:nsid w:val="66EF438D"/>
    <w:multiLevelType w:val="hybridMultilevel"/>
    <w:lvl w:ilvl="0">
      <w:lvlJc w:val="left"/>
      <w:lvlText w:val="%1"/>
      <w:numFmt w:val="decimal"/>
      <w:start w:val="32"/>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2019-12-13T07:52:10Z</dcterms:created>
  <dcterms:modified xsi:type="dcterms:W3CDTF">2019-12-13T07:52:10Z</dcterms:modified>
</cp:coreProperties>
</file>