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32"/>
        </w:rPr>
      </w:pPr>
      <w:r>
        <w:rPr>
          <w:rFonts w:ascii="Times New Roman;serif" w:hAnsi="Times New Roman;serif"/>
          <w:b/>
          <w:color w:val="000000"/>
          <w:sz w:val="32"/>
        </w:rPr>
        <w:t>UNITED STATES</w:t>
      </w:r>
    </w:p>
    <w:p>
      <w:pPr>
        <w:pStyle w:val="TextBody"/>
        <w:bidi w:val="0"/>
        <w:spacing w:lineRule="auto" w:line="288" w:before="0" w:after="0"/>
        <w:jc w:val="center"/>
        <w:rPr>
          <w:rFonts w:ascii="Times New Roman;serif" w:hAnsi="Times New Roman;serif"/>
          <w:b/>
          <w:color w:val="000000"/>
          <w:sz w:val="32"/>
        </w:rPr>
      </w:pPr>
      <w:r>
        <w:rPr>
          <w:rFonts w:ascii="Times New Roman;serif" w:hAnsi="Times New Roman;serif"/>
          <w:b/>
          <w:color w:val="000000"/>
          <w:sz w:val="32"/>
        </w:rPr>
        <w:t>SECURITIES AND EXCHANGE COMMISSION</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Washington, D.C. 20549</w:t>
      </w:r>
    </w:p>
    <w:p>
      <w:pPr>
        <w:pStyle w:val="TextBody"/>
        <w:bidi w:val="0"/>
        <w:spacing w:lineRule="auto" w:line="288" w:before="0" w:after="0"/>
        <w:jc w:val="center"/>
        <w:rPr/>
      </w:pPr>
      <w:r>
        <w:rPr>
          <w:color w:val="000000"/>
        </w:rPr>
        <w:t> </w:t>
      </w:r>
      <w:r>
        <w:rPr>
          <w:rFonts w:ascii="Times New Roman;serif" w:hAnsi="Times New Roman;serif"/>
          <w:b w:val="false"/>
          <w:color w:val="000000"/>
          <w:sz w:val="16"/>
        </w:rPr>
        <w:t>_______________________________________ </w:t>
      </w:r>
      <w:r>
        <w:rPr>
          <w:color w:val="000000"/>
        </w:rPr>
        <w:t> </w:t>
      </w:r>
    </w:p>
    <w:p>
      <w:pPr>
        <w:pStyle w:val="TextBody"/>
        <w:bidi w:val="0"/>
        <w:spacing w:lineRule="auto" w:line="288" w:before="180" w:after="283"/>
        <w:jc w:val="center"/>
        <w:rPr>
          <w:rFonts w:ascii="Times New Roman;serif" w:hAnsi="Times New Roman;serif"/>
          <w:b/>
          <w:color w:val="000000"/>
          <w:sz w:val="32"/>
        </w:rPr>
      </w:pPr>
      <w:r>
        <w:rPr>
          <w:rFonts w:ascii="Times New Roman;serif" w:hAnsi="Times New Roman;serif"/>
          <w:b/>
          <w:color w:val="000000"/>
          <w:sz w:val="32"/>
        </w:rPr>
        <w:t xml:space="preserve">FORM 8-K </w:t>
      </w:r>
    </w:p>
    <w:p>
      <w:pPr>
        <w:pStyle w:val="TextBody"/>
        <w:bidi w:val="0"/>
        <w:spacing w:lineRule="auto" w:line="288" w:before="0" w:after="0"/>
        <w:jc w:val="center"/>
        <w:rPr/>
      </w:pPr>
      <w:r>
        <w:rPr>
          <w:color w:val="000000"/>
        </w:rPr>
        <w:t>  </w:t>
      </w:r>
      <w:r>
        <w:rPr>
          <w:rFonts w:ascii="Times New Roman;serif" w:hAnsi="Times New Roman;serif"/>
          <w:b w:val="false"/>
          <w:color w:val="000000"/>
          <w:sz w:val="16"/>
        </w:rPr>
        <w:t>_______________________________________ </w:t>
      </w:r>
      <w:r>
        <w:rPr>
          <w:color w:val="000000"/>
        </w:rPr>
        <w:t> </w:t>
      </w:r>
    </w:p>
    <w:p>
      <w:pPr>
        <w:pStyle w:val="TextBody"/>
        <w:bidi w:val="0"/>
        <w:spacing w:lineRule="auto" w:line="288" w:before="0" w:after="0"/>
        <w:jc w:val="center"/>
        <w:rPr>
          <w:color w:val="000000"/>
        </w:rPr>
      </w:pPr>
      <w:r>
        <w:rPr>
          <w:color w:val="000000"/>
        </w:rPr>
        <w:t> </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CURRENT REPORT</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Pursuant to Section 13 OR 15(d)</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of the Securities Exchange Act of 1934</w:t>
      </w:r>
    </w:p>
    <w:p>
      <w:pPr>
        <w:pStyle w:val="TextBody"/>
        <w:bidi w:val="0"/>
        <w:spacing w:lineRule="auto" w:line="288" w:before="180" w:after="283"/>
        <w:jc w:val="center"/>
        <w:rPr>
          <w:rFonts w:ascii="Times New Roman;serif" w:hAnsi="Times New Roman;serif"/>
          <w:b/>
          <w:color w:val="000000"/>
          <w:sz w:val="24"/>
        </w:rPr>
      </w:pPr>
      <w:r>
        <w:rPr>
          <w:rFonts w:ascii="Times New Roman;serif" w:hAnsi="Times New Roman;serif"/>
          <w:b/>
          <w:color w:val="000000"/>
          <w:sz w:val="24"/>
        </w:rPr>
        <w:t xml:space="preserve">Date of Report (Date of earliest event reported): August 2, 2026 </w:t>
      </w:r>
    </w:p>
    <w:p>
      <w:pPr>
        <w:pStyle w:val="TextBody"/>
        <w:bidi w:val="0"/>
        <w:spacing w:lineRule="auto" w:line="288" w:before="0" w:after="0"/>
        <w:jc w:val="center"/>
        <w:rPr/>
      </w:pPr>
      <w:r>
        <w:rPr>
          <w:color w:val="000000"/>
        </w:rPr>
        <w:t>  </w:t>
      </w:r>
      <w:r>
        <w:rPr>
          <w:rFonts w:ascii="Times New Roman;serif" w:hAnsi="Times New Roman;serif"/>
          <w:b w:val="false"/>
          <w:color w:val="000000"/>
          <w:sz w:val="16"/>
        </w:rPr>
        <w:t>_______________________________________ </w:t>
      </w:r>
    </w:p>
    <w:p>
      <w:pPr>
        <w:pStyle w:val="TextBody"/>
        <w:bidi w:val="0"/>
        <w:spacing w:lineRule="auto" w:line="288" w:before="180" w:after="283"/>
        <w:jc w:val="center"/>
        <w:rPr>
          <w:rFonts w:ascii="Times New Roman;serif" w:hAnsi="Times New Roman;serif"/>
          <w:b/>
          <w:color w:val="000000"/>
          <w:sz w:val="48"/>
        </w:rPr>
      </w:pPr>
      <w:r>
        <w:rPr>
          <w:rFonts w:ascii="Times New Roman;serif" w:hAnsi="Times New Roman;serif"/>
          <w:b/>
          <w:color w:val="000000"/>
          <w:sz w:val="48"/>
        </w:rPr>
        <w:t xml:space="preserve">UNIVERSAL ELECTRONICS INC.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(Exact name of Registrant as specified in its charter)</w:t>
      </w:r>
    </w:p>
    <w:p>
      <w:pPr>
        <w:pStyle w:val="TextBody"/>
        <w:bidi w:val="0"/>
        <w:spacing w:lineRule="auto" w:line="288" w:before="0" w:after="0"/>
        <w:jc w:val="center"/>
        <w:rPr>
          <w:color w:val="000000"/>
        </w:rPr>
      </w:pPr>
      <w:r>
        <w:rPr>
          <w:color w:val="000000"/>
        </w:rPr>
        <w:t> </w:t>
      </w:r>
      <w:r>
        <w:rPr>
          <w:rFonts w:ascii="Times New Roman;serif" w:hAnsi="Times New Roman;serif"/>
          <w:b w:val="false"/>
          <w:color w:val="000000"/>
          <w:sz w:val="16"/>
        </w:rPr>
        <w:t>_______________________________________</w:t>
      </w:r>
    </w:p>
    <w:p>
      <w:pPr>
        <w:pStyle w:val="TextBody"/>
        <w:bidi w:val="0"/>
        <w:spacing w:lineRule="auto" w:line="288" w:before="0" w:after="0"/>
        <w:jc w:val="left"/>
        <w:rPr>
          <w:color w:val="000000"/>
        </w:rPr>
      </w:pPr>
      <w:r>
        <w:rPr>
          <w:color w:val="000000"/>
        </w:rPr>
        <w:t> </w:t>
      </w:r>
    </w:p>
    <w:tbl>
      <w:tblPr>
        <w:tblW w:w="5917" w:type="dxa"/>
        <w:jc w:val="left"/>
        <w:tblInd w:w="0" w:type="dxa"/>
        <w:tblLayout w:type="fixed"/>
        <w:tblCellMar>
          <w:top w:w="28" w:type="dxa"/>
          <w:left w:w="28" w:type="dxa"/>
          <w:bottom w:w="28" w:type="dxa"/>
          <w:right w:w="28" w:type="dxa"/>
        </w:tblCellMar>
      </w:tblPr>
      <w:tblGrid>
        <w:gridCol w:w="748"/>
        <w:gridCol w:w="656"/>
        <w:gridCol w:w="665"/>
        <w:gridCol w:w="109"/>
        <w:gridCol w:w="109"/>
        <w:gridCol w:w="109"/>
        <w:gridCol w:w="568"/>
        <w:gridCol w:w="568"/>
        <w:gridCol w:w="574"/>
        <w:gridCol w:w="109"/>
        <w:gridCol w:w="109"/>
        <w:gridCol w:w="109"/>
        <w:gridCol w:w="433"/>
        <w:gridCol w:w="433"/>
        <w:gridCol w:w="618"/>
      </w:tblGrid>
      <w:tr>
        <w:trPr/>
        <w:tc>
          <w:tcPr>
            <w:tcW w:w="748" w:type="dxa"/>
            <w:tcBorders/>
            <w:vAlign w:val="center"/>
          </w:tcPr>
          <w:p>
            <w:pPr>
              <w:pStyle w:val="TableContents"/>
              <w:bidi w:val="0"/>
              <w:spacing w:before="0" w:after="283"/>
              <w:jc w:val="left"/>
              <w:rPr>
                <w:sz w:val="4"/>
                <w:szCs w:val="4"/>
              </w:rPr>
            </w:pPr>
            <w:r>
              <w:rPr>
                <w:sz w:val="4"/>
                <w:szCs w:val="4"/>
              </w:rPr>
            </w:r>
          </w:p>
        </w:tc>
        <w:tc>
          <w:tcPr>
            <w:tcW w:w="656" w:type="dxa"/>
            <w:tcBorders/>
            <w:vAlign w:val="center"/>
          </w:tcPr>
          <w:p>
            <w:pPr>
              <w:pStyle w:val="TableContents"/>
              <w:bidi w:val="0"/>
              <w:spacing w:before="0" w:after="283"/>
              <w:jc w:val="left"/>
              <w:rPr>
                <w:sz w:val="4"/>
                <w:szCs w:val="4"/>
              </w:rPr>
            </w:pPr>
            <w:r>
              <w:rPr>
                <w:sz w:val="4"/>
                <w:szCs w:val="4"/>
              </w:rPr>
            </w:r>
          </w:p>
        </w:tc>
        <w:tc>
          <w:tcPr>
            <w:tcW w:w="66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68" w:type="dxa"/>
            <w:tcBorders/>
            <w:vAlign w:val="center"/>
          </w:tcPr>
          <w:p>
            <w:pPr>
              <w:pStyle w:val="TableContents"/>
              <w:bidi w:val="0"/>
              <w:spacing w:before="0" w:after="283"/>
              <w:jc w:val="left"/>
              <w:rPr>
                <w:sz w:val="4"/>
                <w:szCs w:val="4"/>
              </w:rPr>
            </w:pPr>
            <w:r>
              <w:rPr>
                <w:sz w:val="4"/>
                <w:szCs w:val="4"/>
              </w:rPr>
            </w:r>
          </w:p>
        </w:tc>
        <w:tc>
          <w:tcPr>
            <w:tcW w:w="568" w:type="dxa"/>
            <w:tcBorders/>
            <w:vAlign w:val="center"/>
          </w:tcPr>
          <w:p>
            <w:pPr>
              <w:pStyle w:val="TableContents"/>
              <w:bidi w:val="0"/>
              <w:spacing w:before="0" w:after="283"/>
              <w:jc w:val="left"/>
              <w:rPr>
                <w:sz w:val="4"/>
                <w:szCs w:val="4"/>
              </w:rPr>
            </w:pPr>
            <w:r>
              <w:rPr>
                <w:sz w:val="4"/>
                <w:szCs w:val="4"/>
              </w:rPr>
            </w:r>
          </w:p>
        </w:tc>
        <w:tc>
          <w:tcPr>
            <w:tcW w:w="57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33" w:type="dxa"/>
            <w:tcBorders/>
            <w:vAlign w:val="center"/>
          </w:tcPr>
          <w:p>
            <w:pPr>
              <w:pStyle w:val="TableContents"/>
              <w:bidi w:val="0"/>
              <w:spacing w:before="0" w:after="283"/>
              <w:jc w:val="left"/>
              <w:rPr>
                <w:sz w:val="4"/>
                <w:szCs w:val="4"/>
              </w:rPr>
            </w:pPr>
            <w:r>
              <w:rPr>
                <w:sz w:val="4"/>
                <w:szCs w:val="4"/>
              </w:rPr>
            </w:r>
          </w:p>
        </w:tc>
        <w:tc>
          <w:tcPr>
            <w:tcW w:w="433" w:type="dxa"/>
            <w:tcBorders/>
            <w:vAlign w:val="center"/>
          </w:tcPr>
          <w:p>
            <w:pPr>
              <w:pStyle w:val="TableContents"/>
              <w:bidi w:val="0"/>
              <w:spacing w:before="0" w:after="283"/>
              <w:jc w:val="left"/>
              <w:rPr>
                <w:sz w:val="4"/>
                <w:szCs w:val="4"/>
              </w:rPr>
            </w:pPr>
            <w:r>
              <w:rPr>
                <w:sz w:val="4"/>
                <w:szCs w:val="4"/>
              </w:rPr>
            </w:r>
          </w:p>
        </w:tc>
        <w:tc>
          <w:tcPr>
            <w:tcW w:w="618" w:type="dxa"/>
            <w:tcBorders/>
            <w:vAlign w:val="center"/>
          </w:tcPr>
          <w:p>
            <w:pPr>
              <w:pStyle w:val="TableContents"/>
              <w:bidi w:val="0"/>
              <w:spacing w:before="0" w:after="283"/>
              <w:jc w:val="left"/>
              <w:rPr>
                <w:sz w:val="4"/>
                <w:szCs w:val="4"/>
              </w:rPr>
            </w:pPr>
            <w:r>
              <w:rPr>
                <w:sz w:val="4"/>
                <w:szCs w:val="4"/>
              </w:rPr>
            </w:r>
          </w:p>
        </w:tc>
      </w:tr>
      <w:tr>
        <w:trPr/>
        <w:tc>
          <w:tcPr>
            <w:tcW w:w="206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Delaware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0-21044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33-0204817</w:t>
            </w:r>
          </w:p>
        </w:tc>
      </w:tr>
      <w:tr>
        <w:trPr/>
        <w:tc>
          <w:tcPr>
            <w:tcW w:w="206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(State or other jurisdiction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(Commission File No.)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(I.R.S. Employer</w:t>
            </w:r>
          </w:p>
        </w:tc>
      </w:tr>
      <w:tr>
        <w:trPr/>
        <w:tc>
          <w:tcPr>
            <w:tcW w:w="206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of incorporation)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Identification No.)</w:t>
            </w:r>
          </w:p>
        </w:tc>
      </w:tr>
    </w:tbl>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15147 N. Scottsdale Road, Suite H300, Scottsdale, Arizona 85254-2494 </w:t>
      </w:r>
    </w:p>
    <w:p>
      <w:pPr>
        <w:pStyle w:val="TextBody"/>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(Address of principal executive offices and zip code)</w:t>
      </w:r>
    </w:p>
    <w:p>
      <w:pPr>
        <w:pStyle w:val="TextBody"/>
        <w:bidi w:val="0"/>
        <w:spacing w:lineRule="auto" w:line="288" w:before="120" w:after="283"/>
        <w:jc w:val="center"/>
        <w:rPr>
          <w:rFonts w:ascii="Times New Roman;serif" w:hAnsi="Times New Roman;serif"/>
          <w:b/>
          <w:color w:val="000000"/>
          <w:sz w:val="20"/>
        </w:rPr>
      </w:pPr>
      <w:r>
        <w:rPr>
          <w:rFonts w:ascii="Times New Roman;serif" w:hAnsi="Times New Roman;serif"/>
          <w:b/>
          <w:color w:val="000000"/>
          <w:sz w:val="20"/>
        </w:rPr>
        <w:t xml:space="preserve">(480) 530-3000 </w:t>
      </w:r>
    </w:p>
    <w:p>
      <w:pPr>
        <w:pStyle w:val="TextBody"/>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(Registrant's telephone number, including area code)</w:t>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________________________________________________________________________________________________</w:t>
      </w:r>
    </w:p>
    <w:p>
      <w:pPr>
        <w:pStyle w:val="TextBody"/>
        <w:bidi w:val="0"/>
        <w:spacing w:lineRule="auto" w:line="288" w:before="40" w:after="283"/>
        <w:jc w:val="center"/>
        <w:rPr>
          <w:rFonts w:ascii="Times New Roman;serif" w:hAnsi="Times New Roman;serif"/>
          <w:b/>
          <w:color w:val="000000"/>
          <w:sz w:val="16"/>
        </w:rPr>
      </w:pPr>
      <w:r>
        <w:rPr>
          <w:rFonts w:ascii="Times New Roman;serif" w:hAnsi="Times New Roman;serif"/>
          <w:b/>
          <w:color w:val="000000"/>
          <w:sz w:val="16"/>
        </w:rPr>
        <w:t>(Former name or former address, if changed since last report)</w:t>
      </w:r>
    </w:p>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_______________________________________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Check the appropriate box below if the Form 8-K filing is intended to simultaneously satisfy the filing obligation of the registrant under any of the following provisions:</w:t>
      </w:r>
    </w:p>
    <w:p>
      <w:pPr>
        <w:pStyle w:val="TextBody"/>
        <w:bidi w:val="0"/>
        <w:spacing w:lineRule="auto" w:line="288" w:before="180" w:after="283"/>
        <w:jc w:val="left"/>
        <w:rPr/>
      </w:pPr>
      <w:r>
        <w:rPr>
          <w:color w:val="000000"/>
        </w:rPr>
        <w:t xml:space="preserve">☐ </w:t>
      </w:r>
      <w:r>
        <w:rPr>
          <w:rFonts w:ascii="Times New Roman;serif" w:hAnsi="Times New Roman;serif"/>
          <w:b w:val="false"/>
          <w:color w:val="000000"/>
          <w:sz w:val="20"/>
        </w:rPr>
        <w:t>Written communications pursuant to Rule 425 under the Securities Act (17 CFR 230.425)</w:t>
      </w:r>
    </w:p>
    <w:p>
      <w:pPr>
        <w:pStyle w:val="TextBody"/>
        <w:bidi w:val="0"/>
        <w:spacing w:lineRule="auto" w:line="288" w:before="180" w:after="283"/>
        <w:jc w:val="left"/>
        <w:rPr/>
      </w:pPr>
      <w:r>
        <w:rPr>
          <w:color w:val="000000"/>
        </w:rPr>
        <w:t xml:space="preserve">☐ </w:t>
      </w:r>
      <w:r>
        <w:rPr>
          <w:rFonts w:ascii="Times New Roman;serif" w:hAnsi="Times New Roman;serif"/>
          <w:b w:val="false"/>
          <w:color w:val="000000"/>
          <w:sz w:val="20"/>
        </w:rPr>
        <w:t>Soliciting material pursuant to Rule 14a-12 under the Exchange Act (17 CFR 240.14a-12)</w:t>
      </w:r>
    </w:p>
    <w:p>
      <w:pPr>
        <w:pStyle w:val="TextBody"/>
        <w:bidi w:val="0"/>
        <w:spacing w:lineRule="auto" w:line="288" w:before="180" w:after="283"/>
        <w:jc w:val="left"/>
        <w:rPr/>
      </w:pPr>
      <w:r>
        <w:rPr>
          <w:color w:val="000000"/>
        </w:rPr>
        <w:t xml:space="preserve">☐ </w:t>
      </w:r>
      <w:r>
        <w:rPr>
          <w:rFonts w:ascii="Times New Roman;serif" w:hAnsi="Times New Roman;serif"/>
          <w:b w:val="false"/>
          <w:color w:val="000000"/>
          <w:sz w:val="20"/>
        </w:rPr>
        <w:t>Pre-commencement communications pursuant to Rule 14d-2(b) under the Exchange Act (17 CFR 240.14d-2(b))</w:t>
      </w:r>
    </w:p>
    <w:p>
      <w:pPr>
        <w:pStyle w:val="TextBody"/>
        <w:bidi w:val="0"/>
        <w:spacing w:lineRule="auto" w:line="288" w:before="180" w:after="283"/>
        <w:jc w:val="left"/>
        <w:rPr/>
      </w:pPr>
      <w:r>
        <w:rPr>
          <w:color w:val="000000"/>
        </w:rPr>
        <w:t xml:space="preserve">☐ </w:t>
      </w:r>
      <w:r>
        <w:rPr>
          <w:rFonts w:ascii="Times New Roman;serif" w:hAnsi="Times New Roman;serif"/>
          <w:b w:val="false"/>
          <w:color w:val="000000"/>
          <w:sz w:val="20"/>
        </w:rPr>
        <w:t>Pre-commencement communications pursuant to Rule 13e-4(c) under the Exchange Act (17 CFR 240.13e-4(c))</w:t>
      </w:r>
    </w:p>
    <w:tbl>
      <w:tblPr>
        <w:tblW w:w="8820" w:type="dxa"/>
        <w:jc w:val="center"/>
        <w:tblInd w:w="0" w:type="dxa"/>
        <w:tblLayout w:type="fixed"/>
        <w:tblCellMar>
          <w:top w:w="28" w:type="dxa"/>
          <w:left w:w="28" w:type="dxa"/>
          <w:bottom w:w="28" w:type="dxa"/>
          <w:right w:w="28" w:type="dxa"/>
        </w:tblCellMar>
      </w:tblPr>
      <w:tblGrid>
        <w:gridCol w:w="1267"/>
        <w:gridCol w:w="1114"/>
        <w:gridCol w:w="1114"/>
        <w:gridCol w:w="540"/>
        <w:gridCol w:w="540"/>
        <w:gridCol w:w="540"/>
        <w:gridCol w:w="1085"/>
        <w:gridCol w:w="1085"/>
        <w:gridCol w:w="1535"/>
      </w:tblGrid>
      <w:tr>
        <w:trPr/>
        <w:tc>
          <w:tcPr>
            <w:tcW w:w="1267" w:type="dxa"/>
            <w:tcBorders/>
            <w:vAlign w:val="center"/>
          </w:tcPr>
          <w:p>
            <w:pPr>
              <w:pStyle w:val="TableContents"/>
              <w:bidi w:val="0"/>
              <w:spacing w:before="0" w:after="283"/>
              <w:jc w:val="left"/>
              <w:rPr>
                <w:sz w:val="4"/>
                <w:szCs w:val="4"/>
              </w:rPr>
            </w:pPr>
            <w:r>
              <w:rPr>
                <w:sz w:val="4"/>
                <w:szCs w:val="4"/>
              </w:rPr>
            </w:r>
          </w:p>
        </w:tc>
        <w:tc>
          <w:tcPr>
            <w:tcW w:w="1114" w:type="dxa"/>
            <w:tcBorders/>
            <w:vAlign w:val="center"/>
          </w:tcPr>
          <w:p>
            <w:pPr>
              <w:pStyle w:val="TableContents"/>
              <w:bidi w:val="0"/>
              <w:spacing w:before="0" w:after="283"/>
              <w:jc w:val="left"/>
              <w:rPr>
                <w:sz w:val="4"/>
                <w:szCs w:val="4"/>
              </w:rPr>
            </w:pPr>
            <w:r>
              <w:rPr>
                <w:sz w:val="4"/>
                <w:szCs w:val="4"/>
              </w:rPr>
            </w:r>
          </w:p>
        </w:tc>
        <w:tc>
          <w:tcPr>
            <w:tcW w:w="1114" w:type="dxa"/>
            <w:tcBorders/>
            <w:vAlign w:val="center"/>
          </w:tcPr>
          <w:p>
            <w:pPr>
              <w:pStyle w:val="TableContents"/>
              <w:bidi w:val="0"/>
              <w:spacing w:before="0" w:after="283"/>
              <w:jc w:val="left"/>
              <w:rPr>
                <w:sz w:val="4"/>
                <w:szCs w:val="4"/>
              </w:rPr>
            </w:pPr>
            <w:r>
              <w:rPr>
                <w:sz w:val="4"/>
                <w:szCs w:val="4"/>
              </w:rPr>
            </w:r>
          </w:p>
        </w:tc>
        <w:tc>
          <w:tcPr>
            <w:tcW w:w="540" w:type="dxa"/>
            <w:tcBorders/>
            <w:vAlign w:val="center"/>
          </w:tcPr>
          <w:p>
            <w:pPr>
              <w:pStyle w:val="TableContents"/>
              <w:bidi w:val="0"/>
              <w:spacing w:before="0" w:after="283"/>
              <w:jc w:val="left"/>
              <w:rPr>
                <w:sz w:val="4"/>
                <w:szCs w:val="4"/>
              </w:rPr>
            </w:pPr>
            <w:r>
              <w:rPr>
                <w:sz w:val="4"/>
                <w:szCs w:val="4"/>
              </w:rPr>
            </w:r>
          </w:p>
        </w:tc>
        <w:tc>
          <w:tcPr>
            <w:tcW w:w="540" w:type="dxa"/>
            <w:tcBorders/>
            <w:vAlign w:val="center"/>
          </w:tcPr>
          <w:p>
            <w:pPr>
              <w:pStyle w:val="TableContents"/>
              <w:bidi w:val="0"/>
              <w:spacing w:before="0" w:after="283"/>
              <w:jc w:val="left"/>
              <w:rPr>
                <w:sz w:val="4"/>
                <w:szCs w:val="4"/>
              </w:rPr>
            </w:pPr>
            <w:r>
              <w:rPr>
                <w:sz w:val="4"/>
                <w:szCs w:val="4"/>
              </w:rPr>
            </w:r>
          </w:p>
        </w:tc>
        <w:tc>
          <w:tcPr>
            <w:tcW w:w="540" w:type="dxa"/>
            <w:tcBorders/>
            <w:vAlign w:val="center"/>
          </w:tcPr>
          <w:p>
            <w:pPr>
              <w:pStyle w:val="TableContents"/>
              <w:bidi w:val="0"/>
              <w:spacing w:before="0" w:after="283"/>
              <w:jc w:val="left"/>
              <w:rPr>
                <w:sz w:val="4"/>
                <w:szCs w:val="4"/>
              </w:rPr>
            </w:pPr>
            <w:r>
              <w:rPr>
                <w:sz w:val="4"/>
                <w:szCs w:val="4"/>
              </w:rPr>
            </w:r>
          </w:p>
        </w:tc>
        <w:tc>
          <w:tcPr>
            <w:tcW w:w="1085" w:type="dxa"/>
            <w:tcBorders/>
            <w:vAlign w:val="center"/>
          </w:tcPr>
          <w:p>
            <w:pPr>
              <w:pStyle w:val="TableContents"/>
              <w:bidi w:val="0"/>
              <w:spacing w:before="0" w:after="283"/>
              <w:jc w:val="left"/>
              <w:rPr>
                <w:sz w:val="4"/>
                <w:szCs w:val="4"/>
              </w:rPr>
            </w:pPr>
            <w:r>
              <w:rPr>
                <w:sz w:val="4"/>
                <w:szCs w:val="4"/>
              </w:rPr>
            </w:r>
          </w:p>
        </w:tc>
        <w:tc>
          <w:tcPr>
            <w:tcW w:w="1085" w:type="dxa"/>
            <w:tcBorders/>
            <w:vAlign w:val="center"/>
          </w:tcPr>
          <w:p>
            <w:pPr>
              <w:pStyle w:val="TableContents"/>
              <w:bidi w:val="0"/>
              <w:spacing w:before="0" w:after="283"/>
              <w:jc w:val="left"/>
              <w:rPr>
                <w:sz w:val="4"/>
                <w:szCs w:val="4"/>
              </w:rPr>
            </w:pPr>
            <w:r>
              <w:rPr>
                <w:sz w:val="4"/>
                <w:szCs w:val="4"/>
              </w:rPr>
            </w:r>
          </w:p>
        </w:tc>
        <w:tc>
          <w:tcPr>
            <w:tcW w:w="1535" w:type="dxa"/>
            <w:tcBorders/>
            <w:vAlign w:val="center"/>
          </w:tcPr>
          <w:p>
            <w:pPr>
              <w:pStyle w:val="TableContents"/>
              <w:bidi w:val="0"/>
              <w:spacing w:before="0" w:after="283"/>
              <w:jc w:val="left"/>
              <w:rPr>
                <w:sz w:val="4"/>
                <w:szCs w:val="4"/>
              </w:rPr>
            </w:pPr>
            <w:r>
              <w:rPr>
                <w:sz w:val="4"/>
                <w:szCs w:val="4"/>
              </w:rPr>
            </w:r>
          </w:p>
        </w:tc>
      </w:tr>
      <w:tr>
        <w:trPr/>
        <w:tc>
          <w:tcPr>
            <w:tcW w:w="8820"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Securities registered pursuant to Section 12(b) of the Act:</w:t>
            </w:r>
          </w:p>
        </w:tc>
      </w:tr>
      <w:tr>
        <w:trPr/>
        <w:tc>
          <w:tcPr>
            <w:tcW w:w="3495" w:type="dxa"/>
            <w:gridSpan w:val="3"/>
            <w:tcBorders>
              <w:top w:val="single" w:sz="2" w:space="0" w:color="000000"/>
              <w:left w:val="single" w:sz="2"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Title of each class</w:t>
            </w:r>
          </w:p>
        </w:tc>
        <w:tc>
          <w:tcPr>
            <w:tcW w:w="1620" w:type="dxa"/>
            <w:gridSpan w:val="3"/>
            <w:tcBorders>
              <w:top w:val="single" w:sz="2" w:space="0" w:color="000000"/>
              <w:left w:val="single" w:sz="2"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Trading Symbol(s)</w:t>
            </w:r>
          </w:p>
        </w:tc>
        <w:tc>
          <w:tcPr>
            <w:tcW w:w="3705" w:type="dxa"/>
            <w:gridSpan w:val="3"/>
            <w:tcBorders>
              <w:top w:val="single" w:sz="2" w:space="0" w:color="000000"/>
              <w:left w:val="single" w:sz="2" w:space="0" w:color="000000"/>
              <w:right w:val="single" w:sz="2" w:space="0" w:color="000000"/>
            </w:tcBorders>
            <w:tcMar>
              <w:top w:w="30" w:type="dxa"/>
              <w:bottom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Name of each exchange on which registered</w:t>
            </w:r>
          </w:p>
        </w:tc>
      </w:tr>
      <w:tr>
        <w:trPr/>
        <w:tc>
          <w:tcPr>
            <w:tcW w:w="3495" w:type="dxa"/>
            <w:gridSpan w:val="3"/>
            <w:tcBorders>
              <w:top w:val="single" w:sz="2" w:space="0" w:color="000000"/>
              <w:left w:val="single" w:sz="2" w:space="0" w:color="000000"/>
              <w:bottom w:val="single" w:sz="2" w:space="0" w:color="000000"/>
            </w:tcBorders>
            <w:tcMar>
              <w:top w:w="3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Common Stock, par value $0.01 per share</w:t>
            </w:r>
          </w:p>
        </w:tc>
        <w:tc>
          <w:tcPr>
            <w:tcW w:w="1620" w:type="dxa"/>
            <w:gridSpan w:val="3"/>
            <w:tcBorders>
              <w:top w:val="single" w:sz="2" w:space="0" w:color="000000"/>
              <w:left w:val="single" w:sz="2" w:space="0" w:color="000000"/>
              <w:bottom w:val="single" w:sz="2" w:space="0" w:color="000000"/>
            </w:tcBorders>
            <w:tcMar>
              <w:top w:w="3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UEIC</w:t>
            </w:r>
          </w:p>
        </w:tc>
        <w:tc>
          <w:tcPr>
            <w:tcW w:w="3705" w:type="dxa"/>
            <w:gridSpan w:val="3"/>
            <w:tcBorders>
              <w:top w:val="single" w:sz="2" w:space="0" w:color="000000"/>
              <w:left w:val="single" w:sz="2" w:space="0" w:color="000000"/>
              <w:bottom w:val="single" w:sz="2" w:space="0" w:color="000000"/>
              <w:right w:val="single" w:sz="2" w:space="0" w:color="000000"/>
            </w:tcBorders>
            <w:tcMar>
              <w:top w:w="30" w:type="dxa"/>
              <w:bottom w:w="3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The Nasdaq Stock Market LLC</w:t>
            </w:r>
          </w:p>
        </w:tc>
      </w:tr>
    </w:tbl>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lineRule="auto" w:line="288" w:before="120" w:after="283"/>
        <w:jc w:val="right"/>
        <w:rPr/>
      </w:pPr>
      <w:r>
        <w:rPr>
          <w:rFonts w:ascii="Times New Roman;serif" w:hAnsi="Times New Roman;serif"/>
          <w:b w:val="false"/>
          <w:color w:val="000000"/>
          <w:sz w:val="20"/>
        </w:rPr>
        <w:t xml:space="preserve">Emerging growth company </w:t>
      </w:r>
      <w:r>
        <w:rPr>
          <w:color w:val="000000"/>
        </w:rPr>
        <w:t xml:space="preserve">☐ </w:t>
      </w:r>
    </w:p>
    <w:p>
      <w:pPr>
        <w:pStyle w:val="TextBody"/>
        <w:bidi w:val="0"/>
        <w:spacing w:lineRule="auto" w:line="288" w:before="120" w:after="283"/>
        <w:jc w:val="both"/>
        <w:rPr/>
      </w:pPr>
      <w:r>
        <w:rPr>
          <w:rFonts w:ascii="Times New Roman;serif" w:hAnsi="Times New Roman;serif"/>
          <w:b w:val="false"/>
          <w:color w:val="000000"/>
          <w:sz w:val="20"/>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color w:val="000000"/>
        </w:rPr>
        <w:t>☐</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Item 2.02 Results of Operations and Financial Condition</w:t>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Financial Results for the Quarter Ended June 30, 2026</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On August 6, 2026, Universal Electronics Inc. (the "Company") issued a press release reporting financial results for the quarter ended June 30, 2026 and certain other information. A copy of the Company's press release is furnished as Exhibit 99.1 with this Current Report on Form 8-K.</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The information in this Item 2.02, including Exhibit 99.1 hereto, shall not be incorporated by reference into any filing of the </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Company under the Securities Act of 1933 (the “Securities Act”) or the Securities Exchange Act of 1934 (the “Exchange Act”),</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whether made before or after the date hereof, regardless of any general incorporation language in such filing, unless expressly</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incorporated by specific reference in such filing. Furthermore, the information in this Item 2.02, including Exhibit 99.1 hereto,</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shall not be deemed to be “filed” for purposes of Section 18 of the Exchange Act, or otherwise be subject to the liabilities of</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that section.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Item 5.02 Departure of Directors or Certain Officers; Elections of Directors; Appointment of Certain Officers; Compensatory Arrangements of Certain Officers.</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On August 2, 2026, Richard K. Carnifax, the Company's Interim Chief Executive Officer and Chief Operating Officer and principal executive officer, notified the Company that he intended to resign from such roles effective as of August 6, 2026. On August 3, 2026, the Company’s Board of Directors (the "Board") unanimously appointed, in each case effective as of the close of business on August 6, 2026, (i) Wade M. Jenke as the Company’s Chief Executive Officer and President and principal executive officer, (ii) Sui Man Ho (a.k.a. Raymond Ho) as the Company’s Chief Financial Officer, principal financial officer and principal accounting officer and (iii) Joseph (Lee) Haughawout as the Company’s Chief Operating Officer.</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In connection with his appointment, Mr. Jenke’s annual base salary will be increased from $325,000 to $355,000, and his target bonus percentage, which is subject to achievement of performance objectives, will remain 40% of his annual base salary. The Company has previously entered into its standard form of indemnification agreement with Mr. Jenke.</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The information with respect to Mr. Jenke contained in the Company’s Current Report on Form 8-K filed with the Securities and Exchange Commission ("SEC") on December 30, 2025 is incorporated herein by reference.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Mr. Ho, age 54, has served as the Company's Senior Vice President, Finance since December 2025. Mr. Ho previously served as the Company's Interim Chief Financial Officer from September 2025 until December 2025, as the Company's Senior Vice President, Finance from May 2025 until September 2025, as the Company's Senior Vice President, Finance – Global Operations from September 2022 until May 2025, as the Company's Senior Vice President, Chief Financial Officer – Asia from May 2018 until September 2022, and as the Company's Chief Financial Officer – Asia from April 2011 until May 2018. Prior to joining the Company, from June 2008 until March 2011, Mr. Ho was the Chief Financial Officer at Yau Lee Holdings Limited (HKEX: 406), a construction and engineering service company publicly traded on the Main Board of the Hong Kong Stock Exchange. Prior to that, Mr. Ho held various roles at American Standard Companies, a conglomerate manufacturing heating, ventilation and air conditioning systems, plumbing fixtures and automotive parts, including as Regional Senior Audit Manager from November 2002 until December 2004, as Regional Audit Director from January 2005 until December 2005, and as Regional Financial Controller at Trane (NYSE: TT) from January 2006 until May 2008. Before joining American Standard Companies, Mr. Ho was a Staff Accountant at Arthur Andersen &amp; Co., an accounting firm, from September 1994 until June 2002, and a Senior Manager at PricewaterhouseCoopers, an accounting firm, from July 2002 until November 2002. Mr. Ho is a Certified Public Accountant in Hong Kong, a fellow member of the Chartered Association of Certified Accountants, and an associate member of the Chartered Institute of Management Accountants. Mr. Ho holds a Bachelor of Business Administration, with a major in Accountancy and minor in Computer Science, and a Master of Business Administration from the Chinese University of Hong Kong under the Executive Master of Business Administration programme.</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There is no arrangement or understanding between Mr. Ho and any other person pursuant to which he was selected as an officer of the Company. Additionally, there are no family relationships between Mr. Ho and any of the Company’s directors or executive officers, and Mr. Ho has no direct or indirect material interest in any transaction required to be disclosed pursuant to Item 404(a) of Regulation S-K.</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Mr. Ho’s annual base salary will remain $341,250 and his target bonus percentage, which is subject to achievement of performance objectives, will remain 50% of his annual base salary. The Company has previously entered into its standard form of indemnification agreement with Mr. Ho.</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321945"/>
                <wp:effectExtent l="0" t="0" r="0" b="0"/>
                <wp:wrapNone/>
                <wp:docPr id="2" name="Frame2"/>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w:t>
                      </w:r>
                    </w:p>
                  </w:txbxContent>
                </v:textbox>
                <w10:wrap type="none"/>
              </v:rect>
            </w:pict>
          </mc:Fallback>
        </mc:AlternateContent>
      </w:r>
    </w:p>
    <w:p>
      <w:pPr>
        <w:pStyle w:val="TextBody"/>
        <w:bidi w:val="0"/>
        <w:spacing w:before="0" w:after="0"/>
        <w:jc w:val="left"/>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Mr. Haughawout, age 54, has served the Company's Senior Vice President of Program Management since 2016. Prior to that, he served as the Company's Vice President of Program Management from 2009 until 2016 and in various managerial, applications engineering, technical support supervisor and product trainer roles with the Company since 1994. Mr. Haughawout holds a Bachelor of Arts with degrees in Criminal Justice and Sociology from Kent State University.</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There is no arrangement or understanding between Mr. Haughawout and any other person pursuant to which he was selected as an officer of the Company. Additionally, there are no family relationships between Mr. Haughawout and any of the Company’s directors or executive officers, and Mr. Haughawout has no direct or indirect material interest in any transaction required to be disclosed pursuant to Item 404(a) of Regulation S-K.</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Mr. Haughawout’s annual base salary will remain $322,875. In connection with his appointment, the Company expects to enter into its form of indemnification agreement with Mr. Haughawout.</w:t>
      </w:r>
    </w:p>
    <w:p>
      <w:pPr>
        <w:pStyle w:val="TextBody"/>
        <w:bidi w:val="0"/>
        <w:spacing w:before="0" w:after="0"/>
        <w:jc w:val="left"/>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Item 8.01 Other Events</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Special Cash Dividend</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color w:val="000000"/>
          <w:sz w:val="20"/>
        </w:rPr>
        <w:t>On August 5, 2026, the Board authorized and approved a special, one-time cash dividend payable in an amount equal to $0.24 per share to all holders of shares of the Company’s common stock.</w:t>
      </w:r>
      <w:r>
        <w:rPr>
          <w:color w:val="000000"/>
        </w:rPr>
        <w:t xml:space="preserve"> </w:t>
      </w:r>
      <w:r>
        <w:rPr>
          <w:rFonts w:ascii="Times New Roman;serif" w:hAnsi="Times New Roman;serif"/>
          <w:b w:val="false"/>
          <w:color w:val="000000"/>
          <w:sz w:val="20"/>
        </w:rPr>
        <w:t>The special dividend will be payable, subject to any prior revocation, on October 15 2026 to the Company’s stockholders of record on August 24, 2026.</w:t>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Forward-Looking Statements</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color w:val="000000"/>
          <w:sz w:val="20"/>
        </w:rPr>
        <w:t>This Current Report contains forward-looking statements within the meaning of Section 27A of the Securities Act and Section 21E of the Exchange Act. These forward-looking statements involve risks and uncertainties. These forward-looking statements may be identified by terms such as “will,” or “may,” or the negative of these terms, and similar expressions intended to identify forward-looking statements. These forward-looking statements include, but are not limited to, statements regarding the anticipated amount, methods, timing and other aspects of the Company’s special dividend. These statements involve known and unknown risks, uncertainties and other factors which may cause actual results, performance or achievements to differ materially from those expressed or implied by such forward-looking statements. These risks and uncertainties include, but are not limited to, any unforeseen need for capital which may require us to divert funds we may have otherwise used for the dividend.</w:t>
      </w:r>
      <w:r>
        <w:rPr>
          <w:color w:val="000000"/>
        </w:rPr>
        <w:t xml:space="preserve"> </w:t>
      </w:r>
      <w:r>
        <w:rPr>
          <w:rFonts w:ascii="Times New Roman;serif" w:hAnsi="Times New Roman;serif"/>
          <w:b w:val="false"/>
          <w:color w:val="000000"/>
          <w:sz w:val="20"/>
        </w:rPr>
        <w:t>More information regarding these and other risks, uncertainties and factors is contained in the Company’s Annual Report on Form 10-K for the year ended December 31, 2025, as filed with the SEC on March 12, 2026, and in other reports filed by the Company with the SEC from time to time. You are cautioned not to unduly rely on these forward-looking statements, which speak only as of the date of this Current Report. All information in this Current Report and its attachments is as of the date stated and the Company undertakes no obligation to update or publicly revise any forward-looking statement to reflect circumstances or events after the date of this Current Report or to report the occurrence of unanticipated events other than as required by law or regulation.</w:t>
      </w:r>
    </w:p>
    <w:p>
      <w:pPr>
        <w:pStyle w:val="TextBody"/>
        <w:bidi w:val="0"/>
        <w:spacing w:before="0" w:after="0"/>
        <w:jc w:val="left"/>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Item 9.01 Financial Statements and Exhibits</w:t>
      </w:r>
    </w:p>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(d)Exhibits. The following exhibits are furnished with this report.</w:t>
      </w:r>
    </w:p>
    <w:p>
      <w:pPr>
        <w:pStyle w:val="TextBody"/>
        <w:bidi w:val="0"/>
        <w:spacing w:lineRule="auto" w:line="288" w:before="180" w:after="283"/>
        <w:jc w:val="left"/>
        <w:rPr/>
      </w:pPr>
      <w:r>
        <w:rPr>
          <w:rFonts w:ascii="Times New Roman;serif" w:hAnsi="Times New Roman;serif"/>
          <w:b w:val="false"/>
          <w:color w:val="000000"/>
          <w:sz w:val="20"/>
          <w:u w:val="single"/>
        </w:rPr>
        <w:t>Exhibit No.</w:t>
      </w:r>
      <w:r>
        <w:rPr>
          <w:color w:val="000000"/>
        </w:rPr>
        <w:t>    </w:t>
      </w:r>
      <w:r>
        <w:rPr>
          <w:rFonts w:ascii="Times New Roman;serif" w:hAnsi="Times New Roman;serif"/>
          <w:b w:val="false"/>
          <w:color w:val="000000"/>
          <w:sz w:val="20"/>
          <w:u w:val="single"/>
        </w:rPr>
        <w:t>Description</w:t>
      </w:r>
    </w:p>
    <w:p>
      <w:pPr>
        <w:pStyle w:val="TextBody"/>
        <w:bidi w:val="0"/>
        <w:spacing w:lineRule="auto" w:line="288" w:before="180" w:after="283"/>
        <w:ind w:left="0" w:right="0" w:hanging="1440"/>
        <w:jc w:val="left"/>
        <w:rPr/>
      </w:pPr>
      <w:r>
        <w:rPr>
          <w:rFonts w:ascii="Times New Roman;serif" w:hAnsi="Times New Roman;serif"/>
          <w:b w:val="false"/>
          <w:color w:val="000000"/>
          <w:sz w:val="20"/>
        </w:rPr>
        <w:t>99.1        </w:t>
      </w:r>
      <w:hyperlink w:anchor="exhibit99-8ker20260806.htm">
        <w:r>
          <w:rPr>
            <w:rStyle w:val="InternetLink"/>
          </w:rPr>
          <w:t xml:space="preserve">Press Release of </w:t>
        </w:r>
      </w:hyperlink>
      <w:hyperlink w:anchor="exhibit99-8ker20260806.htm">
        <w:r>
          <w:rPr>
            <w:rStyle w:val="InternetLink"/>
          </w:rPr>
          <w:t>Univers</w:t>
        </w:r>
      </w:hyperlink>
      <w:hyperlink w:anchor="exhibit99-8ker20260806.htm">
        <w:r>
          <w:rPr>
            <w:rStyle w:val="InternetLink"/>
          </w:rPr>
          <w:t>al Electronics Inc</w:t>
        </w:r>
      </w:hyperlink>
      <w:hyperlink w:anchor="exhibit99-8ker20260806.htm">
        <w:r>
          <w:rPr>
            <w:rStyle w:val="InternetLink"/>
          </w:rPr>
          <w:t>.</w:t>
        </w:r>
      </w:hyperlink>
      <w:hyperlink w:anchor="exhibit99-8ker20260806.htm">
        <w:r>
          <w:rPr>
            <w:rStyle w:val="InternetLink"/>
          </w:rPr>
          <w:t>, dated August 6, 2026</w:t>
        </w:r>
      </w:hyperlink>
    </w:p>
    <w:p>
      <w:pPr>
        <w:pStyle w:val="TextBody"/>
        <w:bidi w:val="0"/>
        <w:spacing w:lineRule="auto" w:line="288" w:before="180" w:after="283"/>
        <w:jc w:val="left"/>
        <w:rPr>
          <w:rFonts w:ascii="Times New Roman;serif" w:hAnsi="Times New Roman;serif"/>
          <w:b w:val="false"/>
          <w:color w:val="000000"/>
          <w:sz w:val="20"/>
        </w:rPr>
      </w:pPr>
      <w:r>
        <w:rPr>
          <w:rFonts w:ascii="Times New Roman;serif" w:hAnsi="Times New Roman;serif"/>
          <w:b w:val="false"/>
          <w:color w:val="000000"/>
          <w:sz w:val="20"/>
        </w:rPr>
        <w:t>104         Cover Page to this Current Report on Form 8-K, formatted in Inline XBRL</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321945"/>
                <wp:effectExtent l="0" t="0" r="0" b="0"/>
                <wp:wrapNone/>
                <wp:docPr id="3" name="Frame3"/>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2</w:t>
                      </w:r>
                    </w:p>
                  </w:txbxContent>
                </v:textbox>
                <w10:wrap type="none"/>
              </v:rect>
            </w:pict>
          </mc:Fallback>
        </mc:AlternateContent>
      </w:r>
    </w:p>
    <w:p>
      <w:pPr>
        <w:pStyle w:val="TextBody"/>
        <w:bidi w:val="0"/>
        <w:spacing w:before="0" w:after="0"/>
        <w:jc w:val="left"/>
        <w:rPr/>
      </w:pPr>
      <w:r>
        <w:rPr/>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SIGNATURE</w:t>
      </w:r>
    </w:p>
    <w:p>
      <w:pPr>
        <w:pStyle w:val="TextBody"/>
        <w:bidi w:val="0"/>
        <w:spacing w:lineRule="auto" w:line="288" w:before="180" w:after="283"/>
        <w:jc w:val="left"/>
        <w:rPr>
          <w:rFonts w:ascii="Times New Roman;serif" w:hAnsi="Times New Roman;serif"/>
          <w:b w:val="false"/>
          <w:color w:val="000000"/>
          <w:sz w:val="20"/>
        </w:rPr>
      </w:pPr>
      <w:r>
        <w:rPr>
          <w:rFonts w:ascii="Times New Roman;serif" w:hAnsi="Times New Roman;serif"/>
          <w:b w:val="false"/>
          <w:color w:val="000000"/>
          <w:sz w:val="20"/>
        </w:rPr>
        <w:t>Pursuant to the requirements of the Securities Exchange Act of 1934, the registrant has duly caused this report to be signed on its behalf by the undersigned hereunto duly authorized.</w:t>
      </w:r>
    </w:p>
    <w:p>
      <w:pPr>
        <w:pStyle w:val="TextBody"/>
        <w:bidi w:val="0"/>
        <w:spacing w:lineRule="auto" w:line="288" w:before="0" w:after="0"/>
        <w:jc w:val="left"/>
        <w:rPr>
          <w:color w:val="000000"/>
        </w:rPr>
      </w:pPr>
      <w:r>
        <w:rPr>
          <w:color w:val="000000"/>
        </w:rPr>
        <w:t> </w:t>
      </w:r>
    </w:p>
    <w:tbl>
      <w:tblPr>
        <w:tblW w:w="6662" w:type="dxa"/>
        <w:jc w:val="left"/>
        <w:tblInd w:w="0" w:type="dxa"/>
        <w:tblLayout w:type="fixed"/>
        <w:tblCellMar>
          <w:top w:w="28" w:type="dxa"/>
          <w:left w:w="28" w:type="dxa"/>
          <w:bottom w:w="28" w:type="dxa"/>
          <w:right w:w="28" w:type="dxa"/>
        </w:tblCellMar>
      </w:tblPr>
      <w:tblGrid>
        <w:gridCol w:w="667"/>
        <w:gridCol w:w="587"/>
        <w:gridCol w:w="590"/>
        <w:gridCol w:w="109"/>
        <w:gridCol w:w="109"/>
        <w:gridCol w:w="109"/>
        <w:gridCol w:w="109"/>
        <w:gridCol w:w="109"/>
        <w:gridCol w:w="109"/>
        <w:gridCol w:w="109"/>
        <w:gridCol w:w="109"/>
        <w:gridCol w:w="109"/>
        <w:gridCol w:w="237"/>
        <w:gridCol w:w="237"/>
        <w:gridCol w:w="237"/>
        <w:gridCol w:w="237"/>
        <w:gridCol w:w="237"/>
        <w:gridCol w:w="237"/>
        <w:gridCol w:w="704"/>
        <w:gridCol w:w="704"/>
        <w:gridCol w:w="1007"/>
      </w:tblGrid>
      <w:tr>
        <w:trPr/>
        <w:tc>
          <w:tcPr>
            <w:tcW w:w="667" w:type="dxa"/>
            <w:tcBorders/>
            <w:vAlign w:val="center"/>
          </w:tcPr>
          <w:p>
            <w:pPr>
              <w:pStyle w:val="TableContents"/>
              <w:bidi w:val="0"/>
              <w:spacing w:before="0" w:after="283"/>
              <w:jc w:val="left"/>
              <w:rPr>
                <w:sz w:val="4"/>
                <w:szCs w:val="4"/>
              </w:rPr>
            </w:pPr>
            <w:r>
              <w:rPr>
                <w:sz w:val="4"/>
                <w:szCs w:val="4"/>
              </w:rPr>
            </w:r>
          </w:p>
        </w:tc>
        <w:tc>
          <w:tcPr>
            <w:tcW w:w="587" w:type="dxa"/>
            <w:tcBorders/>
            <w:vAlign w:val="center"/>
          </w:tcPr>
          <w:p>
            <w:pPr>
              <w:pStyle w:val="TableContents"/>
              <w:bidi w:val="0"/>
              <w:spacing w:before="0" w:after="283"/>
              <w:jc w:val="left"/>
              <w:rPr>
                <w:sz w:val="4"/>
                <w:szCs w:val="4"/>
              </w:rPr>
            </w:pPr>
            <w:r>
              <w:rPr>
                <w:sz w:val="4"/>
                <w:szCs w:val="4"/>
              </w:rPr>
            </w:r>
          </w:p>
        </w:tc>
        <w:tc>
          <w:tcPr>
            <w:tcW w:w="59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704" w:type="dxa"/>
            <w:tcBorders/>
            <w:vAlign w:val="center"/>
          </w:tcPr>
          <w:p>
            <w:pPr>
              <w:pStyle w:val="TableContents"/>
              <w:bidi w:val="0"/>
              <w:spacing w:before="0" w:after="283"/>
              <w:jc w:val="left"/>
              <w:rPr>
                <w:sz w:val="4"/>
                <w:szCs w:val="4"/>
              </w:rPr>
            </w:pPr>
            <w:r>
              <w:rPr>
                <w:sz w:val="4"/>
                <w:szCs w:val="4"/>
              </w:rPr>
            </w:r>
          </w:p>
        </w:tc>
        <w:tc>
          <w:tcPr>
            <w:tcW w:w="704" w:type="dxa"/>
            <w:tcBorders/>
            <w:vAlign w:val="center"/>
          </w:tcPr>
          <w:p>
            <w:pPr>
              <w:pStyle w:val="TableContents"/>
              <w:bidi w:val="0"/>
              <w:spacing w:before="0" w:after="283"/>
              <w:jc w:val="left"/>
              <w:rPr>
                <w:sz w:val="4"/>
                <w:szCs w:val="4"/>
              </w:rPr>
            </w:pPr>
            <w:r>
              <w:rPr>
                <w:sz w:val="4"/>
                <w:szCs w:val="4"/>
              </w:rPr>
            </w:r>
          </w:p>
        </w:tc>
        <w:tc>
          <w:tcPr>
            <w:tcW w:w="1007" w:type="dxa"/>
            <w:tcBorders/>
            <w:vAlign w:val="center"/>
          </w:tcPr>
          <w:p>
            <w:pPr>
              <w:pStyle w:val="TableContents"/>
              <w:bidi w:val="0"/>
              <w:spacing w:before="0" w:after="283"/>
              <w:jc w:val="left"/>
              <w:rPr>
                <w:sz w:val="4"/>
                <w:szCs w:val="4"/>
              </w:rPr>
            </w:pPr>
            <w:r>
              <w:rPr>
                <w:sz w:val="4"/>
                <w:szCs w:val="4"/>
              </w:rPr>
            </w:r>
          </w:p>
        </w:tc>
      </w:tr>
      <w:tr>
        <w:trPr/>
        <w:tc>
          <w:tcPr>
            <w:tcW w:w="18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37"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Universal Electronics Inc.</w:t>
            </w:r>
          </w:p>
        </w:tc>
      </w:tr>
      <w:tr>
        <w:trPr/>
        <w:tc>
          <w:tcPr>
            <w:tcW w:w="18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4"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26"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Date: August 6,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7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/s/ Wade M. Jenke</w:t>
            </w:r>
          </w:p>
        </w:tc>
      </w:tr>
      <w:tr>
        <w:trPr/>
        <w:tc>
          <w:tcPr>
            <w:tcW w:w="18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Wade M. Jenke</w:t>
            </w:r>
          </w:p>
        </w:tc>
      </w:tr>
      <w:tr>
        <w:trPr/>
        <w:tc>
          <w:tcPr>
            <w:tcW w:w="18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Chief Financial Officer</w:t>
              <w:br/>
              <w:t>(Principal Financial Officer)</w:t>
            </w:r>
          </w:p>
        </w:tc>
      </w:tr>
    </w:tbl>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321945"/>
                <wp:effectExtent l="0" t="0" r="0" b="0"/>
                <wp:wrapNone/>
                <wp:docPr id="4" name="Frame4"/>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w:t>
                      </w:r>
                    </w:p>
                  </w:txbxContent>
                </v:textbox>
                <w10:wrap type="none"/>
              </v:rect>
            </w:pict>
          </mc:Fallback>
        </mc:AlternateContent>
      </w:r>
    </w:p>
    <w:p>
      <w:pPr>
        <w:pStyle w:val="TextBody"/>
        <w:bidi w:val="0"/>
        <w:spacing w:lineRule="auto" w:line="288" w:before="0" w:after="0"/>
        <w:jc w:val="right"/>
        <w:rPr>
          <w:rFonts w:ascii="Times New Roman;serif" w:hAnsi="Times New Roman;serif"/>
          <w:b/>
          <w:color w:val="000000"/>
          <w:sz w:val="20"/>
        </w:rPr>
      </w:pPr>
      <w:r>
        <w:rPr>
          <w:rFonts w:ascii="Times New Roman;serif" w:hAnsi="Times New Roman;serif"/>
          <w:b/>
          <w:color w:val="000000"/>
          <w:sz w:val="20"/>
        </w:rPr>
        <w:t>Exhibit 99</w:t>
      </w:r>
    </w:p>
    <w:p>
      <w:pPr>
        <w:pStyle w:val="TextBody"/>
        <w:bidi w:val="0"/>
        <w:spacing w:before="0" w:after="0"/>
        <w:jc w:val="left"/>
        <w:rPr/>
      </w:pPr>
      <w:r>
        <w:rPr/>
        <w:drawing>
          <wp:inline distT="0" distB="0" distL="0" distR="0">
            <wp:extent cx="2028825" cy="628650"/>
            <wp:effectExtent l="0" t="0" r="0" b="0"/>
            <wp:docPr id="5"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1" descr=""/>
                    <pic:cNvPicPr>
                      <a:picLocks noChangeAspect="1" noChangeArrowheads="1"/>
                    </pic:cNvPicPr>
                  </pic:nvPicPr>
                  <pic:blipFill>
                    <a:blip r:embed="rId2"/>
                    <a:stretch>
                      <a:fillRect/>
                    </a:stretch>
                  </pic:blipFill>
                  <pic:spPr bwMode="auto">
                    <a:xfrm>
                      <a:off x="0" y="0"/>
                      <a:ext cx="2028825" cy="628650"/>
                    </a:xfrm>
                    <a:prstGeom prst="rect">
                      <a:avLst/>
                    </a:prstGeom>
                  </pic:spPr>
                </pic:pic>
              </a:graphicData>
            </a:graphic>
          </wp:inline>
        </w:drawing>
      </w:r>
    </w:p>
    <w:p>
      <w:pPr>
        <w:pStyle w:val="TextBody"/>
        <w:bidi w:val="0"/>
        <w:spacing w:before="0" w:after="0"/>
        <w:jc w:val="right"/>
        <w:rPr/>
      </w:pPr>
      <w:r>
        <w:rPr/>
      </w:r>
    </w:p>
    <w:p>
      <w:pPr>
        <w:pStyle w:val="TextBody"/>
        <w:bidi w:val="0"/>
        <w:spacing w:lineRule="auto" w:line="288" w:before="0" w:after="0"/>
        <w:jc w:val="center"/>
        <w:rPr>
          <w:rFonts w:ascii="Times New Roman;serif" w:hAnsi="Times New Roman;serif"/>
          <w:b/>
          <w:color w:val="000000"/>
          <w:sz w:val="32"/>
        </w:rPr>
      </w:pPr>
      <w:r>
        <w:rPr>
          <w:rFonts w:ascii="Times New Roman;serif" w:hAnsi="Times New Roman;serif"/>
          <w:b/>
          <w:color w:val="000000"/>
          <w:sz w:val="32"/>
        </w:rPr>
        <w:t>Universal Electronics Reports Financial Results for the Second Quarter 2026</w:t>
      </w:r>
    </w:p>
    <w:p>
      <w:pPr>
        <w:pStyle w:val="TextBody"/>
        <w:bidi w:val="0"/>
        <w:spacing w:lineRule="auto" w:line="288" w:before="0" w:after="0"/>
        <w:jc w:val="center"/>
        <w:rPr>
          <w:rFonts w:ascii="Times New Roman;serif" w:hAnsi="Times New Roman;serif"/>
          <w:b w:val="false"/>
          <w:i/>
          <w:color w:val="000000"/>
          <w:sz w:val="32"/>
        </w:rPr>
      </w:pPr>
      <w:r>
        <w:rPr>
          <w:rFonts w:ascii="Times New Roman;serif" w:hAnsi="Times New Roman;serif"/>
          <w:b w:val="false"/>
          <w:i/>
          <w:color w:val="000000"/>
          <w:sz w:val="32"/>
        </w:rPr>
        <w:t>Declares $0.24 Per Share Special Cash Dividend</w:t>
      </w:r>
    </w:p>
    <w:p>
      <w:pPr>
        <w:pStyle w:val="TextBody"/>
        <w:bidi w:val="0"/>
        <w:spacing w:lineRule="auto" w:line="288" w:before="0" w:after="0"/>
        <w:jc w:val="center"/>
        <w:rPr>
          <w:rFonts w:ascii="Times New Roman;serif" w:hAnsi="Times New Roman;serif"/>
          <w:b w:val="false"/>
          <w:i/>
          <w:color w:val="000000"/>
          <w:sz w:val="32"/>
        </w:rPr>
      </w:pPr>
      <w:r>
        <w:rPr>
          <w:rFonts w:ascii="Times New Roman;serif" w:hAnsi="Times New Roman;serif"/>
          <w:b w:val="false"/>
          <w:i/>
          <w:color w:val="000000"/>
          <w:sz w:val="32"/>
        </w:rPr>
        <w:t>Announces Patent Infringement Lawsuit Against Amazon</w:t>
      </w:r>
    </w:p>
    <w:p>
      <w:pPr>
        <w:pStyle w:val="TextBody"/>
        <w:bidi w:val="0"/>
        <w:spacing w:lineRule="auto" w:line="288" w:before="0" w:after="0"/>
        <w:jc w:val="center"/>
        <w:rPr>
          <w:rFonts w:ascii="Times New Roman;serif" w:hAnsi="Times New Roman;serif"/>
          <w:b w:val="false"/>
          <w:i/>
          <w:color w:val="000000"/>
          <w:sz w:val="32"/>
        </w:rPr>
      </w:pPr>
      <w:r>
        <w:rPr>
          <w:rFonts w:ascii="Times New Roman;serif" w:hAnsi="Times New Roman;serif"/>
          <w:b w:val="false"/>
          <w:i/>
          <w:color w:val="000000"/>
          <w:sz w:val="32"/>
        </w:rPr>
        <w:t>Appoints Wade Jenke as Chief Executive Officer</w:t>
      </w:r>
    </w:p>
    <w:p>
      <w:pPr>
        <w:pStyle w:val="TextBody"/>
        <w:bidi w:val="0"/>
        <w:spacing w:lineRule="auto" w:line="288" w:before="0" w:after="0"/>
        <w:jc w:val="center"/>
        <w:rPr/>
      </w:pPr>
      <w:r>
        <w:rPr>
          <w:rFonts w:ascii="Times New Roman;serif" w:hAnsi="Times New Roman;serif"/>
          <w:b w:val="false"/>
          <w:i/>
          <w:color w:val="000000"/>
          <w:sz w:val="32"/>
        </w:rPr>
        <w:t xml:space="preserve">Reports Shareholders' Equity of </w:t>
      </w:r>
      <w:r>
        <w:rPr>
          <w:rFonts w:ascii="Times New Roman;serif" w:hAnsi="Times New Roman;serif"/>
          <w:b w:val="false"/>
          <w:color w:val="000000"/>
          <w:sz w:val="32"/>
        </w:rPr>
        <w:t>$143.0 million</w:t>
      </w:r>
      <w:r>
        <w:rPr>
          <w:color w:val="000000"/>
        </w:rPr>
        <w:t xml:space="preserve"> </w:t>
      </w:r>
      <w:r>
        <w:rPr>
          <w:rFonts w:ascii="Times New Roman;serif" w:hAnsi="Times New Roman;serif"/>
          <w:b w:val="false"/>
          <w:i/>
          <w:color w:val="000000"/>
          <w:sz w:val="32"/>
        </w:rPr>
        <w:t>at June 30, 2026</w:t>
      </w:r>
    </w:p>
    <w:p>
      <w:pPr>
        <w:pStyle w:val="TextBody"/>
        <w:bidi w:val="0"/>
        <w:spacing w:lineRule="auto" w:line="288" w:before="0" w:after="0"/>
        <w:jc w:val="center"/>
        <w:rPr>
          <w:rFonts w:ascii="Times New Roman;serif" w:hAnsi="Times New Roman;serif"/>
          <w:b w:val="false"/>
          <w:i/>
          <w:color w:val="000000"/>
          <w:sz w:val="32"/>
        </w:rPr>
      </w:pPr>
      <w:r>
        <w:rPr>
          <w:rFonts w:ascii="Times New Roman;serif" w:hAnsi="Times New Roman;serif"/>
          <w:b w:val="false"/>
          <w:i/>
          <w:color w:val="000000"/>
          <w:sz w:val="32"/>
        </w:rPr>
        <w:t>Reiterates Guidance for Fiscal 2026</w:t>
      </w:r>
    </w:p>
    <w:p>
      <w:pPr>
        <w:pStyle w:val="TextBody"/>
        <w:bidi w:val="0"/>
        <w:spacing w:lineRule="auto" w:line="268" w:before="20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SCOTTSDALE, AZ – August 6, 2026 – Universal Electronics Inc. (UEI) (Nasdaq: UEIC) reported financial results for the three months ended June 30, 2026. </w:t>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color w:val="000000"/>
          <w:sz w:val="24"/>
          <w:u w:val="single"/>
        </w:rPr>
      </w:pPr>
      <w:r>
        <w:rPr>
          <w:rFonts w:ascii="Times New Roman;serif" w:hAnsi="Times New Roman;serif"/>
          <w:b/>
          <w:color w:val="000000"/>
          <w:sz w:val="24"/>
          <w:u w:val="single"/>
        </w:rPr>
        <w:t>Financial Results for the Three Months Ended June 30, 2026 compared to the same period in 2025</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In Q2 2026, we significantly reduced our operational costs, improving our ability to generate profits going forward. GAAP operating expenses decreased by $7.1 million and adjusted non-GAAP operating expenses were down $6.2 million.</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 xml:space="preserve">GAAP net sales were $73.2 million, compared to $97.7 million. </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GAAP net sales in connected home were $25.1 million, compared to $34.1 million.</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GAAP net sales in home entertainment were $48.1 million, compared to $63.6 million.</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 xml:space="preserve">GAAP gross margins were </w:t>
      </w:r>
      <w:r>
        <w:rPr>
          <w:rFonts w:ascii="Times New Roman;serif" w:hAnsi="Times New Roman;serif"/>
          <w:b w:val="false"/>
          <w:color w:val="000000"/>
          <w:sz w:val="18"/>
        </w:rPr>
        <w:t>35.4%</w:t>
      </w:r>
      <w:r>
        <w:rPr>
          <w:rFonts w:ascii="Times New Roman;serif" w:hAnsi="Times New Roman;serif"/>
          <w:b w:val="false"/>
          <w:color w:val="000000"/>
          <w:sz w:val="20"/>
        </w:rPr>
        <w:t xml:space="preserve">, compared to </w:t>
      </w:r>
      <w:r>
        <w:rPr>
          <w:rFonts w:ascii="Times New Roman;serif" w:hAnsi="Times New Roman;serif"/>
          <w:b w:val="false"/>
          <w:color w:val="000000"/>
          <w:sz w:val="18"/>
        </w:rPr>
        <w:t>29.9%</w:t>
      </w:r>
      <w:r>
        <w:rPr>
          <w:rFonts w:ascii="Times New Roman;serif" w:hAnsi="Times New Roman;serif"/>
          <w:b w:val="false"/>
          <w:color w:val="000000"/>
          <w:sz w:val="20"/>
        </w:rPr>
        <w:t>; Adjusted non-GAAP gross margins were 35.4%, compared to 29.9%.</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GAAP operating income was $4.8 million, compared to GAAP operating income of $1.0 million; Adjusted non-GAAP operating income was $5.8 million, compared to Adjusted non-GAAP operating income of $2.9 million.</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GAAP net income was $1.6 million, or $0.12 per diluted share, compared to $(2.9) million, or $(0.22) per diluted share; Adjusted non-GAAP net income was $4.6 million, or $0.34 per diluted share, compared to Adjusted non-GAAP net income of $2.4 million, or $0.18 per diluted share.</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At June 30, 2026, cash and cash equivalents were $32.4 million.</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At June 30, 2026, shareholders' equity was $143.0 million.</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For a more detailed explanation of non-GAAP financial measures, please refer to the "Use of Non-GAAP Financial Metrics" and "Reconciliation of Adjusted Non-GAAP Financial Results" located elsewhere in this press release.</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color w:val="000000"/>
          <w:sz w:val="20"/>
          <w:u w:val="single"/>
        </w:rPr>
      </w:pPr>
      <w:r>
        <w:rPr>
          <w:rFonts w:ascii="Times New Roman;serif" w:hAnsi="Times New Roman;serif"/>
          <w:b/>
          <w:color w:val="000000"/>
          <w:sz w:val="20"/>
          <w:u w:val="single"/>
        </w:rPr>
        <w:t>Special Dividend</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UEI's Board of Directors has declared a one-time special cash dividend of $0.24 per share on its outstanding common stock. The special dividend will be payable on October 15, 2026 to stockholders of record as of the close of business on August 24, 2026.</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special dividend reflects the Board's confidence in UEI’s financial position and its commitment to disciplined capital allocation while continuing to invest in UEI’s strategic initiatives and long-term growth opportunities. The declaration and payment of future dividends, if any, will remain subject to the discretion of the Board of Directors and will depend on UEI's financial condition, results of operations, capital requirements, contractual obligations and other factors the Board deems relevant.</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color w:val="000000"/>
          <w:sz w:val="20"/>
          <w:u w:val="single"/>
        </w:rPr>
      </w:pPr>
      <w:r>
        <w:rPr>
          <w:rFonts w:ascii="Times New Roman;serif" w:hAnsi="Times New Roman;serif"/>
          <w:b/>
          <w:color w:val="000000"/>
          <w:sz w:val="20"/>
          <w:u w:val="single"/>
        </w:rPr>
        <w:t>Amazon Patent Infringement Litigation</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UEI announced that it has filed a patent infringement lawsuit against Amazon.com, Inc., Amazon Web Services, Inc. and Amazon.Com Services LLC (collectively, “Amazon”) in the United States District Court for the Central District of California. The complaint alleges that certain Amazon products and services infringe multiple UEI patents relating to UEI's innovations in remote control and smart home connectivity technology. The asserted patents reflect decades of UEI's investment in research and development and the advancement of technologies that enable intuitive consumer experiences across entertainment and connected home devices.</w:t>
      </w:r>
    </w:p>
    <w:p>
      <w:pPr>
        <w:pStyle w:val="TextBody"/>
        <w:bidi w:val="0"/>
        <w:spacing w:before="0" w:after="0"/>
        <w:jc w:val="both"/>
        <w:rPr/>
      </w:pPr>
      <w:r>
        <w:rPr/>
      </w:r>
    </w:p>
    <w:p>
      <w:pPr>
        <w:pStyle w:val="TextBody"/>
        <w:bidi w:val="0"/>
        <w:spacing w:lineRule="auto" w:line="288"/>
        <w:jc w:val="both"/>
        <w:rPr>
          <w:rFonts w:ascii="Times New Roman;serif" w:hAnsi="Times New Roman;serif"/>
          <w:b w:val="false"/>
          <w:color w:val="000000"/>
          <w:sz w:val="20"/>
        </w:rPr>
      </w:pPr>
      <w:r>
        <w:rPr>
          <w:rFonts w:ascii="Times New Roman;serif" w:hAnsi="Times New Roman;serif"/>
          <w:b w:val="false"/>
          <w:color w:val="000000"/>
          <w:sz w:val="20"/>
        </w:rPr>
        <w:t>UEI believes that filing this action was necessary to protect its intellectual property rights. Through the litigation, UEI seeks appropriate remedies for Amazon's alleged infringement, including injunctive relief and monetary damages as provided by law.</w:t>
      </w:r>
    </w:p>
    <w:p>
      <w:pPr>
        <w:pStyle w:val="TextBody"/>
        <w:bidi w:val="0"/>
        <w:spacing w:before="0" w:after="0"/>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46685"/>
                <wp:effectExtent l="0" t="0" r="0" b="0"/>
                <wp:wrapNone/>
                <wp:docPr id="6" name="Frame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w:t>
                      </w:r>
                    </w:p>
                  </w:txbxContent>
                </v:textbox>
                <w10:wrap type="none"/>
              </v:rect>
            </w:pict>
          </mc:Fallback>
        </mc:AlternateContent>
      </w:r>
    </w:p>
    <w:p>
      <w:pPr>
        <w:pStyle w:val="TextBody"/>
        <w:bidi w:val="0"/>
        <w:spacing w:lineRule="auto" w:line="288" w:before="0" w:after="0"/>
        <w:jc w:val="both"/>
        <w:rPr>
          <w:rFonts w:ascii="Times New Roman;serif" w:hAnsi="Times New Roman;serif"/>
          <w:b/>
          <w:color w:val="000000"/>
          <w:sz w:val="20"/>
          <w:u w:val="single"/>
        </w:rPr>
      </w:pPr>
      <w:r>
        <w:rPr>
          <w:rFonts w:ascii="Times New Roman;serif" w:hAnsi="Times New Roman;serif"/>
          <w:b/>
          <w:color w:val="000000"/>
          <w:sz w:val="20"/>
          <w:u w:val="single"/>
        </w:rPr>
        <w:t>Financial Outlook</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We continue to expect adjusted non</w:t>
        <w:noBreakHyphen/>
        <w:t>GAAP diluted earnings per share to be in the range of $0.45 to $0.65 for the fiscal year ending December 31, 2026, compared to $0.31 per share in fiscal 2025, consistent with our prior guidance.</w:t>
      </w:r>
    </w:p>
    <w:p>
      <w:pPr>
        <w:pStyle w:val="TextBody"/>
        <w:bidi w:val="0"/>
        <w:spacing w:lineRule="auto" w:line="288" w:before="200" w:after="283"/>
        <w:jc w:val="both"/>
        <w:rPr>
          <w:color w:val="000000"/>
        </w:rPr>
      </w:pPr>
      <w:r>
        <w:rPr>
          <w:color w:val="000000"/>
        </w:rPr>
        <w:t>    </w:t>
      </w:r>
    </w:p>
    <w:p>
      <w:pPr>
        <w:pStyle w:val="TextBody"/>
        <w:bidi w:val="0"/>
        <w:spacing w:lineRule="auto" w:line="288" w:before="0" w:after="0"/>
        <w:jc w:val="both"/>
        <w:rPr>
          <w:rFonts w:ascii="Times New Roman;serif" w:hAnsi="Times New Roman;serif"/>
          <w:b/>
          <w:color w:val="000000"/>
          <w:sz w:val="20"/>
          <w:u w:val="single"/>
        </w:rPr>
      </w:pPr>
      <w:r>
        <w:rPr>
          <w:rFonts w:ascii="Times New Roman;serif" w:hAnsi="Times New Roman;serif"/>
          <w:b/>
          <w:color w:val="000000"/>
          <w:sz w:val="20"/>
          <w:u w:val="single"/>
        </w:rPr>
        <w:t>Management Transition</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UEI announced the appointment of Wade M. Jenke as President and Chief Executive Officer, succeeding Richard K. Carnifax, who has resigned from his roles with UEI to pursue an exceptional leadership opportunity with a company generating multi-billion-dollar annual revenue. Mr. Jenke previously served as UEI's Chief Financial Officer and has played a key role in the Company's operational and financial transformation.</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Raymond (Sui Man) Ho has been appointed as UEI’s Chief Financial Officer, succeeding Mr. Jenke. Mr. Ho previously served as UEI’s Interim Chief Financial Officer from September 2025 until December 2025 and has served as UEI's Sr. Vice President, Finance and in various other roles for more than 15 years. In addition, UEI appointed Joseph (Lee) Haughawout as Chief Operating Officer. Mr. Haughawout most recently served as UEI’s SVP, Product Development and has held leadership positions across the organization for more than 20 years.</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The Board of Directors expressed its gratitude to Mr. Carnifax for his outstanding leadership during an important period for UEI. Mr. Carnifax helped establish a strong foundation for UEI through a renewed focus on operational execution, transparency, accountability and disciplined capital allocation. The Board of Directors noted that Mr. Jenke has also been instrumental in executing the Company's turnaround initiatives and is exceptionally well positioned to lead UEI through its next phase. The Board of Directors expressed its full confidence in Mr. Jenke and the strengthened leadership team to build on the momentum achieved over the past several quarters and continue creating long-term value for our shareholders. </w:t>
      </w:r>
    </w:p>
    <w:p>
      <w:pPr>
        <w:pStyle w:val="TextBody"/>
        <w:bidi w:val="0"/>
        <w:spacing w:lineRule="auto" w:line="288" w:before="200" w:after="283"/>
        <w:jc w:val="both"/>
        <w:rPr>
          <w:rFonts w:ascii="Times New Roman;serif" w:hAnsi="Times New Roman;serif"/>
          <w:b/>
          <w:color w:val="000000"/>
          <w:sz w:val="20"/>
          <w:u w:val="single"/>
        </w:rPr>
      </w:pPr>
      <w:r>
        <w:rPr>
          <w:rFonts w:ascii="Times New Roman;serif" w:hAnsi="Times New Roman;serif"/>
          <w:b/>
          <w:color w:val="000000"/>
          <w:sz w:val="20"/>
          <w:u w:val="single"/>
        </w:rPr>
        <w:t>Conference Call Information</w:t>
      </w:r>
    </w:p>
    <w:p>
      <w:pPr>
        <w:pStyle w:val="TextBody"/>
        <w:bidi w:val="0"/>
        <w:spacing w:lineRule="auto" w:line="288" w:before="200" w:after="283"/>
        <w:jc w:val="both"/>
        <w:rPr/>
      </w:pPr>
      <w:r>
        <w:rPr>
          <w:rFonts w:ascii="Times New Roman;serif" w:hAnsi="Times New Roman;serif"/>
          <w:b w:val="false"/>
          <w:color w:val="000000"/>
          <w:sz w:val="20"/>
        </w:rPr>
        <w:t xml:space="preserve">UEI’s management team will hold a conference call today, Thursday, August 6, 2026 at 4:30 p.m. ET / 1:30 p.m. PT, to discuss its </w:t>
      </w:r>
      <w:r>
        <w:rPr>
          <w:rFonts w:ascii="Times New Roman;serif" w:hAnsi="Times New Roman;serif"/>
          <w:b w:val="false"/>
          <w:color w:val="000000"/>
          <w:sz w:val="18"/>
        </w:rPr>
        <w:t>second quarter</w:t>
      </w:r>
      <w:r>
        <w:rPr>
          <w:color w:val="000000"/>
        </w:rPr>
        <w:t xml:space="preserve"> </w:t>
      </w:r>
      <w:r>
        <w:rPr>
          <w:rFonts w:ascii="Times New Roman;serif" w:hAnsi="Times New Roman;serif"/>
          <w:b w:val="false"/>
          <w:color w:val="000000"/>
          <w:sz w:val="20"/>
        </w:rPr>
        <w:t xml:space="preserve">2026 earnings results, review recent activity and answer questions. To attend the call please register at: </w:t>
      </w:r>
      <w:r>
        <w:rPr>
          <w:rFonts w:ascii="Times New Roman;serif" w:hAnsi="Times New Roman;serif"/>
          <w:b w:val="false"/>
          <w:color w:val="0094FF"/>
          <w:sz w:val="20"/>
        </w:rPr>
        <w:t>https://edge.media-server.com/mmc/p/n7ydfz8z/</w:t>
      </w:r>
      <w:r>
        <w:rPr>
          <w:color w:val="000000"/>
        </w:rPr>
        <w:t xml:space="preserve"> </w:t>
      </w:r>
      <w:r>
        <w:rPr>
          <w:rFonts w:ascii="Times New Roman;serif" w:hAnsi="Times New Roman;serif"/>
          <w:b w:val="false"/>
          <w:color w:val="000000"/>
          <w:sz w:val="20"/>
        </w:rPr>
        <w:t>to receive a computer-generated dial-in number and a unique pin number. The conference call will also be broadcast live on the investor section of the UEI website where it will be available for replay for 90 days.</w:t>
      </w:r>
    </w:p>
    <w:p>
      <w:pPr>
        <w:pStyle w:val="TextBody"/>
        <w:bidi w:val="0"/>
        <w:spacing w:lineRule="auto" w:line="288" w:before="200" w:after="283"/>
        <w:jc w:val="both"/>
        <w:rPr>
          <w:rFonts w:ascii="Times New Roman;serif" w:hAnsi="Times New Roman;serif"/>
          <w:b/>
          <w:color w:val="000000"/>
          <w:sz w:val="20"/>
          <w:u w:val="single"/>
        </w:rPr>
      </w:pPr>
      <w:r>
        <w:rPr>
          <w:rFonts w:ascii="Times New Roman;serif" w:hAnsi="Times New Roman;serif"/>
          <w:b/>
          <w:color w:val="000000"/>
          <w:sz w:val="20"/>
          <w:u w:val="single"/>
        </w:rPr>
        <w:t>Use of Non-GAAP Financial Metrics</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In addition to reporting financial results in accordance with generally accepted accounting principles, or GAAP, UEI provides Adjusted non-GAAP information as additional information for its operating results. References to Adjusted non-GAAP information are to non-GAAP financial measures. These measures are not required by, in accordance with, or an alternative for, GAAP and may be different from non-GAAP financial measures used by other companies. UEI’s management uses these measures for reviewing the financial results of UEI for budget planning purposes and for making operational and financial decisions. Management believes that providing these non-GAAP financial measures to investors, as a supplement to GAAP financial measures, help investors evaluate UEI’s core operating and financial performance and business trends consistent with how management evaluates such performance and trends. Additionally, management believes these measures facilitate comparisons with the core operating and financial results and business trends of competitors and other companies.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Adjusted non-GAAP gross profit is defined as gross profit excluding stock-based compensation expense. Adjusted non-GAAP operating expenses are defined as operating expenses excluding stock-based compensation expense, amortization of intangibles acquired, and severance. Adjusted non-GAAP net income (loss) is defined as net loss excluding the aforementioned items, foreign currency gains and losses, and the related tax effects of all adjustments, as well as valuation allowances on certain deferred tax assets and certain net deferred tax adjustments. Adjusted non-GAAP earnings (loss) per diluted share is calculated using Adjusted non-GAAP net income (loss). A reconciliation of these financial measures to the most directly comparable GAAP financial measures is included at the end of this press release. We do not provide a reconciliation for forward-looking non-GAAP financial metrics because reconciliation information is not available without unreasonable effort, such as attempting to make assumptions that cannot reasonably be made on a forward-looking basis to determine the corresponding GAAP metric.</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u w:val="single"/>
        </w:rPr>
      </w:pPr>
      <w:r>
        <w:rPr>
          <w:rFonts w:ascii="Times New Roman;serif" w:hAnsi="Times New Roman;serif"/>
          <w:b/>
          <w:color w:val="000000"/>
          <w:sz w:val="20"/>
          <w:u w:val="single"/>
        </w:rPr>
        <w:t>About Universal Electronics</w:t>
      </w:r>
    </w:p>
    <w:p>
      <w:pPr>
        <w:pStyle w:val="TextBody"/>
        <w:bidi w:val="0"/>
        <w:spacing w:before="0" w:after="0"/>
        <w:jc w:val="left"/>
        <w:rPr/>
      </w:pPr>
      <w:r>
        <w:rPr/>
      </w:r>
    </w:p>
    <w:p>
      <w:pPr>
        <w:pStyle w:val="TextBody"/>
        <w:bidi w:val="0"/>
        <w:spacing w:lineRule="auto" w:line="288"/>
        <w:jc w:val="left"/>
        <w:rPr>
          <w:rFonts w:ascii="Times New Roman;serif" w:hAnsi="Times New Roman;serif"/>
          <w:b w:val="false"/>
          <w:color w:val="000000"/>
          <w:sz w:val="20"/>
        </w:rPr>
      </w:pPr>
      <w:r>
        <w:rPr>
          <w:rFonts w:ascii="Times New Roman;serif" w:hAnsi="Times New Roman;serif"/>
          <w:b w:val="false"/>
          <w:color w:val="000000"/>
          <w:sz w:val="20"/>
        </w:rPr>
        <w:t xml:space="preserve">Universal Electronics Inc. (Nasdaq: UEIC) is the global leader in wireless universal control solutions for the home. The company brings to life millions of innovative control products each year that focus on a user-centric approach to building control products and applications that simplify user interaction with highly complex technologies in the home, removing interoperability challenges as a roadblock for user adoption, with privacy first and a secure by design approach to today's smart devices. Our products are offered by </w:t>
      </w:r>
    </w:p>
    <w:p>
      <w:pPr>
        <w:pStyle w:val="TextBody"/>
        <w:bidi w:val="0"/>
        <w:spacing w:before="0" w:after="0"/>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46685"/>
                <wp:effectExtent l="0" t="0" r="0" b="0"/>
                <wp:wrapNone/>
                <wp:docPr id="7" name="Frame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w:t>
                      </w:r>
                    </w:p>
                  </w:txbxContent>
                </v:textbox>
                <w10:wrap type="none"/>
              </v:rect>
            </w:pict>
          </mc:Fallback>
        </mc:AlternateContent>
      </w:r>
    </w:p>
    <w:p>
      <w:pPr>
        <w:pStyle w:val="TextBody"/>
        <w:bidi w:val="0"/>
        <w:spacing w:lineRule="auto" w:line="288" w:before="0" w:after="0"/>
        <w:jc w:val="left"/>
        <w:rPr/>
      </w:pPr>
      <w:r>
        <w:rPr>
          <w:rFonts w:ascii="Times New Roman;serif" w:hAnsi="Times New Roman;serif"/>
          <w:b w:val="false"/>
          <w:color w:val="000000"/>
          <w:sz w:val="20"/>
        </w:rPr>
        <w:t xml:space="preserve">the world's leading brands in home entertainment and the connected home markets, including Fortune 500 customers Daikin, Carrier, Comcast, Vivint Smart Home, Samsung, Sony, Hunter Douglas and Somfy. The company's pioneering breakthrough innovations include its award-winning voice control entertainment remote controls and QuickSet Cloud, the world's leading platform for automated device and service discovery, set-up and control, and user experience personalization for the home. For more information, visit </w:t>
      </w:r>
      <w:r>
        <w:rPr>
          <w:rFonts w:ascii="Times New Roman;serif" w:hAnsi="Times New Roman;serif"/>
          <w:b w:val="false"/>
          <w:color w:val="000000"/>
          <w:sz w:val="20"/>
          <w:u w:val="single"/>
        </w:rPr>
        <w:t>www.uei.com</w:t>
      </w:r>
      <w:r>
        <w:rPr>
          <w:rFonts w:ascii="Times New Roman;serif" w:hAnsi="Times New Roman;serif"/>
          <w:b w:val="false"/>
          <w:color w:val="000000"/>
          <w:sz w:val="20"/>
        </w:rPr>
        <w:t>.</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u w:val="single"/>
        </w:rPr>
      </w:pPr>
      <w:r>
        <w:rPr>
          <w:rFonts w:ascii="Times New Roman;serif" w:hAnsi="Times New Roman;serif"/>
          <w:b/>
          <w:color w:val="000000"/>
          <w:sz w:val="20"/>
          <w:u w:val="single"/>
        </w:rPr>
        <w:t>Contacts:</w: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val="false"/>
          <w:color w:val="000000"/>
          <w:sz w:val="20"/>
        </w:rPr>
        <w:t xml:space="preserve">UEI: Wade Jenke, CFO, UEI, </w:t>
      </w:r>
      <w:r>
        <w:rPr>
          <w:rFonts w:ascii="Times New Roman;serif" w:hAnsi="Times New Roman;serif"/>
          <w:b w:val="false"/>
          <w:color w:val="000000"/>
          <w:sz w:val="20"/>
          <w:u w:val="single"/>
        </w:rPr>
        <w:t>investors@uei.com</w:t>
      </w:r>
      <w:r>
        <w:rPr>
          <w:color w:val="000000"/>
        </w:rPr>
        <w:t xml:space="preserve"> </w:t>
      </w:r>
      <w:r>
        <w:rPr>
          <w:rFonts w:ascii="Times New Roman;serif" w:hAnsi="Times New Roman;serif"/>
          <w:b w:val="false"/>
          <w:color w:val="000000"/>
          <w:sz w:val="20"/>
        </w:rPr>
        <w:t>480-530-3000</w:t>
      </w:r>
    </w:p>
    <w:p>
      <w:pPr>
        <w:pStyle w:val="TextBody"/>
        <w:bidi w:val="0"/>
        <w:spacing w:lineRule="auto" w:line="288" w:before="320" w:after="283"/>
        <w:jc w:val="both"/>
        <w:rPr>
          <w:rFonts w:ascii="Times New Roman;serif" w:hAnsi="Times New Roman;serif"/>
          <w:b/>
          <w:color w:val="000000"/>
          <w:sz w:val="20"/>
          <w:u w:val="single"/>
        </w:rPr>
      </w:pPr>
      <w:r>
        <w:rPr>
          <w:rFonts w:ascii="Times New Roman;serif" w:hAnsi="Times New Roman;serif"/>
          <w:b/>
          <w:color w:val="000000"/>
          <w:sz w:val="20"/>
          <w:u w:val="single"/>
        </w:rPr>
        <w:t>Forward-looking Statements</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This press release contains "forward-looking statements" within the meaning of federal securities laws, including statements about payment of a special dividend; litigation with Amazon; our future financial results anticipated trends in our business and market conditions; management transition actions; and similar statements concerning anticipated future events and expectations that are not historical facts. We caution you that these statements are not guarantees of future performance and are subject to numerous risks and uncertainties, including those we identify below and other risk factors that we identify in our annual report on Form 10-K for the year ended December 31, 2025 and the periodic reports filed and furnished since then.</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Risks that could affect forward-looking statements in this press release include: our continued ability to timely develop and deliver innovative control solutions and technologies that are accepted by our customers, both near- and long-term; our ability to attract new customers and to successfully capture sales in all markets we serve, including in the climate control and connected home markets as anticipated by management; our ability to manage management transition actions; our ability to continue optimizing our manufacturing footprint and realize the lower concentration risks as expected by management; our ability to maintain our market share in the traditional subscription broadcast market; our ability to manage through the worldwide inflationary pressures and macroeconomic conditions; our ability to successfully execute our strategic actions and plans; our ability to continue to manage our business, inventories and cash flows to achieve our net sales, margins and earnings through financial discipline, operational efficiency, product line management, liquidity requirements, capital expenditures and other investment spending expectations; our continued ability to successfully enforce our patented technology, including with respect to our litigation against Roku and Amazon; our continued ability to strategically enhance, expand, and monetize our IP portfolios; the continued fluctuation in our market capitalization; the use of artificial intelligence applications which could result in cybersecurity incidents that implicate the personal data of end users or other unintended ethical, reputational, competitive harm or legal liability; the direct and indirect impact we may experience with respect to our business and financial results and management’s ability to anticipate and mitigate the impact stemming from the continued economic uncertainty affecting consumers’ confidence and spending, natural disasters or other events beyond our control, public health crises (including an outbreak of infectious disease), governmental actions, including the changes in or enhanced use of laws, regulations and policies may have on our business including the impact of decreased governmental incentive programs worldwide or of enhanced or expanded trade regulations, including the expanded use of tariffs, pertaining to importation of our products, the effects of political unrest, war, terrorist activities, or other hostilities; the effects and uncertainties and other factors more fully described in our reports filed with the SEC. </w:t>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Since it is not possible to predict or identify all of the risks, uncertainties and other factors that may affect future results, the above list should not be considered a complete list. Further, any of these factors could cause actual results to differ materially from the expectations we express or imply in this press release. We make these forward-looking statements as of the date hereof, and we undertake no obligation to publicly update or revise any forward-looking statement, whether as a result of new information, future events or otherwise, except as required by law or regulation.</w:t>
      </w:r>
    </w:p>
    <w:p>
      <w:pPr>
        <w:pStyle w:val="TextBody"/>
        <w:bidi w:val="0"/>
        <w:spacing w:lineRule="auto" w:line="288" w:before="180" w:after="283"/>
        <w:jc w:val="center"/>
        <w:rPr>
          <w:color w:val="000000"/>
        </w:rPr>
      </w:pPr>
      <w:r>
        <w:rPr>
          <w:color w:val="000000"/>
        </w:rPr>
        <w:t xml:space="preserve">– </w:t>
      </w:r>
      <w:r>
        <w:rPr>
          <w:rFonts w:ascii="Times New Roman;serif" w:hAnsi="Times New Roman;serif"/>
          <w:b w:val="false"/>
          <w:color w:val="000000"/>
          <w:sz w:val="20"/>
        </w:rPr>
        <w:t>Tables Follow –</w:t>
      </w:r>
    </w:p>
    <w:p>
      <w:pPr>
        <w:pStyle w:val="TextBody"/>
        <w:bidi w:val="0"/>
        <w:spacing w:before="100" w:after="283"/>
        <w:jc w:val="both"/>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46685"/>
                <wp:effectExtent l="0" t="0" r="0" b="0"/>
                <wp:wrapNone/>
                <wp:docPr id="8" name="Frame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UNIVERSAL ELECTRONICS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CONSOLIDATED BALANCE SHEETS</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(In thousands, except share-related data)</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(Unaudited)</w:t>
      </w:r>
    </w:p>
    <w:tbl>
      <w:tblPr>
        <w:tblW w:w="10205" w:type="dxa"/>
        <w:jc w:val="center"/>
        <w:tblInd w:w="0" w:type="dxa"/>
        <w:tblLayout w:type="fixed"/>
        <w:tblCellMar>
          <w:top w:w="28" w:type="dxa"/>
          <w:left w:w="28" w:type="dxa"/>
          <w:bottom w:w="28" w:type="dxa"/>
          <w:right w:w="28" w:type="dxa"/>
        </w:tblCellMar>
      </w:tblPr>
      <w:tblGrid>
        <w:gridCol w:w="2804"/>
        <w:gridCol w:w="2171"/>
        <w:gridCol w:w="2149"/>
        <w:gridCol w:w="109"/>
        <w:gridCol w:w="109"/>
        <w:gridCol w:w="109"/>
        <w:gridCol w:w="204"/>
        <w:gridCol w:w="769"/>
        <w:gridCol w:w="113"/>
        <w:gridCol w:w="109"/>
        <w:gridCol w:w="109"/>
        <w:gridCol w:w="109"/>
        <w:gridCol w:w="241"/>
        <w:gridCol w:w="907"/>
        <w:gridCol w:w="193"/>
      </w:tblGrid>
      <w:tr>
        <w:trPr/>
        <w:tc>
          <w:tcPr>
            <w:tcW w:w="2804" w:type="dxa"/>
            <w:tcBorders/>
            <w:vAlign w:val="center"/>
          </w:tcPr>
          <w:p>
            <w:pPr>
              <w:pStyle w:val="TableContents"/>
              <w:bidi w:val="0"/>
              <w:spacing w:before="0" w:after="283"/>
              <w:jc w:val="left"/>
              <w:rPr>
                <w:sz w:val="4"/>
                <w:szCs w:val="4"/>
              </w:rPr>
            </w:pPr>
            <w:r>
              <w:rPr>
                <w:sz w:val="4"/>
                <w:szCs w:val="4"/>
              </w:rPr>
            </w:r>
          </w:p>
        </w:tc>
        <w:tc>
          <w:tcPr>
            <w:tcW w:w="2171" w:type="dxa"/>
            <w:tcBorders/>
            <w:vAlign w:val="center"/>
          </w:tcPr>
          <w:p>
            <w:pPr>
              <w:pStyle w:val="TableContents"/>
              <w:bidi w:val="0"/>
              <w:spacing w:before="0" w:after="283"/>
              <w:jc w:val="left"/>
              <w:rPr>
                <w:sz w:val="4"/>
                <w:szCs w:val="4"/>
              </w:rPr>
            </w:pPr>
            <w:r>
              <w:rPr>
                <w:sz w:val="4"/>
                <w:szCs w:val="4"/>
              </w:rPr>
            </w:r>
          </w:p>
        </w:tc>
        <w:tc>
          <w:tcPr>
            <w:tcW w:w="214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769"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907"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r>
      <w:tr>
        <w:trPr/>
        <w:tc>
          <w:tcPr>
            <w:tcW w:w="71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 2025</w:t>
            </w:r>
          </w:p>
        </w:tc>
      </w:tr>
      <w:tr>
        <w:trPr/>
        <w:tc>
          <w:tcPr>
            <w:tcW w:w="71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Current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Cash and cash equivalents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6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32,399 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0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32,306 </w:t>
            </w:r>
          </w:p>
        </w:tc>
        <w:tc>
          <w:tcPr>
            <w:tcW w:w="19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1" w:type="dxa"/>
            <w:gridSpan w:val="3"/>
            <w:tcBorders/>
            <w:vAlign w:val="center"/>
          </w:tcPr>
          <w:p>
            <w:pPr>
              <w:pStyle w:val="TableContents"/>
              <w:bidi w:val="0"/>
              <w:spacing w:before="0" w:after="283"/>
              <w:jc w:val="left"/>
              <w:rPr>
                <w:sz w:val="4"/>
                <w:szCs w:val="4"/>
              </w:rPr>
            </w:pPr>
            <w:r>
              <w:rPr>
                <w:sz w:val="4"/>
                <w:szCs w:val="4"/>
              </w:rPr>
            </w:r>
          </w:p>
        </w:tc>
      </w:tr>
      <w:tr>
        <w:trPr/>
        <w:tc>
          <w:tcPr>
            <w:tcW w:w="71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Accounts receivable,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83,885 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79,320 </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Contract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8,396 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8,091 </w:t>
            </w:r>
          </w:p>
        </w:tc>
        <w:tc>
          <w:tcPr>
            <w:tcW w:w="19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Inventories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70,041 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77,793 </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Prepaid expenses and other current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7,155 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6,803 </w:t>
            </w:r>
          </w:p>
        </w:tc>
        <w:tc>
          <w:tcPr>
            <w:tcW w:w="19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Assets held for sale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1,157 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Income tax receivable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1,207 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806 </w:t>
            </w:r>
          </w:p>
        </w:tc>
        <w:tc>
          <w:tcPr>
            <w:tcW w:w="19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current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204,240 </w:t>
            </w:r>
          </w:p>
        </w:tc>
        <w:tc>
          <w:tcPr>
            <w:tcW w:w="11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205,119 </w:t>
            </w:r>
          </w:p>
        </w:tc>
        <w:tc>
          <w:tcPr>
            <w:tcW w:w="19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Property, plant and equipment,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25,723 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27,600 </w:t>
            </w:r>
          </w:p>
        </w:tc>
        <w:tc>
          <w:tcPr>
            <w:tcW w:w="19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1" w:type="dxa"/>
            <w:gridSpan w:val="3"/>
            <w:tcBorders/>
            <w:vAlign w:val="center"/>
          </w:tcPr>
          <w:p>
            <w:pPr>
              <w:pStyle w:val="TableContents"/>
              <w:bidi w:val="0"/>
              <w:spacing w:before="0" w:after="283"/>
              <w:jc w:val="left"/>
              <w:rPr>
                <w:sz w:val="4"/>
                <w:szCs w:val="4"/>
              </w:rPr>
            </w:pPr>
            <w:r>
              <w:rPr>
                <w:sz w:val="4"/>
                <w:szCs w:val="4"/>
              </w:rPr>
            </w:r>
          </w:p>
        </w:tc>
      </w:tr>
      <w:tr>
        <w:trPr/>
        <w:tc>
          <w:tcPr>
            <w:tcW w:w="71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Intangible assets,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20,152 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21,968 </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Operating lease right-of-use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10,356 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10,203 </w:t>
            </w:r>
          </w:p>
        </w:tc>
        <w:tc>
          <w:tcPr>
            <w:tcW w:w="19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Deferred income taxes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2,915 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5,496 </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3,943 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3,611 </w:t>
            </w:r>
          </w:p>
        </w:tc>
        <w:tc>
          <w:tcPr>
            <w:tcW w:w="19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6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267,329 </w:t>
            </w:r>
          </w:p>
        </w:tc>
        <w:tc>
          <w:tcPr>
            <w:tcW w:w="11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0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273,997 </w:t>
            </w:r>
          </w:p>
        </w:tc>
        <w:tc>
          <w:tcPr>
            <w:tcW w:w="19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LIABILITIES AND STOCKHOLDERS’ EQUITY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Current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Accounts payable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6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54,291 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0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48,945 </w:t>
            </w:r>
          </w:p>
        </w:tc>
        <w:tc>
          <w:tcPr>
            <w:tcW w:w="19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Lines of credit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20,831 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24,079 </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Accrued compensation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14,536 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17,496 </w:t>
            </w:r>
          </w:p>
        </w:tc>
        <w:tc>
          <w:tcPr>
            <w:tcW w:w="19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Accrued sales discounts, rebates and royalties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4,164 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6,132 </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Accrued income taxes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1,578 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2,524 </w:t>
            </w:r>
          </w:p>
        </w:tc>
        <w:tc>
          <w:tcPr>
            <w:tcW w:w="19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accrued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19,852 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20,134 </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current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115,252 </w:t>
            </w:r>
          </w:p>
        </w:tc>
        <w:tc>
          <w:tcPr>
            <w:tcW w:w="11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119,310 </w:t>
            </w:r>
          </w:p>
        </w:tc>
        <w:tc>
          <w:tcPr>
            <w:tcW w:w="19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Long-term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Operating lease obligations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6,651 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6,193 </w:t>
            </w:r>
          </w:p>
        </w:tc>
        <w:tc>
          <w:tcPr>
            <w:tcW w:w="19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1" w:type="dxa"/>
            <w:gridSpan w:val="3"/>
            <w:tcBorders/>
            <w:vAlign w:val="center"/>
          </w:tcPr>
          <w:p>
            <w:pPr>
              <w:pStyle w:val="TableContents"/>
              <w:bidi w:val="0"/>
              <w:spacing w:before="0" w:after="283"/>
              <w:jc w:val="left"/>
              <w:rPr>
                <w:sz w:val="4"/>
                <w:szCs w:val="4"/>
              </w:rPr>
            </w:pPr>
            <w:r>
              <w:rPr>
                <w:sz w:val="4"/>
                <w:szCs w:val="4"/>
              </w:rPr>
            </w:r>
          </w:p>
        </w:tc>
      </w:tr>
      <w:tr>
        <w:trPr/>
        <w:tc>
          <w:tcPr>
            <w:tcW w:w="71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Deferred income taxes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1,526 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1,507 </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Income tax payable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74 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74 </w:t>
            </w:r>
          </w:p>
        </w:tc>
        <w:tc>
          <w:tcPr>
            <w:tcW w:w="19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long-term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865 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729 </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124,368 </w:t>
            </w:r>
          </w:p>
        </w:tc>
        <w:tc>
          <w:tcPr>
            <w:tcW w:w="11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127,813 </w:t>
            </w:r>
          </w:p>
        </w:tc>
        <w:tc>
          <w:tcPr>
            <w:tcW w:w="19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Commitments and contingencies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Stockholders’ equity: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2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Preferred stock, $0.01 par value, 5,000,000 shares authorized; none issued or outstanding</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2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Common stock, $0.01 par value, 50,000,000 shares authorized; 26,441,443 and 26,146,367 shares issued on June 30, 2026 and December 31, 2025, respectively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264 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261 </w:t>
            </w:r>
          </w:p>
        </w:tc>
        <w:tc>
          <w:tcPr>
            <w:tcW w:w="19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Paid-in capital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351,508 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350,222 </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2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Treasury stock, at cost, 13,537,944 and 13,537,944 shares on June 30, 2026 and December 31, 2025, respectively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(375,016)</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(375,016)</w:t>
            </w:r>
          </w:p>
        </w:tc>
        <w:tc>
          <w:tcPr>
            <w:tcW w:w="19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Accumulated other comprehensive income (loss)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(17,936)</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(19,115)</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Retained earnings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184,141 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189,832 </w:t>
            </w:r>
          </w:p>
        </w:tc>
        <w:tc>
          <w:tcPr>
            <w:tcW w:w="19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stockholders’ equity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142,961 </w:t>
            </w:r>
          </w:p>
        </w:tc>
        <w:tc>
          <w:tcPr>
            <w:tcW w:w="11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146,184 </w:t>
            </w:r>
          </w:p>
        </w:tc>
        <w:tc>
          <w:tcPr>
            <w:tcW w:w="19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liabilities and stockholders’ equity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6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267,329 </w:t>
            </w:r>
          </w:p>
        </w:tc>
        <w:tc>
          <w:tcPr>
            <w:tcW w:w="11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0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273,997 </w:t>
            </w:r>
          </w:p>
        </w:tc>
        <w:tc>
          <w:tcPr>
            <w:tcW w:w="19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146685"/>
                <wp:effectExtent l="0" t="0" r="0" b="0"/>
                <wp:wrapNone/>
                <wp:docPr id="9" name="Frame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UNIVERSAL ELECTRONICS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CONSOLIDATED STATEMENTS OF OPERATIONS</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(In thousands, except per share amounts)</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(Unaudited)</w:t>
      </w:r>
    </w:p>
    <w:p>
      <w:pPr>
        <w:pStyle w:val="TextBody"/>
        <w:bidi w:val="0"/>
        <w:spacing w:before="0" w:after="0"/>
        <w:jc w:val="center"/>
        <w:rPr/>
      </w:pPr>
      <w:r>
        <w:rPr/>
      </w:r>
    </w:p>
    <w:tbl>
      <w:tblPr>
        <w:tblW w:w="8821" w:type="dxa"/>
        <w:jc w:val="center"/>
        <w:tblInd w:w="0" w:type="dxa"/>
        <w:tblLayout w:type="fixed"/>
        <w:tblCellMar>
          <w:top w:w="28" w:type="dxa"/>
          <w:left w:w="28" w:type="dxa"/>
          <w:bottom w:w="28" w:type="dxa"/>
          <w:right w:w="28" w:type="dxa"/>
        </w:tblCellMar>
      </w:tblPr>
      <w:tblGrid>
        <w:gridCol w:w="1362"/>
        <w:gridCol w:w="1201"/>
        <w:gridCol w:w="1217"/>
        <w:gridCol w:w="199"/>
        <w:gridCol w:w="656"/>
        <w:gridCol w:w="110"/>
        <w:gridCol w:w="110"/>
        <w:gridCol w:w="110"/>
        <w:gridCol w:w="110"/>
        <w:gridCol w:w="199"/>
        <w:gridCol w:w="656"/>
        <w:gridCol w:w="110"/>
        <w:gridCol w:w="109"/>
        <w:gridCol w:w="109"/>
        <w:gridCol w:w="109"/>
        <w:gridCol w:w="196"/>
        <w:gridCol w:w="736"/>
        <w:gridCol w:w="109"/>
        <w:gridCol w:w="109"/>
        <w:gridCol w:w="109"/>
        <w:gridCol w:w="109"/>
        <w:gridCol w:w="196"/>
        <w:gridCol w:w="736"/>
        <w:gridCol w:w="154"/>
      </w:tblGrid>
      <w:tr>
        <w:trPr/>
        <w:tc>
          <w:tcPr>
            <w:tcW w:w="1362" w:type="dxa"/>
            <w:tcBorders/>
            <w:vAlign w:val="center"/>
          </w:tcPr>
          <w:p>
            <w:pPr>
              <w:pStyle w:val="TableContents"/>
              <w:bidi w:val="0"/>
              <w:spacing w:before="0" w:after="283"/>
              <w:jc w:val="left"/>
              <w:rPr>
                <w:sz w:val="4"/>
                <w:szCs w:val="4"/>
              </w:rPr>
            </w:pPr>
            <w:r>
              <w:rPr>
                <w:sz w:val="4"/>
                <w:szCs w:val="4"/>
              </w:rPr>
            </w:r>
          </w:p>
        </w:tc>
        <w:tc>
          <w:tcPr>
            <w:tcW w:w="1201" w:type="dxa"/>
            <w:tcBorders/>
            <w:vAlign w:val="center"/>
          </w:tcPr>
          <w:p>
            <w:pPr>
              <w:pStyle w:val="TableContents"/>
              <w:bidi w:val="0"/>
              <w:spacing w:before="0" w:after="283"/>
              <w:jc w:val="left"/>
              <w:rPr>
                <w:sz w:val="4"/>
                <w:szCs w:val="4"/>
              </w:rPr>
            </w:pPr>
            <w:r>
              <w:rPr>
                <w:sz w:val="4"/>
                <w:szCs w:val="4"/>
              </w:rPr>
            </w:r>
          </w:p>
        </w:tc>
        <w:tc>
          <w:tcPr>
            <w:tcW w:w="1217"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c>
          <w:tcPr>
            <w:tcW w:w="656"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c>
          <w:tcPr>
            <w:tcW w:w="656"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 June 30,</w:t>
            </w:r>
          </w:p>
        </w:tc>
      </w:tr>
      <w:tr>
        <w:trPr/>
        <w:tc>
          <w:tcPr>
            <w:tcW w:w="37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3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37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sales</w:t>
            </w:r>
          </w:p>
        </w:tc>
        <w:tc>
          <w:tcPr>
            <w:tcW w:w="19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73,238 </w:t>
            </w:r>
          </w:p>
        </w:tc>
        <w:tc>
          <w:tcPr>
            <w:tcW w:w="11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97,665 </w:t>
            </w:r>
          </w:p>
        </w:tc>
        <w:tc>
          <w:tcPr>
            <w:tcW w:w="11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152,274 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189,991 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Cost of sales</w:t>
            </w:r>
          </w:p>
        </w:tc>
        <w:tc>
          <w:tcPr>
            <w:tcW w:w="8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47,332 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68,469 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105,768 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134,712 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Gross profit</w:t>
            </w:r>
          </w:p>
        </w:tc>
        <w:tc>
          <w:tcPr>
            <w:tcW w:w="85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25,906 </w:t>
            </w:r>
          </w:p>
        </w:tc>
        <w:tc>
          <w:tcPr>
            <w:tcW w:w="11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29,196 </w:t>
            </w:r>
          </w:p>
        </w:tc>
        <w:tc>
          <w:tcPr>
            <w:tcW w:w="11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46,506 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55,279 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Research and development expenses</w:t>
            </w:r>
          </w:p>
        </w:tc>
        <w:tc>
          <w:tcPr>
            <w:tcW w:w="8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4,340 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6,959 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9,791 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14,190 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Selling, general and administrative expenses</w:t>
            </w:r>
          </w:p>
        </w:tc>
        <w:tc>
          <w:tcPr>
            <w:tcW w:w="8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16,777 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21,229 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35,826 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43,835 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80" w:type="dxa"/>
            <w:gridSpan w:val="3"/>
            <w:tcBorders/>
            <w:vAlign w:val="center"/>
          </w:tcPr>
          <w:p>
            <w:pPr>
              <w:pStyle w:val="TableContents"/>
              <w:bidi w:val="0"/>
              <w:spacing w:before="0" w:after="283"/>
              <w:jc w:val="left"/>
              <w:rPr>
                <w:sz w:val="4"/>
                <w:szCs w:val="4"/>
              </w:rPr>
            </w:pPr>
            <w:r>
              <w:rPr>
                <w:sz w:val="4"/>
                <w:szCs w:val="4"/>
              </w:rPr>
            </w:r>
          </w:p>
        </w:tc>
        <w:tc>
          <w:tcPr>
            <w:tcW w:w="965"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9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3780" w:type="dxa"/>
            <w:gridSpan w:val="3"/>
            <w:tcBorders/>
            <w:vAlign w:val="center"/>
          </w:tcPr>
          <w:p>
            <w:pPr>
              <w:pStyle w:val="TableContents"/>
              <w:bidi w:val="0"/>
              <w:spacing w:before="0" w:after="283"/>
              <w:jc w:val="left"/>
              <w:rPr>
                <w:sz w:val="4"/>
                <w:szCs w:val="4"/>
              </w:rPr>
            </w:pPr>
            <w:r>
              <w:rPr>
                <w:sz w:val="4"/>
                <w:szCs w:val="4"/>
              </w:rPr>
            </w:r>
          </w:p>
        </w:tc>
        <w:tc>
          <w:tcPr>
            <w:tcW w:w="965"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9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37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Operating income (loss)</w:t>
            </w:r>
          </w:p>
        </w:tc>
        <w:tc>
          <w:tcPr>
            <w:tcW w:w="85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4,789 </w:t>
            </w:r>
          </w:p>
        </w:tc>
        <w:tc>
          <w:tcPr>
            <w:tcW w:w="11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1,008 </w:t>
            </w:r>
          </w:p>
        </w:tc>
        <w:tc>
          <w:tcPr>
            <w:tcW w:w="11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889 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(2,746)</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Interest income (expense), net</w:t>
            </w:r>
          </w:p>
        </w:tc>
        <w:tc>
          <w:tcPr>
            <w:tcW w:w="8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(176)</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(358)</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(711)</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80" w:type="dxa"/>
            <w:gridSpan w:val="3"/>
            <w:tcBorders/>
            <w:vAlign w:val="center"/>
          </w:tcPr>
          <w:p>
            <w:pPr>
              <w:pStyle w:val="TableContents"/>
              <w:bidi w:val="0"/>
              <w:spacing w:before="0" w:after="283"/>
              <w:jc w:val="left"/>
              <w:rPr>
                <w:sz w:val="4"/>
                <w:szCs w:val="4"/>
              </w:rPr>
            </w:pPr>
            <w:r>
              <w:rPr>
                <w:sz w:val="4"/>
                <w:szCs w:val="4"/>
              </w:rPr>
            </w:r>
          </w:p>
        </w:tc>
        <w:tc>
          <w:tcPr>
            <w:tcW w:w="965"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9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37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income (expense), net</w:t>
            </w:r>
          </w:p>
        </w:tc>
        <w:tc>
          <w:tcPr>
            <w:tcW w:w="8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(1,828)</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(1,751)</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(1,601)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(1,699)</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Income (loss) before provision for income taxes</w:t>
            </w:r>
          </w:p>
        </w:tc>
        <w:tc>
          <w:tcPr>
            <w:tcW w:w="85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2,785 </w:t>
            </w:r>
          </w:p>
        </w:tc>
        <w:tc>
          <w:tcPr>
            <w:tcW w:w="11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(1,101)</w:t>
            </w:r>
          </w:p>
        </w:tc>
        <w:tc>
          <w:tcPr>
            <w:tcW w:w="11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(982)</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(5,156)</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Provision for income taxes</w:t>
            </w:r>
          </w:p>
        </w:tc>
        <w:tc>
          <w:tcPr>
            <w:tcW w:w="8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1,144 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1,811 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4,709 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4,030 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income (loss)</w:t>
            </w:r>
          </w:p>
        </w:tc>
        <w:tc>
          <w:tcPr>
            <w:tcW w:w="19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1,641 </w:t>
            </w:r>
          </w:p>
        </w:tc>
        <w:tc>
          <w:tcPr>
            <w:tcW w:w="11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(2,912)</w:t>
            </w:r>
          </w:p>
        </w:tc>
        <w:tc>
          <w:tcPr>
            <w:tcW w:w="11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(5,691)</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(9,186)</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45" w:type="dxa"/>
            <w:gridSpan w:val="6"/>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Earnings (loss) per share:</w:t>
            </w:r>
          </w:p>
        </w:tc>
        <w:tc>
          <w:tcPr>
            <w:tcW w:w="96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Basic</w:t>
            </w:r>
          </w:p>
        </w:tc>
        <w:tc>
          <w:tcPr>
            <w:tcW w:w="199"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5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0.13 </w:t>
            </w:r>
          </w:p>
        </w:tc>
        <w:tc>
          <w:tcPr>
            <w:tcW w:w="110"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5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(0.22)</w:t>
            </w:r>
          </w:p>
        </w:tc>
        <w:tc>
          <w:tcPr>
            <w:tcW w:w="110"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(0.45)</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(0.70)</w:t>
            </w:r>
          </w:p>
        </w:tc>
        <w:tc>
          <w:tcPr>
            <w:tcW w:w="154"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Diluted</w:t>
            </w:r>
          </w:p>
        </w:tc>
        <w:tc>
          <w:tcPr>
            <w:tcW w:w="199"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5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0.12 </w:t>
            </w:r>
          </w:p>
        </w:tc>
        <w:tc>
          <w:tcPr>
            <w:tcW w:w="110"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5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(0.22)</w:t>
            </w:r>
          </w:p>
        </w:tc>
        <w:tc>
          <w:tcPr>
            <w:tcW w:w="110"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(0.45)</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(0.70)</w:t>
            </w:r>
          </w:p>
        </w:tc>
        <w:tc>
          <w:tcPr>
            <w:tcW w:w="154"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Shares used in computing earnings (loss) per share:</w:t>
            </w:r>
          </w:p>
        </w:tc>
        <w:tc>
          <w:tcPr>
            <w:tcW w:w="96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Basic</w:t>
            </w:r>
          </w:p>
        </w:tc>
        <w:tc>
          <w:tcPr>
            <w:tcW w:w="965" w:type="dxa"/>
            <w:gridSpan w:val="3"/>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12,743</w:t>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5" w:type="dxa"/>
            <w:gridSpan w:val="3"/>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13,200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12,681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13,141 </w:t>
            </w:r>
          </w:p>
        </w:tc>
        <w:tc>
          <w:tcPr>
            <w:tcW w:w="154"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Diluted</w:t>
            </w:r>
          </w:p>
        </w:tc>
        <w:tc>
          <w:tcPr>
            <w:tcW w:w="965" w:type="dxa"/>
            <w:gridSpan w:val="3"/>
            <w:tcBorders>
              <w:top w:val="doub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13,425</w:t>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5" w:type="dxa"/>
            <w:gridSpan w:val="3"/>
            <w:tcBorders>
              <w:top w:val="doub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13,200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12,681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doub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13,141 </w:t>
            </w:r>
          </w:p>
        </w:tc>
        <w:tc>
          <w:tcPr>
            <w:tcW w:w="154" w:type="dxa"/>
            <w:tcBorders>
              <w:top w:val="doub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before="360" w:after="283"/>
        <w:jc w:val="righ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146685"/>
                <wp:effectExtent l="0" t="0" r="0" b="0"/>
                <wp:wrapNone/>
                <wp:docPr id="10" name="Frame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UNIVERSAL ELECTRONICS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CONSOLIDATED STATEMENTS OF CASH FLOWS</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(In thousands)</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(Unaudited)</w:t>
      </w:r>
    </w:p>
    <w:tbl>
      <w:tblPr>
        <w:tblW w:w="10205" w:type="dxa"/>
        <w:jc w:val="left"/>
        <w:tblInd w:w="0" w:type="dxa"/>
        <w:tblLayout w:type="fixed"/>
        <w:tblCellMar>
          <w:top w:w="28" w:type="dxa"/>
          <w:left w:w="28" w:type="dxa"/>
          <w:bottom w:w="28" w:type="dxa"/>
          <w:right w:w="28" w:type="dxa"/>
        </w:tblCellMar>
      </w:tblPr>
      <w:tblGrid>
        <w:gridCol w:w="2764"/>
        <w:gridCol w:w="2415"/>
        <w:gridCol w:w="2423"/>
        <w:gridCol w:w="109"/>
        <w:gridCol w:w="109"/>
        <w:gridCol w:w="109"/>
        <w:gridCol w:w="196"/>
        <w:gridCol w:w="646"/>
        <w:gridCol w:w="109"/>
        <w:gridCol w:w="109"/>
        <w:gridCol w:w="109"/>
        <w:gridCol w:w="109"/>
        <w:gridCol w:w="196"/>
        <w:gridCol w:w="646"/>
        <w:gridCol w:w="156"/>
      </w:tblGrid>
      <w:tr>
        <w:trPr/>
        <w:tc>
          <w:tcPr>
            <w:tcW w:w="2764" w:type="dxa"/>
            <w:tcBorders/>
            <w:vAlign w:val="center"/>
          </w:tcPr>
          <w:p>
            <w:pPr>
              <w:pStyle w:val="TableContents"/>
              <w:bidi w:val="0"/>
              <w:spacing w:before="0" w:after="283"/>
              <w:jc w:val="left"/>
              <w:rPr>
                <w:sz w:val="4"/>
                <w:szCs w:val="4"/>
              </w:rPr>
            </w:pPr>
            <w:r>
              <w:rPr>
                <w:sz w:val="4"/>
                <w:szCs w:val="4"/>
              </w:rPr>
            </w:r>
          </w:p>
        </w:tc>
        <w:tc>
          <w:tcPr>
            <w:tcW w:w="2415" w:type="dxa"/>
            <w:tcBorders/>
            <w:vAlign w:val="center"/>
          </w:tcPr>
          <w:p>
            <w:pPr>
              <w:pStyle w:val="TableContents"/>
              <w:bidi w:val="0"/>
              <w:spacing w:before="0" w:after="283"/>
              <w:jc w:val="left"/>
              <w:rPr>
                <w:sz w:val="4"/>
                <w:szCs w:val="4"/>
              </w:rPr>
            </w:pPr>
            <w:r>
              <w:rPr>
                <w:sz w:val="4"/>
                <w:szCs w:val="4"/>
              </w:rPr>
            </w:r>
          </w:p>
        </w:tc>
        <w:tc>
          <w:tcPr>
            <w:tcW w:w="242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6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 June 30,</w:t>
            </w:r>
          </w:p>
        </w:tc>
      </w:tr>
      <w:tr>
        <w:trPr/>
        <w:tc>
          <w:tcPr>
            <w:tcW w:w="76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760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flows from operating activities: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0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(loss)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(5,691)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(9,186)</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0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Adjustments to reconcile net income (loss) to net cash provided by (used for) operating activities: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0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 and amortization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6,185 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7,622 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0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Provision for credit losses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0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income taxes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2,725 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641 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0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Shares issued for employee benefit plan and compensation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331 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0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Employee and director stock-based compensation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1,289 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3,433 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0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Gain on sale of property, plant, and equipment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8" w:type="dxa"/>
            <w:gridSpan w:val="3"/>
            <w:tcBorders/>
            <w:vAlign w:val="center"/>
          </w:tcPr>
          <w:p>
            <w:pPr>
              <w:pStyle w:val="TableContents"/>
              <w:bidi w:val="0"/>
              <w:spacing w:before="0" w:after="283"/>
              <w:jc w:val="left"/>
              <w:rPr>
                <w:sz w:val="4"/>
                <w:szCs w:val="4"/>
              </w:rPr>
            </w:pPr>
            <w:r>
              <w:rPr>
                <w:sz w:val="4"/>
                <w:szCs w:val="4"/>
              </w:rPr>
            </w:r>
          </w:p>
        </w:tc>
      </w:tr>
      <w:tr>
        <w:trPr/>
        <w:tc>
          <w:tcPr>
            <w:tcW w:w="760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Impairment of long-lived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110 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0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Changes in operating assets and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0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Accounts receivable and contract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(6,487)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23,348 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0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Inventories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8,054 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1,715 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0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Prepaid expenses and other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561 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3,728 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0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Accounts payable and accrued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(15,395)</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0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Accrued income taxes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(1,392)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1,339 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0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Intercompany receivable/payable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0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provided by (used for) operating activities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5,521 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17,705 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0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flows from investing activities: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0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Purchase of Blue Chip Swap securities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(2,544)</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0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Sale of Blue Chip Swap securities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2,314 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8" w:type="dxa"/>
            <w:gridSpan w:val="3"/>
            <w:tcBorders/>
            <w:vAlign w:val="center"/>
          </w:tcPr>
          <w:p>
            <w:pPr>
              <w:pStyle w:val="TableContents"/>
              <w:bidi w:val="0"/>
              <w:spacing w:before="0" w:after="283"/>
              <w:jc w:val="left"/>
              <w:rPr>
                <w:sz w:val="4"/>
                <w:szCs w:val="4"/>
              </w:rPr>
            </w:pPr>
            <w:r>
              <w:rPr>
                <w:sz w:val="4"/>
                <w:szCs w:val="4"/>
              </w:rPr>
            </w:r>
          </w:p>
        </w:tc>
      </w:tr>
      <w:tr>
        <w:trPr/>
        <w:tc>
          <w:tcPr>
            <w:tcW w:w="760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Acquisitions of property, plant and equipment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(1,591)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(2,261)</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0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Acquisitions of intangible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(704)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(1,498)</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0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provided by (used for) investing activities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(2,295)</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(3,989)</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0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flows from financing activities: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0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Borrowings under lines of credit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34,200 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41,000 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0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Repayments on lines of credit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(46,713)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(48,000)</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8" w:type="dxa"/>
            <w:gridSpan w:val="3"/>
            <w:tcBorders/>
            <w:vAlign w:val="center"/>
          </w:tcPr>
          <w:p>
            <w:pPr>
              <w:pStyle w:val="TableContents"/>
              <w:bidi w:val="0"/>
              <w:spacing w:before="0" w:after="283"/>
              <w:jc w:val="left"/>
              <w:rPr>
                <w:sz w:val="4"/>
                <w:szCs w:val="4"/>
              </w:rPr>
            </w:pPr>
            <w:r>
              <w:rPr>
                <w:sz w:val="4"/>
                <w:szCs w:val="4"/>
              </w:rPr>
            </w:r>
          </w:p>
        </w:tc>
      </w:tr>
      <w:tr>
        <w:trPr/>
        <w:tc>
          <w:tcPr>
            <w:tcW w:w="760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Proceeds from short term debt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7,621 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0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Treasury stock purchased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(748)</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8" w:type="dxa"/>
            <w:gridSpan w:val="3"/>
            <w:tcBorders/>
            <w:vAlign w:val="center"/>
          </w:tcPr>
          <w:p>
            <w:pPr>
              <w:pStyle w:val="TableContents"/>
              <w:bidi w:val="0"/>
              <w:spacing w:before="0" w:after="283"/>
              <w:jc w:val="left"/>
              <w:rPr>
                <w:sz w:val="4"/>
                <w:szCs w:val="4"/>
              </w:rPr>
            </w:pPr>
            <w:r>
              <w:rPr>
                <w:sz w:val="4"/>
                <w:szCs w:val="4"/>
              </w:rPr>
            </w:r>
          </w:p>
        </w:tc>
      </w:tr>
      <w:tr>
        <w:trPr/>
        <w:tc>
          <w:tcPr>
            <w:tcW w:w="760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provided by (used for) financing activities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(4,892)</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(7,748)</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0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Effect of foreign currency exchange rates on cash and cash equivalents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1,759 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1,510 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0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increase (decrease) in cash and cash equivalents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7,478 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0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and cash equivalents at beginning of period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32,306 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26,783 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0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and cash equivalents at end of period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32,399 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34,261 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0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Supplemental cash flow information: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0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taxes paid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2,696 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2,096 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0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Interest paid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655 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1,238 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146685"/>
                <wp:effectExtent l="0" t="0" r="0" b="0"/>
                <wp:wrapNone/>
                <wp:docPr id="11" name="Frame1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w:t>
                      </w:r>
                    </w:p>
                  </w:txbxContent>
                </v:textbox>
                <w10:wrap type="none"/>
              </v:rect>
            </w:pict>
          </mc:Fallback>
        </mc:AlternateContent>
      </w:r>
    </w:p>
    <w:p>
      <w:pPr>
        <w:pStyle w:val="TextBody"/>
        <w:bidi w:val="0"/>
        <w:spacing w:before="0" w:after="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UNIVERSAL ELECTRONICS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RECONCILIATION OF ADJUSTED NON-GAAP FINANCIAL RESULTS</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(In thousands, except per share amounts)</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(Unaudited) </w:t>
      </w:r>
    </w:p>
    <w:tbl>
      <w:tblPr>
        <w:tblW w:w="10205" w:type="dxa"/>
        <w:jc w:val="center"/>
        <w:tblInd w:w="0" w:type="dxa"/>
        <w:tblLayout w:type="fixed"/>
        <w:tblCellMar>
          <w:top w:w="28" w:type="dxa"/>
          <w:left w:w="28" w:type="dxa"/>
          <w:bottom w:w="28" w:type="dxa"/>
          <w:right w:w="28" w:type="dxa"/>
        </w:tblCellMar>
      </w:tblPr>
      <w:tblGrid>
        <w:gridCol w:w="1581"/>
        <w:gridCol w:w="1349"/>
        <w:gridCol w:w="1349"/>
        <w:gridCol w:w="109"/>
        <w:gridCol w:w="109"/>
        <w:gridCol w:w="109"/>
        <w:gridCol w:w="196"/>
        <w:gridCol w:w="646"/>
        <w:gridCol w:w="256"/>
        <w:gridCol w:w="109"/>
        <w:gridCol w:w="109"/>
        <w:gridCol w:w="109"/>
        <w:gridCol w:w="196"/>
        <w:gridCol w:w="646"/>
        <w:gridCol w:w="256"/>
        <w:gridCol w:w="109"/>
        <w:gridCol w:w="109"/>
        <w:gridCol w:w="109"/>
        <w:gridCol w:w="196"/>
        <w:gridCol w:w="736"/>
        <w:gridCol w:w="256"/>
        <w:gridCol w:w="109"/>
        <w:gridCol w:w="109"/>
        <w:gridCol w:w="109"/>
        <w:gridCol w:w="196"/>
        <w:gridCol w:w="736"/>
        <w:gridCol w:w="302"/>
      </w:tblGrid>
      <w:tr>
        <w:trPr/>
        <w:tc>
          <w:tcPr>
            <w:tcW w:w="1581" w:type="dxa"/>
            <w:tcBorders/>
            <w:vAlign w:val="center"/>
          </w:tcPr>
          <w:p>
            <w:pPr>
              <w:pStyle w:val="TableContents"/>
              <w:bidi w:val="0"/>
              <w:spacing w:before="0" w:after="283"/>
              <w:jc w:val="left"/>
              <w:rPr>
                <w:sz w:val="4"/>
                <w:szCs w:val="4"/>
              </w:rPr>
            </w:pPr>
            <w:r>
              <w:rPr>
                <w:sz w:val="4"/>
                <w:szCs w:val="4"/>
              </w:rPr>
            </w:r>
          </w:p>
        </w:tc>
        <w:tc>
          <w:tcPr>
            <w:tcW w:w="1349" w:type="dxa"/>
            <w:tcBorders/>
            <w:vAlign w:val="center"/>
          </w:tcPr>
          <w:p>
            <w:pPr>
              <w:pStyle w:val="TableContents"/>
              <w:bidi w:val="0"/>
              <w:spacing w:before="0" w:after="283"/>
              <w:jc w:val="left"/>
              <w:rPr>
                <w:sz w:val="4"/>
                <w:szCs w:val="4"/>
              </w:rPr>
            </w:pPr>
            <w:r>
              <w:rPr>
                <w:sz w:val="4"/>
                <w:szCs w:val="4"/>
              </w:rPr>
            </w:r>
          </w:p>
        </w:tc>
        <w:tc>
          <w:tcPr>
            <w:tcW w:w="134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302" w:type="dxa"/>
            <w:tcBorders/>
            <w:vAlign w:val="center"/>
          </w:tcPr>
          <w:p>
            <w:pPr>
              <w:pStyle w:val="TableContents"/>
              <w:bidi w:val="0"/>
              <w:spacing w:before="0" w:after="283"/>
              <w:jc w:val="left"/>
              <w:rPr>
                <w:sz w:val="4"/>
                <w:szCs w:val="4"/>
              </w:rPr>
            </w:pPr>
            <w:r>
              <w:rPr>
                <w:sz w:val="4"/>
                <w:szCs w:val="4"/>
              </w:rPr>
            </w:r>
          </w:p>
        </w:tc>
      </w:tr>
      <w:tr>
        <w:trPr/>
        <w:tc>
          <w:tcPr>
            <w:tcW w:w="42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 June 30,</w:t>
            </w:r>
          </w:p>
        </w:tc>
      </w:tr>
      <w:tr>
        <w:trPr/>
        <w:tc>
          <w:tcPr>
            <w:tcW w:w="42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42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NET SALES: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sales - GAAP</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73,238 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97,665 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152,274 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189,991 </w:t>
            </w:r>
          </w:p>
        </w:tc>
        <w:tc>
          <w:tcPr>
            <w:tcW w:w="30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4" w:type="dxa"/>
            <w:gridSpan w:val="3"/>
            <w:tcBorders/>
            <w:vAlign w:val="center"/>
          </w:tcPr>
          <w:p>
            <w:pPr>
              <w:pStyle w:val="TableContents"/>
              <w:bidi w:val="0"/>
              <w:spacing w:before="0" w:after="283"/>
              <w:jc w:val="left"/>
              <w:rPr>
                <w:sz w:val="4"/>
                <w:szCs w:val="4"/>
              </w:rPr>
            </w:pPr>
            <w:r>
              <w:rPr>
                <w:sz w:val="4"/>
                <w:szCs w:val="4"/>
              </w:rPr>
            </w:r>
          </w:p>
        </w:tc>
      </w:tr>
      <w:tr>
        <w:trPr/>
        <w:tc>
          <w:tcPr>
            <w:tcW w:w="42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Adjusted Non-GAAP net sales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73,238 </w:t>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97,665 </w:t>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152,274 </w:t>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189,991 </w:t>
            </w:r>
          </w:p>
        </w:tc>
        <w:tc>
          <w:tcPr>
            <w:tcW w:w="30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7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4"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Cost of sales: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 xml:space="preserve">Cost of sales - GAAP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47,332 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68,469 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105,768 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134,712 </w:t>
            </w:r>
          </w:p>
        </w:tc>
        <w:tc>
          <w:tcPr>
            <w:tcW w:w="30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4" w:type="dxa"/>
            <w:gridSpan w:val="3"/>
            <w:tcBorders/>
            <w:vAlign w:val="center"/>
          </w:tcPr>
          <w:p>
            <w:pPr>
              <w:pStyle w:val="TableContents"/>
              <w:bidi w:val="0"/>
              <w:spacing w:before="0" w:after="283"/>
              <w:jc w:val="left"/>
              <w:rPr>
                <w:sz w:val="4"/>
                <w:szCs w:val="4"/>
              </w:rPr>
            </w:pPr>
            <w:r>
              <w:rPr>
                <w:sz w:val="4"/>
                <w:szCs w:val="4"/>
              </w:rPr>
            </w:r>
          </w:p>
        </w:tc>
      </w:tr>
      <w:tr>
        <w:trPr/>
        <w:tc>
          <w:tcPr>
            <w:tcW w:w="42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Stock-based compensation expense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w:t>
            </w:r>
          </w:p>
        </w:tc>
        <w:tc>
          <w:tcPr>
            <w:tcW w:w="30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Adjusted non-GAAP cost of sales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47,320 </w:t>
            </w:r>
          </w:p>
        </w:tc>
        <w:tc>
          <w:tcPr>
            <w:tcW w:w="2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68,457 </w:t>
            </w:r>
          </w:p>
        </w:tc>
        <w:tc>
          <w:tcPr>
            <w:tcW w:w="2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105,743 </w:t>
            </w:r>
          </w:p>
        </w:tc>
        <w:tc>
          <w:tcPr>
            <w:tcW w:w="2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134,684 </w:t>
            </w:r>
          </w:p>
        </w:tc>
        <w:tc>
          <w:tcPr>
            <w:tcW w:w="30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Adjusted non-GAAP gross profit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25,918 </w:t>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29,208 </w:t>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46,531 </w:t>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55,307 </w:t>
            </w:r>
          </w:p>
        </w:tc>
        <w:tc>
          <w:tcPr>
            <w:tcW w:w="30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7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4"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Gross margin: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 xml:space="preserve">Gross margin - GAAP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35.4 </w:t>
            </w:r>
          </w:p>
        </w:tc>
        <w:tc>
          <w:tcPr>
            <w:tcW w:w="2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29.9 </w:t>
            </w:r>
          </w:p>
        </w:tc>
        <w:tc>
          <w:tcPr>
            <w:tcW w:w="2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30.5 </w:t>
            </w:r>
          </w:p>
        </w:tc>
        <w:tc>
          <w:tcPr>
            <w:tcW w:w="2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29.1 </w:t>
            </w:r>
          </w:p>
        </w:tc>
        <w:tc>
          <w:tcPr>
            <w:tcW w:w="30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42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4" w:type="dxa"/>
            <w:gridSpan w:val="3"/>
            <w:tcBorders/>
            <w:vAlign w:val="center"/>
          </w:tcPr>
          <w:p>
            <w:pPr>
              <w:pStyle w:val="TableContents"/>
              <w:bidi w:val="0"/>
              <w:spacing w:before="0" w:after="283"/>
              <w:jc w:val="left"/>
              <w:rPr>
                <w:sz w:val="4"/>
                <w:szCs w:val="4"/>
              </w:rPr>
            </w:pPr>
            <w:r>
              <w:rPr>
                <w:sz w:val="4"/>
                <w:szCs w:val="4"/>
              </w:rPr>
            </w:r>
          </w:p>
        </w:tc>
      </w:tr>
      <w:tr>
        <w:trPr/>
        <w:tc>
          <w:tcPr>
            <w:tcW w:w="42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Stock-based compensation expense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0.0 </w:t>
            </w:r>
          </w:p>
        </w:tc>
        <w:tc>
          <w:tcPr>
            <w:tcW w:w="2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0.0 </w:t>
            </w:r>
          </w:p>
        </w:tc>
        <w:tc>
          <w:tcPr>
            <w:tcW w:w="2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0.0 </w:t>
            </w:r>
          </w:p>
        </w:tc>
        <w:tc>
          <w:tcPr>
            <w:tcW w:w="2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0.0 </w:t>
            </w:r>
          </w:p>
        </w:tc>
        <w:tc>
          <w:tcPr>
            <w:tcW w:w="30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42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Adjusted non-GAAP gross margin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35.4 </w:t>
            </w:r>
          </w:p>
        </w:tc>
        <w:tc>
          <w:tcPr>
            <w:tcW w:w="25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29.9 </w:t>
            </w:r>
          </w:p>
        </w:tc>
        <w:tc>
          <w:tcPr>
            <w:tcW w:w="25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30.5 </w:t>
            </w:r>
          </w:p>
        </w:tc>
        <w:tc>
          <w:tcPr>
            <w:tcW w:w="25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29.1 </w:t>
            </w:r>
          </w:p>
        </w:tc>
        <w:tc>
          <w:tcPr>
            <w:tcW w:w="30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427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4"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Operating expenses: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Operating expenses - GAAP</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21,117 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28,188 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45,617 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58,025 </w:t>
            </w:r>
          </w:p>
        </w:tc>
        <w:tc>
          <w:tcPr>
            <w:tcW w:w="30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Stock-based compensation expense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(509)</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(1,637)</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(1,264)</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(3,405)</w:t>
            </w:r>
          </w:p>
        </w:tc>
        <w:tc>
          <w:tcPr>
            <w:tcW w:w="30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Amortization of acquired intangible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(207)</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(207)</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(414)</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(426)</w:t>
            </w:r>
          </w:p>
        </w:tc>
        <w:tc>
          <w:tcPr>
            <w:tcW w:w="30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7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 xml:space="preserve">Severance </w:t>
            </w:r>
            <w:r>
              <w:rPr>
                <w:rFonts w:ascii="Times New Roman;serif" w:hAnsi="Times New Roman;serif"/>
                <w:b w:val="false"/>
                <w:color w:val="000000"/>
                <w:sz w:val="12"/>
              </w:rPr>
              <w:t>(1)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(272)</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(1,547)</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(275)</w:t>
            </w:r>
          </w:p>
        </w:tc>
        <w:tc>
          <w:tcPr>
            <w:tcW w:w="30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4" w:type="dxa"/>
            <w:gridSpan w:val="3"/>
            <w:tcBorders/>
            <w:vAlign w:val="center"/>
          </w:tcPr>
          <w:p>
            <w:pPr>
              <w:pStyle w:val="TableContents"/>
              <w:bidi w:val="0"/>
              <w:spacing w:before="0" w:after="283"/>
              <w:jc w:val="left"/>
              <w:rPr>
                <w:sz w:val="4"/>
                <w:szCs w:val="4"/>
              </w:rPr>
            </w:pPr>
            <w:r>
              <w:rPr>
                <w:sz w:val="4"/>
                <w:szCs w:val="4"/>
              </w:rPr>
            </w:r>
          </w:p>
        </w:tc>
      </w:tr>
      <w:tr>
        <w:trPr/>
        <w:tc>
          <w:tcPr>
            <w:tcW w:w="42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4" w:type="dxa"/>
            <w:gridSpan w:val="3"/>
            <w:tcBorders/>
            <w:vAlign w:val="center"/>
          </w:tcPr>
          <w:p>
            <w:pPr>
              <w:pStyle w:val="TableContents"/>
              <w:bidi w:val="0"/>
              <w:spacing w:before="0" w:after="283"/>
              <w:jc w:val="left"/>
              <w:rPr>
                <w:sz w:val="4"/>
                <w:szCs w:val="4"/>
              </w:rPr>
            </w:pPr>
            <w:r>
              <w:rPr>
                <w:sz w:val="4"/>
                <w:szCs w:val="4"/>
              </w:rPr>
            </w:r>
          </w:p>
        </w:tc>
      </w:tr>
      <w:tr>
        <w:trPr/>
        <w:tc>
          <w:tcPr>
            <w:tcW w:w="42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4" w:type="dxa"/>
            <w:gridSpan w:val="3"/>
            <w:tcBorders/>
            <w:vAlign w:val="center"/>
          </w:tcPr>
          <w:p>
            <w:pPr>
              <w:pStyle w:val="TableContents"/>
              <w:bidi w:val="0"/>
              <w:spacing w:before="0" w:after="283"/>
              <w:jc w:val="left"/>
              <w:rPr>
                <w:sz w:val="4"/>
                <w:szCs w:val="4"/>
              </w:rPr>
            </w:pPr>
            <w:r>
              <w:rPr>
                <w:sz w:val="4"/>
                <w:szCs w:val="4"/>
              </w:rPr>
            </w:r>
          </w:p>
        </w:tc>
      </w:tr>
      <w:tr>
        <w:trPr/>
        <w:tc>
          <w:tcPr>
            <w:tcW w:w="42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4" w:type="dxa"/>
            <w:gridSpan w:val="3"/>
            <w:tcBorders/>
            <w:vAlign w:val="center"/>
          </w:tcPr>
          <w:p>
            <w:pPr>
              <w:pStyle w:val="TableContents"/>
              <w:bidi w:val="0"/>
              <w:spacing w:before="0" w:after="283"/>
              <w:jc w:val="left"/>
              <w:rPr>
                <w:sz w:val="4"/>
                <w:szCs w:val="4"/>
              </w:rPr>
            </w:pPr>
            <w:r>
              <w:rPr>
                <w:sz w:val="4"/>
                <w:szCs w:val="4"/>
              </w:rPr>
            </w:r>
          </w:p>
        </w:tc>
      </w:tr>
      <w:tr>
        <w:trPr/>
        <w:tc>
          <w:tcPr>
            <w:tcW w:w="42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Adjusted non-GAAP operating expenses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20,129 </w:t>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26,344 </w:t>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42,392 </w:t>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53,919 </w:t>
            </w:r>
          </w:p>
        </w:tc>
        <w:tc>
          <w:tcPr>
            <w:tcW w:w="30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7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4"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Operating income (loss):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 xml:space="preserve">Operating income (loss) - GAAP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4,789 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1,008 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889 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(2,746)</w:t>
            </w:r>
          </w:p>
        </w:tc>
        <w:tc>
          <w:tcPr>
            <w:tcW w:w="30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4" w:type="dxa"/>
            <w:gridSpan w:val="3"/>
            <w:tcBorders/>
            <w:vAlign w:val="center"/>
          </w:tcPr>
          <w:p>
            <w:pPr>
              <w:pStyle w:val="TableContents"/>
              <w:bidi w:val="0"/>
              <w:spacing w:before="0" w:after="283"/>
              <w:jc w:val="left"/>
              <w:rPr>
                <w:sz w:val="4"/>
                <w:szCs w:val="4"/>
              </w:rPr>
            </w:pPr>
            <w:r>
              <w:rPr>
                <w:sz w:val="4"/>
                <w:szCs w:val="4"/>
              </w:rPr>
            </w:r>
          </w:p>
        </w:tc>
      </w:tr>
      <w:tr>
        <w:trPr/>
        <w:tc>
          <w:tcPr>
            <w:tcW w:w="42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Stock-based compensation expense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521 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1,649 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1,289 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3,433 </w:t>
            </w:r>
          </w:p>
        </w:tc>
        <w:tc>
          <w:tcPr>
            <w:tcW w:w="30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Amortization of acquired intangible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207 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207 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414 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426 </w:t>
            </w:r>
          </w:p>
        </w:tc>
        <w:tc>
          <w:tcPr>
            <w:tcW w:w="30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7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 xml:space="preserve">Severance </w:t>
            </w:r>
            <w:r>
              <w:rPr>
                <w:rFonts w:ascii="Times New Roman;serif" w:hAnsi="Times New Roman;serif"/>
                <w:b w:val="false"/>
                <w:color w:val="000000"/>
                <w:sz w:val="12"/>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272 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1,547 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275 </w:t>
            </w:r>
          </w:p>
        </w:tc>
        <w:tc>
          <w:tcPr>
            <w:tcW w:w="30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4" w:type="dxa"/>
            <w:gridSpan w:val="3"/>
            <w:tcBorders/>
            <w:vAlign w:val="center"/>
          </w:tcPr>
          <w:p>
            <w:pPr>
              <w:pStyle w:val="TableContents"/>
              <w:bidi w:val="0"/>
              <w:spacing w:before="0" w:after="283"/>
              <w:jc w:val="left"/>
              <w:rPr>
                <w:sz w:val="4"/>
                <w:szCs w:val="4"/>
              </w:rPr>
            </w:pPr>
            <w:r>
              <w:rPr>
                <w:sz w:val="4"/>
                <w:szCs w:val="4"/>
              </w:rPr>
            </w:r>
          </w:p>
        </w:tc>
      </w:tr>
      <w:tr>
        <w:trPr/>
        <w:tc>
          <w:tcPr>
            <w:tcW w:w="42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4" w:type="dxa"/>
            <w:gridSpan w:val="3"/>
            <w:tcBorders/>
            <w:vAlign w:val="center"/>
          </w:tcPr>
          <w:p>
            <w:pPr>
              <w:pStyle w:val="TableContents"/>
              <w:bidi w:val="0"/>
              <w:spacing w:before="0" w:after="283"/>
              <w:jc w:val="left"/>
              <w:rPr>
                <w:sz w:val="4"/>
                <w:szCs w:val="4"/>
              </w:rPr>
            </w:pPr>
            <w:r>
              <w:rPr>
                <w:sz w:val="4"/>
                <w:szCs w:val="4"/>
              </w:rPr>
            </w:r>
          </w:p>
        </w:tc>
      </w:tr>
      <w:tr>
        <w:trPr/>
        <w:tc>
          <w:tcPr>
            <w:tcW w:w="42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4" w:type="dxa"/>
            <w:gridSpan w:val="3"/>
            <w:tcBorders/>
            <w:vAlign w:val="center"/>
          </w:tcPr>
          <w:p>
            <w:pPr>
              <w:pStyle w:val="TableContents"/>
              <w:bidi w:val="0"/>
              <w:spacing w:before="0" w:after="283"/>
              <w:jc w:val="left"/>
              <w:rPr>
                <w:sz w:val="4"/>
                <w:szCs w:val="4"/>
              </w:rPr>
            </w:pPr>
            <w:r>
              <w:rPr>
                <w:sz w:val="4"/>
                <w:szCs w:val="4"/>
              </w:rPr>
            </w:r>
          </w:p>
        </w:tc>
      </w:tr>
      <w:tr>
        <w:trPr/>
        <w:tc>
          <w:tcPr>
            <w:tcW w:w="42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Adjusted non-GAAP operating income (loss)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5,789 </w:t>
            </w:r>
          </w:p>
        </w:tc>
        <w:tc>
          <w:tcPr>
            <w:tcW w:w="2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2,864 </w:t>
            </w:r>
          </w:p>
        </w:tc>
        <w:tc>
          <w:tcPr>
            <w:tcW w:w="2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4,139 </w:t>
            </w:r>
          </w:p>
        </w:tc>
        <w:tc>
          <w:tcPr>
            <w:tcW w:w="2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1,388 </w:t>
            </w:r>
          </w:p>
        </w:tc>
        <w:tc>
          <w:tcPr>
            <w:tcW w:w="30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7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4"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Adjusted Non-GAAP operating income as a percentage of net sales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7.9 </w:t>
            </w:r>
          </w:p>
        </w:tc>
        <w:tc>
          <w:tcPr>
            <w:tcW w:w="2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2.9 </w:t>
            </w:r>
          </w:p>
        </w:tc>
        <w:tc>
          <w:tcPr>
            <w:tcW w:w="2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2.7 </w:t>
            </w:r>
          </w:p>
        </w:tc>
        <w:tc>
          <w:tcPr>
            <w:tcW w:w="2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0.7 </w:t>
            </w:r>
          </w:p>
        </w:tc>
        <w:tc>
          <w:tcPr>
            <w:tcW w:w="30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bl>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UNIVERSAL ELECTRONICS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RECONCILIATION OF ADJUSTED NON-GAAP FINANCIAL RESULTS</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(In thousands, except per share amounts)</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(Unaudited)</w:t>
      </w:r>
    </w:p>
    <w:p>
      <w:pPr>
        <w:pStyle w:val="TextBody"/>
        <w:bidi w:val="0"/>
        <w:spacing w:before="0" w:after="0"/>
        <w:jc w:val="center"/>
        <w:rPr/>
      </w:pPr>
      <w:r>
        <w:rPr/>
      </w:r>
    </w:p>
    <w:tbl>
      <w:tblPr>
        <w:tblW w:w="9915" w:type="dxa"/>
        <w:jc w:val="center"/>
        <w:tblInd w:w="0" w:type="dxa"/>
        <w:tblLayout w:type="fixed"/>
        <w:tblCellMar>
          <w:top w:w="28" w:type="dxa"/>
          <w:left w:w="28" w:type="dxa"/>
          <w:bottom w:w="28" w:type="dxa"/>
          <w:right w:w="28" w:type="dxa"/>
        </w:tblCellMar>
      </w:tblPr>
      <w:tblGrid>
        <w:gridCol w:w="1692"/>
        <w:gridCol w:w="1489"/>
        <w:gridCol w:w="1499"/>
        <w:gridCol w:w="109"/>
        <w:gridCol w:w="109"/>
        <w:gridCol w:w="109"/>
        <w:gridCol w:w="217"/>
        <w:gridCol w:w="634"/>
        <w:gridCol w:w="112"/>
        <w:gridCol w:w="112"/>
        <w:gridCol w:w="112"/>
        <w:gridCol w:w="112"/>
        <w:gridCol w:w="201"/>
        <w:gridCol w:w="650"/>
        <w:gridCol w:w="112"/>
        <w:gridCol w:w="109"/>
        <w:gridCol w:w="109"/>
        <w:gridCol w:w="109"/>
        <w:gridCol w:w="211"/>
        <w:gridCol w:w="691"/>
        <w:gridCol w:w="109"/>
        <w:gridCol w:w="109"/>
        <w:gridCol w:w="109"/>
        <w:gridCol w:w="109"/>
        <w:gridCol w:w="196"/>
        <w:gridCol w:w="631"/>
        <w:gridCol w:w="154"/>
      </w:tblGrid>
      <w:tr>
        <w:trPr/>
        <w:tc>
          <w:tcPr>
            <w:tcW w:w="1692" w:type="dxa"/>
            <w:tcBorders/>
            <w:vAlign w:val="center"/>
          </w:tcPr>
          <w:p>
            <w:pPr>
              <w:pStyle w:val="TableContents"/>
              <w:bidi w:val="0"/>
              <w:spacing w:before="0" w:after="283"/>
              <w:jc w:val="left"/>
              <w:rPr>
                <w:sz w:val="4"/>
                <w:szCs w:val="4"/>
              </w:rPr>
            </w:pPr>
            <w:r>
              <w:rPr>
                <w:sz w:val="4"/>
                <w:szCs w:val="4"/>
              </w:rPr>
            </w:r>
          </w:p>
        </w:tc>
        <w:tc>
          <w:tcPr>
            <w:tcW w:w="1489" w:type="dxa"/>
            <w:tcBorders/>
            <w:vAlign w:val="center"/>
          </w:tcPr>
          <w:p>
            <w:pPr>
              <w:pStyle w:val="TableContents"/>
              <w:bidi w:val="0"/>
              <w:spacing w:before="0" w:after="283"/>
              <w:jc w:val="left"/>
              <w:rPr>
                <w:sz w:val="4"/>
                <w:szCs w:val="4"/>
              </w:rPr>
            </w:pPr>
            <w:r>
              <w:rPr>
                <w:sz w:val="4"/>
                <w:szCs w:val="4"/>
              </w:rPr>
            </w:r>
          </w:p>
        </w:tc>
        <w:tc>
          <w:tcPr>
            <w:tcW w:w="149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634"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650"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6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 June 30,</w:t>
            </w:r>
          </w:p>
        </w:tc>
      </w:tr>
      <w:tr>
        <w:trPr/>
        <w:tc>
          <w:tcPr>
            <w:tcW w:w="46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46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Net income (loss):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 xml:space="preserve">Net income (loss) - GAAP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1,641 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5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(2,912)</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(5,691)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3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(9,186)</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3" w:type="dxa"/>
            <w:gridSpan w:val="3"/>
            <w:tcBorders/>
            <w:vAlign w:val="center"/>
          </w:tcPr>
          <w:p>
            <w:pPr>
              <w:pStyle w:val="TableContents"/>
              <w:bidi w:val="0"/>
              <w:spacing w:before="0" w:after="283"/>
              <w:jc w:val="left"/>
              <w:rPr>
                <w:sz w:val="4"/>
                <w:szCs w:val="4"/>
              </w:rPr>
            </w:pPr>
            <w:r>
              <w:rPr>
                <w:sz w:val="4"/>
                <w:szCs w:val="4"/>
              </w:rPr>
            </w:r>
          </w:p>
        </w:tc>
        <w:tc>
          <w:tcPr>
            <w:tcW w:w="336" w:type="dxa"/>
            <w:gridSpan w:val="3"/>
            <w:tcBorders/>
            <w:vAlign w:val="center"/>
          </w:tcPr>
          <w:p>
            <w:pPr>
              <w:pStyle w:val="TableContents"/>
              <w:bidi w:val="0"/>
              <w:spacing w:before="0" w:after="283"/>
              <w:jc w:val="left"/>
              <w:rPr>
                <w:sz w:val="4"/>
                <w:szCs w:val="4"/>
              </w:rPr>
            </w:pPr>
            <w:r>
              <w:rPr>
                <w:sz w:val="4"/>
                <w:szCs w:val="4"/>
              </w:rPr>
            </w:r>
          </w:p>
        </w:tc>
        <w:tc>
          <w:tcPr>
            <w:tcW w:w="96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46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Stock-based compensation expense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521 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1,649 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1,289 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3,433 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Amortization of acquired intangible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207 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207 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414 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426 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8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 xml:space="preserve">Severance </w:t>
            </w:r>
            <w:r>
              <w:rPr>
                <w:rFonts w:ascii="Times New Roman;serif" w:hAnsi="Times New Roman;serif"/>
                <w:b w:val="false"/>
                <w:color w:val="000000"/>
                <w:sz w:val="12"/>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272 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1,547 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3" w:type="dxa"/>
            <w:gridSpan w:val="3"/>
            <w:tcBorders/>
            <w:vAlign w:val="center"/>
          </w:tcPr>
          <w:p>
            <w:pPr>
              <w:pStyle w:val="TableContents"/>
              <w:bidi w:val="0"/>
              <w:spacing w:before="0" w:after="283"/>
              <w:jc w:val="left"/>
              <w:rPr>
                <w:sz w:val="4"/>
                <w:szCs w:val="4"/>
              </w:rPr>
            </w:pPr>
            <w:r>
              <w:rPr>
                <w:sz w:val="4"/>
                <w:szCs w:val="4"/>
              </w:rPr>
            </w:r>
          </w:p>
        </w:tc>
        <w:tc>
          <w:tcPr>
            <w:tcW w:w="336" w:type="dxa"/>
            <w:gridSpan w:val="3"/>
            <w:tcBorders/>
            <w:vAlign w:val="center"/>
          </w:tcPr>
          <w:p>
            <w:pPr>
              <w:pStyle w:val="TableContents"/>
              <w:bidi w:val="0"/>
              <w:spacing w:before="0" w:after="283"/>
              <w:jc w:val="left"/>
              <w:rPr>
                <w:sz w:val="4"/>
                <w:szCs w:val="4"/>
              </w:rPr>
            </w:pPr>
            <w:r>
              <w:rPr>
                <w:sz w:val="4"/>
                <w:szCs w:val="4"/>
              </w:rPr>
            </w:r>
          </w:p>
        </w:tc>
        <w:tc>
          <w:tcPr>
            <w:tcW w:w="96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46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3" w:type="dxa"/>
            <w:gridSpan w:val="3"/>
            <w:tcBorders/>
            <w:vAlign w:val="center"/>
          </w:tcPr>
          <w:p>
            <w:pPr>
              <w:pStyle w:val="TableContents"/>
              <w:bidi w:val="0"/>
              <w:spacing w:before="0" w:after="283"/>
              <w:jc w:val="left"/>
              <w:rPr>
                <w:sz w:val="4"/>
                <w:szCs w:val="4"/>
              </w:rPr>
            </w:pPr>
            <w:r>
              <w:rPr>
                <w:sz w:val="4"/>
                <w:szCs w:val="4"/>
              </w:rPr>
            </w:r>
          </w:p>
        </w:tc>
        <w:tc>
          <w:tcPr>
            <w:tcW w:w="336" w:type="dxa"/>
            <w:gridSpan w:val="3"/>
            <w:tcBorders/>
            <w:vAlign w:val="center"/>
          </w:tcPr>
          <w:p>
            <w:pPr>
              <w:pStyle w:val="TableContents"/>
              <w:bidi w:val="0"/>
              <w:spacing w:before="0" w:after="283"/>
              <w:jc w:val="left"/>
              <w:rPr>
                <w:sz w:val="4"/>
                <w:szCs w:val="4"/>
              </w:rPr>
            </w:pPr>
            <w:r>
              <w:rPr>
                <w:sz w:val="4"/>
                <w:szCs w:val="4"/>
              </w:rPr>
            </w:r>
          </w:p>
        </w:tc>
        <w:tc>
          <w:tcPr>
            <w:tcW w:w="96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46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3" w:type="dxa"/>
            <w:gridSpan w:val="3"/>
            <w:tcBorders/>
            <w:vAlign w:val="center"/>
          </w:tcPr>
          <w:p>
            <w:pPr>
              <w:pStyle w:val="TableContents"/>
              <w:bidi w:val="0"/>
              <w:spacing w:before="0" w:after="283"/>
              <w:jc w:val="left"/>
              <w:rPr>
                <w:sz w:val="4"/>
                <w:szCs w:val="4"/>
              </w:rPr>
            </w:pPr>
            <w:r>
              <w:rPr>
                <w:sz w:val="4"/>
                <w:szCs w:val="4"/>
              </w:rPr>
            </w:r>
          </w:p>
        </w:tc>
        <w:tc>
          <w:tcPr>
            <w:tcW w:w="336" w:type="dxa"/>
            <w:gridSpan w:val="3"/>
            <w:tcBorders/>
            <w:vAlign w:val="center"/>
          </w:tcPr>
          <w:p>
            <w:pPr>
              <w:pStyle w:val="TableContents"/>
              <w:bidi w:val="0"/>
              <w:spacing w:before="0" w:after="283"/>
              <w:jc w:val="left"/>
              <w:rPr>
                <w:sz w:val="4"/>
                <w:szCs w:val="4"/>
              </w:rPr>
            </w:pPr>
            <w:r>
              <w:rPr>
                <w:sz w:val="4"/>
                <w:szCs w:val="4"/>
              </w:rPr>
            </w:r>
          </w:p>
        </w:tc>
        <w:tc>
          <w:tcPr>
            <w:tcW w:w="96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46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Foreign currency (gain)/loss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1,914 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1,738 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1,832 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1,542 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Income tax provision on adjustments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1,714 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3,878 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4,357 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3" w:type="dxa"/>
            <w:gridSpan w:val="3"/>
            <w:tcBorders/>
            <w:vAlign w:val="center"/>
          </w:tcPr>
          <w:p>
            <w:pPr>
              <w:pStyle w:val="TableContents"/>
              <w:bidi w:val="0"/>
              <w:spacing w:before="0" w:after="283"/>
              <w:jc w:val="left"/>
              <w:rPr>
                <w:sz w:val="4"/>
                <w:szCs w:val="4"/>
              </w:rPr>
            </w:pPr>
            <w:r>
              <w:rPr>
                <w:sz w:val="4"/>
                <w:szCs w:val="4"/>
              </w:rPr>
            </w:r>
          </w:p>
        </w:tc>
        <w:tc>
          <w:tcPr>
            <w:tcW w:w="336" w:type="dxa"/>
            <w:gridSpan w:val="3"/>
            <w:tcBorders/>
            <w:vAlign w:val="center"/>
          </w:tcPr>
          <w:p>
            <w:pPr>
              <w:pStyle w:val="TableContents"/>
              <w:bidi w:val="0"/>
              <w:spacing w:before="0" w:after="283"/>
              <w:jc w:val="left"/>
              <w:rPr>
                <w:sz w:val="4"/>
                <w:szCs w:val="4"/>
              </w:rPr>
            </w:pPr>
            <w:r>
              <w:rPr>
                <w:sz w:val="4"/>
                <w:szCs w:val="4"/>
              </w:rPr>
            </w:r>
          </w:p>
        </w:tc>
        <w:tc>
          <w:tcPr>
            <w:tcW w:w="96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46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Adjusted non-GAAP net income (loss)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3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4,550 </w:t>
            </w:r>
          </w:p>
        </w:tc>
        <w:tc>
          <w:tcPr>
            <w:tcW w:w="11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5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2,396 </w:t>
            </w:r>
          </w:p>
        </w:tc>
        <w:tc>
          <w:tcPr>
            <w:tcW w:w="11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9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3,269 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3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847 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8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3"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3"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Diluted shares used in computing earnings (loss) per share: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GAAP</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13,425 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13,200 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12,681 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13,141 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Adjusted non-GAAP</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13,425 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13,589 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13,346 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13,448 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8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Diluted earnings (loss) per share: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 xml:space="preserve">Diluted earnings (loss) per share - GAAP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3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0.12 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5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(0.22)</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9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(0.45)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3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(0.70)</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adjustments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3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0.22 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5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0.39 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0.67 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3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0.75 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Adjusted non-GAAP diluted earnings (loss) per share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3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0.34 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5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0.18 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9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0.24 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3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0.06 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lineRule="auto" w:line="288" w:before="200" w:after="120"/>
        <w:ind w:left="0" w:right="0" w:hanging="360"/>
        <w:jc w:val="both"/>
        <w:rPr/>
      </w:pPr>
      <w:r>
        <w:rPr>
          <w:rFonts w:ascii="Aptos;sans-serif" w:hAnsi="Aptos;sans-serif"/>
          <w:b w:val="false"/>
          <w:color w:val="000000"/>
          <w:sz w:val="16"/>
          <w:shd w:fill="FFFFFF" w:val="clear"/>
        </w:rPr>
        <w:t>(1)</w:t>
      </w:r>
      <w:r>
        <w:rPr>
          <w:rFonts w:ascii="Times New Roman;serif" w:hAnsi="Times New Roman;serif"/>
          <w:b w:val="false"/>
          <w:color w:val="000000"/>
          <w:sz w:val="20"/>
        </w:rPr>
        <w:t>The three and six months ended June 30, 2026 include severance costs associated with a global reduction in force primarily impacting roles within the selling and general and administration functions as well as engineering and research and development functions. The six months ended June 30, 2025 includes severance per the Transition Agreement and Release of Claims dated March 19, 2025 between Paul D. Arling and the Company.</w:t>
      </w:r>
    </w:p>
    <w:p>
      <w:pPr>
        <w:pStyle w:val="TextBody"/>
        <w:bidi w:val="0"/>
        <w:spacing w:before="200" w:after="120"/>
        <w:jc w:val="both"/>
        <w:rPr/>
      </w:pPr>
      <w:r>
        <w:rPr/>
      </w:r>
    </w:p>
    <w:p>
      <w:pPr>
        <w:pStyle w:val="TextBody"/>
        <w:bidi w:val="0"/>
        <w:spacing w:before="0" w:after="283"/>
        <w:jc w:val="lef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146685"/>
                <wp:effectExtent l="0" t="0" r="0" b="0"/>
                <wp:wrapNone/>
                <wp:docPr id="12" name="Frame1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w:t>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 w:name="Aptos">
    <w:altName w:val="sans-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8</Pages>
  <Words>4851</Words>
  <Characters>27731</Characters>
  <CharactersWithSpaces>32169</CharactersWithSpaces>
  <Paragraphs>738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