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 </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80" w:after="283"/>
        <w:ind w:left="0" w:right="0" w:firstLine="495"/>
        <w:jc w:val="center"/>
        <w:rPr>
          <w:rFonts w:ascii="Times New Roman;sans-serif" w:hAnsi="Times New Roman;sans-serif"/>
          <w:b/>
          <w:color w:val="000000"/>
          <w:sz w:val="24"/>
        </w:rPr>
      </w:pPr>
      <w:r>
        <w:rPr>
          <w:rFonts w:ascii="Times New Roman;sans-serif" w:hAnsi="Times New Roman;sans-serif"/>
          <w:b/>
          <w:color w:val="000000"/>
          <w:sz w:val="24"/>
        </w:rPr>
        <w:t xml:space="preserve">For the quarterly period ended March 31, 2025 </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ind w:left="0" w:right="0" w:firstLine="495"/>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to            </w:t>
      </w:r>
    </w:p>
    <w:p>
      <w:pPr>
        <w:pStyle w:val="TextBody"/>
        <w:bidi w:val="0"/>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0-21044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 </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UNIVERSAL ELECTRONICS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5137" w:type="dxa"/>
        <w:jc w:val="center"/>
        <w:tblInd w:w="0" w:type="dxa"/>
        <w:tblLayout w:type="fixed"/>
        <w:tblCellMar>
          <w:top w:w="28" w:type="dxa"/>
          <w:left w:w="28" w:type="dxa"/>
          <w:bottom w:w="28" w:type="dxa"/>
          <w:right w:w="28" w:type="dxa"/>
        </w:tblCellMar>
      </w:tblPr>
      <w:tblGrid>
        <w:gridCol w:w="518"/>
        <w:gridCol w:w="454"/>
        <w:gridCol w:w="454"/>
        <w:gridCol w:w="454"/>
        <w:gridCol w:w="454"/>
        <w:gridCol w:w="469"/>
        <w:gridCol w:w="109"/>
        <w:gridCol w:w="109"/>
        <w:gridCol w:w="109"/>
        <w:gridCol w:w="109"/>
        <w:gridCol w:w="109"/>
        <w:gridCol w:w="109"/>
        <w:gridCol w:w="492"/>
        <w:gridCol w:w="492"/>
        <w:gridCol w:w="696"/>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33-0204817</w:t>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15147 N. Scottsdale Road, Suite H300, Scottsdale, Arizona 85254-2494</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and zip code)</w:t>
      </w:r>
    </w:p>
    <w:p>
      <w:pPr>
        <w:pStyle w:val="TextBody"/>
        <w:bidi w:val="0"/>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(480) 530-3000</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lineRule="auto" w:line="288" w:before="0" w:after="0"/>
        <w:jc w:val="center"/>
        <w:rPr/>
      </w:pPr>
      <w:r>
        <w:rPr>
          <w:rFonts w:ascii="Times New Roman;sans-serif" w:hAnsi="Times New Roman;sans-serif"/>
          <w:b w:val="false"/>
          <w:color w:val="000000"/>
          <w:sz w:val="20"/>
        </w:rPr>
        <w:t>_____________________</w:t>
      </w:r>
      <w:r>
        <w:rPr>
          <w:color w:val="000000"/>
        </w:rPr>
        <w:t> </w:t>
      </w:r>
    </w:p>
    <w:tbl>
      <w:tblPr>
        <w:tblW w:w="8820" w:type="dxa"/>
        <w:jc w:val="center"/>
        <w:tblInd w:w="0" w:type="dxa"/>
        <w:tblLayout w:type="fixed"/>
        <w:tblCellMar>
          <w:top w:w="28" w:type="dxa"/>
          <w:left w:w="28" w:type="dxa"/>
          <w:bottom w:w="28" w:type="dxa"/>
          <w:right w:w="28" w:type="dxa"/>
        </w:tblCellMar>
      </w:tblPr>
      <w:tblGrid>
        <w:gridCol w:w="1267"/>
        <w:gridCol w:w="1114"/>
        <w:gridCol w:w="1114"/>
        <w:gridCol w:w="540"/>
        <w:gridCol w:w="540"/>
        <w:gridCol w:w="540"/>
        <w:gridCol w:w="1085"/>
        <w:gridCol w:w="1085"/>
        <w:gridCol w:w="1535"/>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2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6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082"/>
        <w:gridCol w:w="951"/>
        <w:gridCol w:w="953"/>
        <w:gridCol w:w="169"/>
        <w:gridCol w:w="169"/>
        <w:gridCol w:w="169"/>
        <w:gridCol w:w="169"/>
        <w:gridCol w:w="169"/>
        <w:gridCol w:w="169"/>
        <w:gridCol w:w="169"/>
        <w:gridCol w:w="169"/>
        <w:gridCol w:w="169"/>
        <w:gridCol w:w="169"/>
        <w:gridCol w:w="169"/>
        <w:gridCol w:w="169"/>
        <w:gridCol w:w="169"/>
        <w:gridCol w:w="169"/>
        <w:gridCol w:w="169"/>
        <w:gridCol w:w="169"/>
        <w:gridCol w:w="169"/>
        <w:gridCol w:w="169"/>
        <w:gridCol w:w="1195"/>
        <w:gridCol w:w="1195"/>
        <w:gridCol w:w="1202"/>
        <w:gridCol w:w="169"/>
        <w:gridCol w:w="169"/>
        <w:gridCol w:w="247"/>
      </w:tblGrid>
      <w:tr>
        <w:trPr/>
        <w:tc>
          <w:tcPr>
            <w:tcW w:w="108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Act).Yes ☐ No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 13,169,997 shares of Common Stock, par value $0.01 per share, of the registrant were outstanding on May 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8685" w:type="dxa"/>
        <w:jc w:val="left"/>
        <w:tblInd w:w="0" w:type="dxa"/>
        <w:tblLayout w:type="fixed"/>
        <w:tblCellMar>
          <w:top w:w="28" w:type="dxa"/>
          <w:left w:w="28" w:type="dxa"/>
          <w:bottom w:w="28" w:type="dxa"/>
          <w:right w:w="28" w:type="dxa"/>
        </w:tblCellMar>
      </w:tblPr>
      <w:tblGrid>
        <w:gridCol w:w="2879"/>
        <w:gridCol w:w="2529"/>
        <w:gridCol w:w="2541"/>
        <w:gridCol w:w="215"/>
        <w:gridCol w:w="215"/>
        <w:gridCol w:w="306"/>
      </w:tblGrid>
      <w:tr>
        <w:trPr/>
        <w:tc>
          <w:tcPr>
            <w:tcW w:w="287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6"/>
              </w:rPr>
            </w:pPr>
            <w:r>
              <w:rPr>
                <w:rFonts w:ascii="Times New Roman;sans-serif" w:hAnsi="Times New Roman;sans-serif"/>
                <w:b/>
                <w:color w:val="000000"/>
                <w:sz w:val="16"/>
              </w:rPr>
              <w:t>Page</w:t>
            </w:r>
          </w:p>
          <w:p>
            <w:pPr>
              <w:pStyle w:val="TableContents"/>
              <w:bidi w:val="0"/>
              <w:spacing w:lineRule="auto" w:line="240" w:before="0" w:after="0"/>
              <w:jc w:val="righ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0">
              <w:r>
                <w:rPr>
                  <w:rStyle w:val="InternetLink"/>
                  <w:rFonts w:ascii="Times New Roman;sans-serif" w:hAnsi="Times New Roman;sans-serif"/>
                  <w:b/>
                  <w:color w:val="0000FF"/>
                  <w:sz w:val="20"/>
                  <w:u w:val="single"/>
                </w:rPr>
                <w:t>PART I. FINANCIAL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0">
              <w:r>
                <w:rPr>
                  <w:rStyle w:val="InternetLink"/>
                  <w:rFonts w:ascii="Times New Roman;sans-serif" w:hAnsi="Times New Roman;sans-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3">
              <w:r>
                <w:rPr>
                  <w:rStyle w:val="InternetLink"/>
                  <w:rFonts w:ascii="Times New Roman;sans-serif" w:hAnsi="Times New Roman;sans-serif"/>
                  <w:b w:val="false"/>
                  <w:color w:val="0000FF"/>
                  <w:sz w:val="20"/>
                  <w:u w:val="single"/>
                </w:rPr>
                <w:t>Item 1. Consolidated Financial Statements (Unaudited)</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3">
              <w:r>
                <w:rPr>
                  <w:rStyle w:val="InternetLink"/>
                  <w:rFonts w:ascii="Times New Roman;sans-serif" w:hAnsi="Times New Roman;sans-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6">
              <w:r>
                <w:rPr>
                  <w:rStyle w:val="InternetLink"/>
                  <w:rFonts w:ascii="Times New Roman;sans-serif" w:hAnsi="Times New Roman;sans-serif"/>
                  <w:b w:val="false"/>
                  <w:color w:val="0000FF"/>
                  <w:sz w:val="20"/>
                  <w:u w:val="single"/>
                </w:rPr>
                <w:t>Consolidated Balance Sheets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6">
              <w:r>
                <w:rPr>
                  <w:rStyle w:val="InternetLink"/>
                  <w:rFonts w:ascii="Times New Roman;sans-serif" w:hAnsi="Times New Roman;sans-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9">
              <w:r>
                <w:rPr>
                  <w:rStyle w:val="InternetLink"/>
                  <w:rFonts w:ascii="Times New Roman;sans-serif" w:hAnsi="Times New Roman;sans-serif"/>
                  <w:b w:val="false"/>
                  <w:color w:val="0000FF"/>
                  <w:sz w:val="20"/>
                  <w:u w:val="single"/>
                </w:rPr>
                <w:t>Consolidated Statements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9">
              <w:r>
                <w:rPr>
                  <w:rStyle w:val="InternetLink"/>
                  <w:rFonts w:ascii="Times New Roman;sans-serif" w:hAnsi="Times New Roman;sans-serif"/>
                  <w:b w:val="false"/>
                  <w:color w:val="0000FF"/>
                  <w:sz w:val="20"/>
                  <w:u w:val="single"/>
                </w:rPr>
                <w:t>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22">
              <w:r>
                <w:rPr>
                  <w:rStyle w:val="InternetLink"/>
                  <w:rFonts w:ascii="Times New Roman;sans-serif" w:hAnsi="Times New Roman;sans-serif"/>
                  <w:b w:val="false"/>
                  <w:color w:val="0000FF"/>
                  <w:sz w:val="20"/>
                  <w:u w:val="single"/>
                </w:rPr>
                <w:t>Consolidated Statements of Comprehensive Income (Loss)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22">
              <w:r>
                <w:rPr>
                  <w:rStyle w:val="InternetLink"/>
                  <w:rFonts w:ascii="Times New Roman;sans-serif" w:hAnsi="Times New Roman;sans-serif"/>
                  <w:b w:val="false"/>
                  <w:color w:val="0000FF"/>
                  <w:sz w:val="20"/>
                  <w:u w:val="single"/>
                </w:rPr>
                <w:t>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25">
              <w:r>
                <w:rPr>
                  <w:rStyle w:val="InternetLink"/>
                  <w:rFonts w:ascii="Times New Roman;sans-serif" w:hAnsi="Times New Roman;sans-serif"/>
                  <w:b w:val="false"/>
                  <w:color w:val="0000FF"/>
                  <w:sz w:val="20"/>
                  <w:u w:val="single"/>
                </w:rPr>
                <w:t>Consolidated Statements of Stockholders' Equity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25">
              <w:r>
                <w:rPr>
                  <w:rStyle w:val="InternetLink"/>
                  <w:rFonts w:ascii="Times New Roman;sans-serif" w:hAnsi="Times New Roman;sans-serif"/>
                  <w:b w:val="false"/>
                  <w:color w:val="0000FF"/>
                  <w:sz w:val="20"/>
                  <w:u w:val="single"/>
                </w:rPr>
                <w:t>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28">
              <w:r>
                <w:rPr>
                  <w:rStyle w:val="InternetLink"/>
                  <w:rFonts w:ascii="Times New Roman;sans-serif" w:hAnsi="Times New Roman;sans-serif"/>
                  <w:b w:val="false"/>
                  <w:color w:val="0000FF"/>
                  <w:sz w:val="20"/>
                  <w:u w:val="single"/>
                </w:rPr>
                <w:t>Consolidated Statements of Cash Flows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28">
              <w:r>
                <w:rPr>
                  <w:rStyle w:val="InternetLink"/>
                  <w:rFonts w:ascii="Times New Roman;sans-serif" w:hAnsi="Times New Roman;sans-serif"/>
                  <w:b w:val="false"/>
                  <w:color w:val="0000FF"/>
                  <w:sz w:val="20"/>
                  <w:u w:val="single"/>
                </w:rPr>
                <w:t>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31">
              <w:r>
                <w:rPr>
                  <w:rStyle w:val="InternetLink"/>
                  <w:rFonts w:ascii="Times New Roman;sans-serif" w:hAnsi="Times New Roman;sans-serif"/>
                  <w:b w:val="false"/>
                  <w:color w:val="0000FF"/>
                  <w:sz w:val="20"/>
                  <w:u w:val="single"/>
                </w:rPr>
                <w:t>Notes to Consolidated Financial Statements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31">
              <w:r>
                <w:rPr>
                  <w:rStyle w:val="InternetLink"/>
                  <w:rFonts w:ascii="Times New Roman;sans-serif" w:hAnsi="Times New Roman;sans-serif"/>
                  <w:b w:val="false"/>
                  <w:color w:val="0000FF"/>
                  <w:sz w:val="20"/>
                  <w:u w:val="single"/>
                </w:rPr>
                <w:t>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00">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00">
              <w:r>
                <w:rPr>
                  <w:rStyle w:val="InternetLink"/>
                  <w:rFonts w:ascii="Times New Roman;sans-serif" w:hAnsi="Times New Roman;sans-serif"/>
                  <w:b w:val="false"/>
                  <w:color w:val="0000FF"/>
                  <w:sz w:val="20"/>
                  <w:u w:val="single"/>
                </w:rPr>
                <w:t>26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09">
              <w:r>
                <w:rPr>
                  <w:rStyle w:val="InternetLink"/>
                  <w:rFonts w:ascii="Times New Roman;sans-serif" w:hAnsi="Times New Roman;sans-serif"/>
                  <w:b w:val="false"/>
                  <w:color w:val="0000FF"/>
                  <w:sz w:val="20"/>
                  <w:u w:val="single"/>
                </w:rPr>
                <w:t>Item 3. Quantitative and Qualitative Disclosures About Market Risk</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09">
              <w:r>
                <w:rPr>
                  <w:rStyle w:val="InternetLink"/>
                  <w:rFonts w:ascii="Times New Roman;sans-serif" w:hAnsi="Times New Roman;sans-serif"/>
                  <w:b w:val="false"/>
                  <w:color w:val="0000FF"/>
                  <w:sz w:val="20"/>
                  <w:u w:val="single"/>
                </w:rPr>
                <w:t>32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12">
              <w:r>
                <w:rPr>
                  <w:rStyle w:val="InternetLink"/>
                  <w:rFonts w:ascii="Times New Roman;sans-serif" w:hAnsi="Times New Roman;sans-serif"/>
                  <w:b w:val="false"/>
                  <w:color w:val="0000FF"/>
                  <w:sz w:val="20"/>
                  <w:u w:val="single"/>
                </w:rPr>
                <w:t>Item 4. Controls and Procedures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12">
              <w:r>
                <w:rPr>
                  <w:rStyle w:val="InternetLink"/>
                  <w:rFonts w:ascii="Times New Roman;sans-serif" w:hAnsi="Times New Roman;sans-serif"/>
                  <w:b w:val="false"/>
                  <w:color w:val="0000FF"/>
                  <w:sz w:val="20"/>
                  <w:u w:val="single"/>
                </w:rPr>
                <w:t>33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15">
              <w:r>
                <w:rPr>
                  <w:rStyle w:val="InternetLink"/>
                  <w:rFonts w:ascii="Times New Roman;sans-serif" w:hAnsi="Times New Roman;sans-serif"/>
                  <w:b/>
                  <w:color w:val="0000FF"/>
                  <w:sz w:val="20"/>
                  <w:u w:val="single"/>
                </w:rPr>
                <w:t>PART II.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15">
              <w:r>
                <w:rPr>
                  <w:rStyle w:val="InternetLink"/>
                  <w:rFonts w:ascii="Times New Roman;sans-serif" w:hAnsi="Times New Roman;sans-serif"/>
                  <w:b w:val="false"/>
                  <w:color w:val="0000FF"/>
                  <w:sz w:val="20"/>
                  <w:u w:val="single"/>
                </w:rPr>
                <w:t>33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18">
              <w:r>
                <w:rPr>
                  <w:rStyle w:val="InternetLink"/>
                  <w:rFonts w:ascii="Times New Roman;sans-serif" w:hAnsi="Times New Roman;sans-serif"/>
                  <w:b w:val="false"/>
                  <w:color w:val="0000FF"/>
                  <w:sz w:val="20"/>
                  <w:u w:val="single"/>
                </w:rPr>
                <w:t>Item 1. Legal Proceedings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18">
              <w:r>
                <w:rPr>
                  <w:rStyle w:val="InternetLink"/>
                  <w:rFonts w:ascii="Times New Roman;sans-serif" w:hAnsi="Times New Roman;sans-serif"/>
                  <w:b w:val="false"/>
                  <w:color w:val="0000FF"/>
                  <w:sz w:val="20"/>
                  <w:u w:val="single"/>
                </w:rPr>
                <w:t>33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21">
              <w:r>
                <w:rPr>
                  <w:rStyle w:val="InternetLink"/>
                  <w:rFonts w:ascii="Times New Roman;sans-serif" w:hAnsi="Times New Roman;sans-serif"/>
                  <w:b w:val="false"/>
                  <w:color w:val="0000FF"/>
                  <w:sz w:val="20"/>
                  <w:u w:val="single"/>
                </w:rPr>
                <w:t>Item 1A. Risk Factors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21">
              <w:r>
                <w:rPr>
                  <w:rStyle w:val="InternetLink"/>
                  <w:rFonts w:ascii="Times New Roman;sans-serif" w:hAnsi="Times New Roman;sans-serif"/>
                  <w:b w:val="false"/>
                  <w:color w:val="0000FF"/>
                  <w:sz w:val="20"/>
                  <w:u w:val="single"/>
                </w:rPr>
                <w:t>34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24">
              <w:r>
                <w:rPr>
                  <w:rStyle w:val="InternetLink"/>
                  <w:rFonts w:ascii="Times New Roman;sans-serif" w:hAnsi="Times New Roman;sans-serif"/>
                  <w:b w:val="false"/>
                  <w:color w:val="0000FF"/>
                  <w:sz w:val="20"/>
                  <w:u w:val="single"/>
                </w:rPr>
                <w:t>Item 2. Unregistered Sales of Equity Securities and Use of Proceeds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24">
              <w:r>
                <w:rPr>
                  <w:rStyle w:val="InternetLink"/>
                  <w:rFonts w:ascii="Times New Roman;sans-serif" w:hAnsi="Times New Roman;sans-serif"/>
                  <w:b w:val="false"/>
                  <w:color w:val="0000FF"/>
                  <w:sz w:val="20"/>
                  <w:u w:val="single"/>
                </w:rPr>
                <w:t>34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27">
              <w:r>
                <w:rPr>
                  <w:rStyle w:val="InternetLink"/>
                  <w:rFonts w:ascii="Times New Roman;sans-serif" w:hAnsi="Times New Roman;sans-serif"/>
                  <w:b w:val="false"/>
                  <w:color w:val="0000FF"/>
                  <w:sz w:val="20"/>
                  <w:u w:val="single"/>
                </w:rPr>
                <w:t>Item 5.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27">
              <w:r>
                <w:rPr>
                  <w:rStyle w:val="InternetLink"/>
                  <w:rFonts w:ascii="Times New Roman;sans-serif" w:hAnsi="Times New Roman;sans-serif"/>
                  <w:b w:val="false"/>
                  <w:color w:val="0000FF"/>
                  <w:sz w:val="20"/>
                  <w:u w:val="single"/>
                </w:rPr>
                <w:t>34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30">
              <w:r>
                <w:rPr>
                  <w:rStyle w:val="InternetLink"/>
                  <w:rFonts w:ascii="Times New Roman;sans-serif" w:hAnsi="Times New Roman;sans-serif"/>
                  <w:b w:val="false"/>
                  <w:color w:val="0000FF"/>
                  <w:sz w:val="20"/>
                  <w:u w:val="single"/>
                </w:rPr>
                <w:t>Item 6. Exhibits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30">
              <w:r>
                <w:rPr>
                  <w:rStyle w:val="InternetLink"/>
                  <w:rFonts w:ascii="Times New Roman;sans-serif" w:hAnsi="Times New Roman;sans-serif"/>
                  <w:b w:val="false"/>
                  <w:color w:val="0000FF"/>
                  <w:sz w:val="20"/>
                  <w:u w:val="single"/>
                </w:rPr>
                <w:t>35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f9d833aa3d4fcd8225740411e55693_133">
              <w:r>
                <w:rPr>
                  <w:rStyle w:val="InternetLink"/>
                  <w:rFonts w:ascii="Times New Roman;sans-serif" w:hAnsi="Times New Roman;sans-serif"/>
                  <w:b w:val="false"/>
                  <w:color w:val="0000FF"/>
                  <w:sz w:val="20"/>
                  <w:u w:val="single"/>
                </w:rPr>
                <w:t>Signatures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f9d833aa3d4fcd8225740411e55693_133">
              <w:r>
                <w:rPr>
                  <w:rStyle w:val="InternetLink"/>
                  <w:rFonts w:ascii="Times New Roman;sans-serif" w:hAnsi="Times New Roman;sans-serif"/>
                  <w:b w:val="false"/>
                  <w:color w:val="0000FF"/>
                  <w:sz w:val="20"/>
                  <w:u w:val="single"/>
                </w:rPr>
                <w:t>36</w:t>
              </w:r>
            </w:hyperlink>
          </w:p>
        </w:tc>
      </w:tr>
    </w:tbl>
    <w:p>
      <w:pPr>
        <w:pStyle w:val="TextBody"/>
        <w:bidi w:val="0"/>
        <w:spacing w:before="80" w:after="283"/>
        <w:jc w:val="left"/>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share-related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85"/>
        <w:gridCol w:w="2248"/>
        <w:gridCol w:w="2232"/>
        <w:gridCol w:w="219"/>
        <w:gridCol w:w="824"/>
        <w:gridCol w:w="122"/>
        <w:gridCol w:w="109"/>
        <w:gridCol w:w="109"/>
        <w:gridCol w:w="109"/>
        <w:gridCol w:w="243"/>
        <w:gridCol w:w="912"/>
        <w:gridCol w:w="193"/>
      </w:tblGrid>
      <w:tr>
        <w:trPr/>
        <w:tc>
          <w:tcPr>
            <w:tcW w:w="2885"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114,182 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79,355 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323,354 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Lines of credit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36,960 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sales discounts, rebates and royalties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149,329 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158,291 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170,249 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5,000,000 shares authorized; none issued or outstanding</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50,000,000 shares authorized; 25,844,736 and 25,712,940 shares issued on March 31, 2025 and December 31, 2024, respectively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344,697 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12,707,153 and 12,666,443 shares on March 31, 2025 and December 31, 2024, respectively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(372,313)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149,969 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153,105 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310,611 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323,354 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w:t>
      </w:r>
    </w:p>
    <w:tbl>
      <w:tblPr>
        <w:tblW w:w="6767" w:type="dxa"/>
        <w:jc w:val="center"/>
        <w:tblInd w:w="0" w:type="dxa"/>
        <w:tblLayout w:type="fixed"/>
        <w:tblCellMar>
          <w:top w:w="28" w:type="dxa"/>
          <w:left w:w="28" w:type="dxa"/>
          <w:bottom w:w="28" w:type="dxa"/>
          <w:right w:w="28" w:type="dxa"/>
        </w:tblCellMar>
      </w:tblPr>
      <w:tblGrid>
        <w:gridCol w:w="1362"/>
        <w:gridCol w:w="1201"/>
        <w:gridCol w:w="1217"/>
        <w:gridCol w:w="211"/>
        <w:gridCol w:w="695"/>
        <w:gridCol w:w="117"/>
        <w:gridCol w:w="117"/>
        <w:gridCol w:w="117"/>
        <w:gridCol w:w="117"/>
        <w:gridCol w:w="211"/>
        <w:gridCol w:w="695"/>
        <w:gridCol w:w="117"/>
        <w:gridCol w:w="109"/>
        <w:gridCol w:w="109"/>
        <w:gridCol w:w="109"/>
        <w:gridCol w:w="109"/>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Factory restructuring charges (Note 12)</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 net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per share:</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earnings (loss) per share:</w:t>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2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w:t>
      </w:r>
    </w:p>
    <w:tbl>
      <w:tblPr>
        <w:tblW w:w="6523" w:type="dxa"/>
        <w:jc w:val="center"/>
        <w:tblInd w:w="0" w:type="dxa"/>
        <w:tblLayout w:type="fixed"/>
        <w:tblCellMar>
          <w:top w:w="28" w:type="dxa"/>
          <w:left w:w="28" w:type="dxa"/>
          <w:bottom w:w="28" w:type="dxa"/>
          <w:right w:w="28" w:type="dxa"/>
        </w:tblCellMar>
      </w:tblPr>
      <w:tblGrid>
        <w:gridCol w:w="1316"/>
        <w:gridCol w:w="1161"/>
        <w:gridCol w:w="1168"/>
        <w:gridCol w:w="205"/>
        <w:gridCol w:w="661"/>
        <w:gridCol w:w="114"/>
        <w:gridCol w:w="114"/>
        <w:gridCol w:w="114"/>
        <w:gridCol w:w="114"/>
        <w:gridCol w:w="205"/>
        <w:gridCol w:w="756"/>
        <w:gridCol w:w="114"/>
        <w:gridCol w:w="109"/>
        <w:gridCol w:w="109"/>
        <w:gridCol w:w="109"/>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foreign currency translation adjustment</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(10,240)</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summarizes the changes in total equity for the three months ended March 31, 2025:</w:t>
      </w:r>
    </w:p>
    <w:tbl>
      <w:tblPr>
        <w:tblW w:w="11250" w:type="dxa"/>
        <w:jc w:val="left"/>
        <w:tblInd w:w="0" w:type="dxa"/>
        <w:tblLayout w:type="fixed"/>
        <w:tblCellMar>
          <w:top w:w="28" w:type="dxa"/>
          <w:left w:w="28" w:type="dxa"/>
          <w:bottom w:w="28" w:type="dxa"/>
          <w:right w:w="28" w:type="dxa"/>
        </w:tblCellMar>
      </w:tblPr>
      <w:tblGrid>
        <w:gridCol w:w="55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(26,772)</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summarizes the changes in total equity for the three months ended March 31, 2024:</w:t>
      </w:r>
    </w:p>
    <w:tbl>
      <w:tblPr>
        <w:tblW w:w="11250" w:type="dxa"/>
        <w:jc w:val="center"/>
        <w:tblInd w:w="0" w:type="dxa"/>
        <w:tblLayout w:type="fixed"/>
        <w:tblCellMar>
          <w:top w:w="28" w:type="dxa"/>
          <w:left w:w="28" w:type="dxa"/>
          <w:bottom w:w="28" w:type="dxa"/>
          <w:right w:w="28" w:type="dxa"/>
        </w:tblCellMar>
      </w:tblPr>
      <w:tblGrid>
        <w:gridCol w:w="55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9431" w:type="dxa"/>
        <w:jc w:val="left"/>
        <w:tblInd w:w="0" w:type="dxa"/>
        <w:tblLayout w:type="fixed"/>
        <w:tblCellMar>
          <w:top w:w="28" w:type="dxa"/>
          <w:left w:w="28" w:type="dxa"/>
          <w:bottom w:w="28" w:type="dxa"/>
          <w:right w:w="28" w:type="dxa"/>
        </w:tblCellMar>
      </w:tblPr>
      <w:tblGrid>
        <w:gridCol w:w="2532"/>
        <w:gridCol w:w="2220"/>
        <w:gridCol w:w="2238"/>
        <w:gridCol w:w="210"/>
        <w:gridCol w:w="694"/>
        <w:gridCol w:w="117"/>
        <w:gridCol w:w="117"/>
        <w:gridCol w:w="117"/>
        <w:gridCol w:w="117"/>
        <w:gridCol w:w="210"/>
        <w:gridCol w:w="694"/>
        <w:gridCol w:w="165"/>
      </w:tblGrid>
      <w:tr>
        <w:trPr/>
        <w:tc>
          <w:tcPr>
            <w:tcW w:w="2532"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for) operating activities: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contract assets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operating activities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Blue Chip Swap securities (Note 15)</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Blue Chip Swap securities (Note 15)</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plant and equipment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intangible assets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investing activities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lines of credit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lines of credit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financing activities</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exchange rates on cash and cash equivalents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(15,837)</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Basis of Presentation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except for the restructuring charges, as described in Note 12 to the consolidated financial statements.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for the three months ended March 31, 2025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Estimates and Assumptions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and intangible assets, business combinations, income taxes and related valuation allowances and stock-based compensation expense. Actual results may differ from these assumptions and estimates, and they may be adjusted as more information becomes available. Any adjustment may be 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See Note 2 to the consolidated financial statements included in our Annual Report on Form 10-K for the year ended December 31, 2024 for a summary of our significant accounting policies</w:t>
      </w:r>
      <w:r>
        <w:rPr>
          <w:rFonts w:ascii="Times New Roman;sans-serif" w:hAnsi="Times New Roman;sans-serif"/>
          <w:b/>
          <w:i/>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Accounting Pronouncements Not Yet Effective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 – Reporting Comprehensive Income (Topic 220): Disaggregation of Income Statement Expenses." This guidance requires additional disclosures by disaggregating the costs and expense line items that are presented on the face of the consolidated statements of operations. This guidance is effective for annual periods beginning in 2027 and interim periods beginning in 2028, with early adoption permitted. This guidance requires a public company to apply the amendments either prospectively to financial statements issued for reporting periods after the effective date of this ASU or retrospectively to any or all prior periods presented in the financial statements. We are currently evaluating the impact of adopting this guidance on our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 Improvements to Tax Disclosures." The guidance expands income tax disclosures by requiring public business entities, on an annual basis, to disclose specific categories in the rate reconciliation and provide additional information for reconciling items that meet a quantitative threshold. Additionally, this guidance requires that all entities disaggregate disclosures by jurisdiction on the amount of income taxes paid (net of refunds received), income or loss from continuing operations before income tax expense (or benefit) and income tax expense (or benefit) from continuing operations. This guidance is effective for annual periods beginning after December 15, 2024, and therefore will be effective beginning with our financial statements issued for the year ending December 31, 2025. We are currently evaluating the impact of adopting this guidance on our consolidated financial statements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assessed all other ASUs issued but not yet adopted and concluded that those not disclosed are not relevant to the Company or are not expected to have a material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Cash and Cash Equivalents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were held in the following geographic regions:</w:t>
      </w:r>
    </w:p>
    <w:tbl>
      <w:tblPr>
        <w:tblW w:w="6147" w:type="dxa"/>
        <w:jc w:val="left"/>
        <w:tblInd w:w="0" w:type="dxa"/>
        <w:tblLayout w:type="fixed"/>
        <w:tblCellMar>
          <w:top w:w="28" w:type="dxa"/>
          <w:left w:w="28" w:type="dxa"/>
          <w:bottom w:w="28" w:type="dxa"/>
          <w:right w:w="28" w:type="dxa"/>
        </w:tblCellMar>
      </w:tblPr>
      <w:tblGrid>
        <w:gridCol w:w="1089"/>
        <w:gridCol w:w="962"/>
        <w:gridCol w:w="964"/>
        <w:gridCol w:w="255"/>
        <w:gridCol w:w="873"/>
        <w:gridCol w:w="132"/>
        <w:gridCol w:w="109"/>
        <w:gridCol w:w="109"/>
        <w:gridCol w:w="109"/>
        <w:gridCol w:w="300"/>
        <w:gridCol w:w="1026"/>
        <w:gridCol w:w="219"/>
      </w:tblGrid>
      <w:tr>
        <w:trPr/>
        <w:tc>
          <w:tcPr>
            <w:tcW w:w="108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 ("PRC")</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(excluding the PRC)</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America</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Revenue and Accounts Receivable,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Details    </w:t>
      </w:r>
    </w:p>
    <w:p>
      <w:pPr>
        <w:pStyle w:val="TextBody"/>
        <w:bidi w:val="0"/>
        <w:spacing w:before="0" w:after="60"/>
        <w:jc w:val="both"/>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pattern of revenue recognition was as follows:</w:t>
      </w:r>
    </w:p>
    <w:tbl>
      <w:tblPr>
        <w:tblW w:w="6894" w:type="dxa"/>
        <w:jc w:val="center"/>
        <w:tblInd w:w="0" w:type="dxa"/>
        <w:tblLayout w:type="fixed"/>
        <w:tblCellMar>
          <w:top w:w="28" w:type="dxa"/>
          <w:left w:w="28" w:type="dxa"/>
          <w:bottom w:w="28" w:type="dxa"/>
          <w:right w:w="28" w:type="dxa"/>
        </w:tblCellMar>
      </w:tblPr>
      <w:tblGrid>
        <w:gridCol w:w="1447"/>
        <w:gridCol w:w="1277"/>
        <w:gridCol w:w="1280"/>
        <w:gridCol w:w="211"/>
        <w:gridCol w:w="721"/>
        <w:gridCol w:w="109"/>
        <w:gridCol w:w="109"/>
        <w:gridCol w:w="109"/>
        <w:gridCol w:w="109"/>
        <w:gridCol w:w="211"/>
        <w:gridCol w:w="721"/>
        <w:gridCol w:w="109"/>
        <w:gridCol w:w="109"/>
        <w:gridCol w:w="109"/>
        <w:gridCol w:w="109"/>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and services transferred at a 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and services transferred over time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to external customers by channel were as follows:</w:t>
      </w:r>
    </w:p>
    <w:tbl>
      <w:tblPr>
        <w:tblW w:w="4869" w:type="dxa"/>
        <w:jc w:val="center"/>
        <w:tblInd w:w="0" w:type="dxa"/>
        <w:tblLayout w:type="fixed"/>
        <w:tblCellMar>
          <w:top w:w="28" w:type="dxa"/>
          <w:left w:w="28" w:type="dxa"/>
          <w:bottom w:w="28" w:type="dxa"/>
          <w:right w:w="28" w:type="dxa"/>
        </w:tblCellMar>
      </w:tblPr>
      <w:tblGrid>
        <w:gridCol w:w="715"/>
        <w:gridCol w:w="631"/>
        <w:gridCol w:w="633"/>
        <w:gridCol w:w="211"/>
        <w:gridCol w:w="721"/>
        <w:gridCol w:w="109"/>
        <w:gridCol w:w="109"/>
        <w:gridCol w:w="109"/>
        <w:gridCol w:w="109"/>
        <w:gridCol w:w="211"/>
        <w:gridCol w:w="721"/>
        <w:gridCol w:w="109"/>
        <w:gridCol w:w="109"/>
        <w:gridCol w:w="109"/>
        <w:gridCol w:w="109"/>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Connected home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Home entertainment </w:t>
            </w:r>
            <w:r>
              <w:rPr>
                <w:rFonts w:ascii="Times New Roman;sans-serif" w:hAnsi="Times New Roman;sans-serif"/>
                <w:b w:val="false"/>
                <w:color w:val="000000"/>
                <w:sz w:val="13"/>
              </w:rPr>
              <w:t>(2)</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The connected home channel represents climate control, smart home and security product sales sold primarily to HVAC, security, home automation and home appliance customers.</w:t>
      </w:r>
    </w:p>
    <w:p>
      <w:pPr>
        <w:pStyle w:val="TextBody"/>
        <w:bidi w:val="0"/>
        <w:spacing w:lineRule="auto" w:line="288" w:before="10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home entertainment channel represents entertainment-related product sales sold primarily to video service providers, consumer electronics original equipment manufacturers ("OEMs") and retailers. It also includes sales associated with intellectual property licensing and our cloud-based software solution.</w:t>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to external customers by geographic area were as follows:</w:t>
      </w:r>
    </w:p>
    <w:tbl>
      <w:tblPr>
        <w:tblW w:w="4779" w:type="dxa"/>
        <w:jc w:val="left"/>
        <w:tblInd w:w="0" w:type="dxa"/>
        <w:tblLayout w:type="fixed"/>
        <w:tblCellMar>
          <w:top w:w="28" w:type="dxa"/>
          <w:left w:w="28" w:type="dxa"/>
          <w:bottom w:w="28" w:type="dxa"/>
          <w:right w:w="28" w:type="dxa"/>
        </w:tblCellMar>
      </w:tblPr>
      <w:tblGrid>
        <w:gridCol w:w="682"/>
        <w:gridCol w:w="602"/>
        <w:gridCol w:w="605"/>
        <w:gridCol w:w="211"/>
        <w:gridCol w:w="721"/>
        <w:gridCol w:w="109"/>
        <w:gridCol w:w="109"/>
        <w:gridCol w:w="109"/>
        <w:gridCol w:w="109"/>
        <w:gridCol w:w="211"/>
        <w:gridCol w:w="721"/>
        <w:gridCol w:w="109"/>
        <w:gridCol w:w="109"/>
        <w:gridCol w:w="109"/>
        <w:gridCol w:w="109"/>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(excluding PRC)</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Specific identification of the customer billing location was the basis used for attributing revenues from external customers to geographic areas.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were as follows:</w:t>
      </w:r>
    </w:p>
    <w:tbl>
      <w:tblPr>
        <w:tblW w:w="5425" w:type="dxa"/>
        <w:jc w:val="center"/>
        <w:tblInd w:w="0" w:type="dxa"/>
        <w:tblLayout w:type="fixed"/>
        <w:tblCellMar>
          <w:top w:w="28" w:type="dxa"/>
          <w:left w:w="28" w:type="dxa"/>
          <w:bottom w:w="28" w:type="dxa"/>
          <w:right w:w="28" w:type="dxa"/>
        </w:tblCellMar>
      </w:tblPr>
      <w:tblGrid>
        <w:gridCol w:w="829"/>
        <w:gridCol w:w="732"/>
        <w:gridCol w:w="734"/>
        <w:gridCol w:w="232"/>
        <w:gridCol w:w="908"/>
        <w:gridCol w:w="119"/>
        <w:gridCol w:w="109"/>
        <w:gridCol w:w="109"/>
        <w:gridCol w:w="109"/>
        <w:gridCol w:w="273"/>
        <w:gridCol w:w="1072"/>
        <w:gridCol w:w="199"/>
      </w:tblGrid>
      <w:tr>
        <w:trPr/>
        <w:tc>
          <w:tcPr>
            <w:tcW w:w="8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gross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93,773 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sales returns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114,182 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Other accounts receivable is primarily comprised of supplier, supplier rebate and interest receivables.</w:t>
      </w:r>
    </w:p>
    <w:p>
      <w:pPr>
        <w:pStyle w:val="TextBody"/>
        <w:bidi w:val="0"/>
        <w:spacing w:lineRule="auto" w:line="288" w:before="10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Accounts receivable, net at December 31, 2023 was $112.6 million.</w:t>
      </w:r>
    </w:p>
    <w:p>
      <w:pPr>
        <w:pStyle w:val="TextBody"/>
        <w:bidi w:val="0"/>
        <w:spacing w:before="100" w:after="283"/>
        <w:jc w:val="both"/>
        <w:rPr/>
      </w:pPr>
      <w:r>
        <w:rPr/>
      </w:r>
    </w:p>
    <w:p>
      <w:pPr>
        <w:pStyle w:val="TextBody"/>
        <w:bidi w:val="0"/>
        <w:spacing w:lineRule="auto" w:line="288" w:before="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allowance for credit losses were as follows:</w:t>
      </w:r>
    </w:p>
    <w:tbl>
      <w:tblPr>
        <w:tblW w:w="6177" w:type="dxa"/>
        <w:jc w:val="center"/>
        <w:tblInd w:w="0" w:type="dxa"/>
        <w:tblLayout w:type="fixed"/>
        <w:tblCellMar>
          <w:top w:w="28" w:type="dxa"/>
          <w:left w:w="28" w:type="dxa"/>
          <w:bottom w:w="28" w:type="dxa"/>
          <w:right w:w="28" w:type="dxa"/>
        </w:tblCellMar>
      </w:tblPr>
      <w:tblGrid>
        <w:gridCol w:w="1350"/>
        <w:gridCol w:w="1191"/>
        <w:gridCol w:w="1194"/>
        <w:gridCol w:w="246"/>
        <w:gridCol w:w="719"/>
        <w:gridCol w:w="127"/>
        <w:gridCol w:w="127"/>
        <w:gridCol w:w="127"/>
        <w:gridCol w:w="127"/>
        <w:gridCol w:w="246"/>
        <w:gridCol w:w="544"/>
        <w:gridCol w:w="179"/>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(reductions) to costs and expenses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Write-offs/Foreign exchange effects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were $9.5 million and $10.3 million at March 31, 2025 and December 31, 2024, respectively. The change in balances between periods is due to the fluctuation of custom product inventory balances for which we have an enforceable right to payment for performance completed to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current and non-current contract liability balances primarily consisting of cash received in advance of providing our cloud-based software services. Contract liabilities are included within other accrued liabilities and other long-term liabilities in our consolidated balance sheets.</w: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contract liabilities were as follows: </w:t>
      </w:r>
    </w:p>
    <w:tbl>
      <w:tblPr>
        <w:tblW w:w="5520" w:type="dxa"/>
        <w:jc w:val="left"/>
        <w:tblInd w:w="0" w:type="dxa"/>
        <w:tblLayout w:type="fixed"/>
        <w:tblCellMar>
          <w:top w:w="28" w:type="dxa"/>
          <w:left w:w="28" w:type="dxa"/>
          <w:bottom w:w="28" w:type="dxa"/>
          <w:right w:w="28" w:type="dxa"/>
        </w:tblCellMar>
      </w:tblPr>
      <w:tblGrid>
        <w:gridCol w:w="954"/>
        <w:gridCol w:w="842"/>
        <w:gridCol w:w="844"/>
        <w:gridCol w:w="230"/>
        <w:gridCol w:w="672"/>
        <w:gridCol w:w="119"/>
        <w:gridCol w:w="119"/>
        <w:gridCol w:w="119"/>
        <w:gridCol w:w="119"/>
        <w:gridCol w:w="230"/>
        <w:gridCol w:w="672"/>
        <w:gridCol w:w="119"/>
        <w:gridCol w:w="109"/>
        <w:gridCol w:w="109"/>
        <w:gridCol w:w="109"/>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received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effects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Net sales to the following customers totaled more than 10% of our net sales:</w:t>
      </w:r>
      <w:r>
        <w:rPr>
          <w:color w:val="000000"/>
        </w:rPr>
        <w:t> </w:t>
      </w:r>
    </w:p>
    <w:tbl>
      <w:tblPr>
        <w:tblW w:w="8119" w:type="dxa"/>
        <w:jc w:val="left"/>
        <w:tblInd w:w="0" w:type="dxa"/>
        <w:tblLayout w:type="fixed"/>
        <w:tblCellMar>
          <w:top w:w="28" w:type="dxa"/>
          <w:left w:w="28" w:type="dxa"/>
          <w:bottom w:w="28" w:type="dxa"/>
          <w:right w:w="28" w:type="dxa"/>
        </w:tblCellMar>
      </w:tblPr>
      <w:tblGrid>
        <w:gridCol w:w="820"/>
        <w:gridCol w:w="720"/>
        <w:gridCol w:w="724"/>
        <w:gridCol w:w="219"/>
        <w:gridCol w:w="748"/>
        <w:gridCol w:w="113"/>
        <w:gridCol w:w="109"/>
        <w:gridCol w:w="109"/>
        <w:gridCol w:w="109"/>
        <w:gridCol w:w="261"/>
        <w:gridCol w:w="261"/>
        <w:gridCol w:w="649"/>
        <w:gridCol w:w="109"/>
        <w:gridCol w:w="109"/>
        <w:gridCol w:w="109"/>
        <w:gridCol w:w="219"/>
        <w:gridCol w:w="748"/>
        <w:gridCol w:w="113"/>
        <w:gridCol w:w="109"/>
        <w:gridCol w:w="109"/>
        <w:gridCol w:w="109"/>
        <w:gridCol w:w="261"/>
        <w:gridCol w:w="261"/>
        <w:gridCol w:w="64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Daikin Industries Ltd.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Comcast Communications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Charter Communications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Sales associated with this customer did not total more than 10% of our net sales for the indicated period.</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customers that totaled more than 10% of our accounts receivable at March 31, 2025 or December 31, 2024.</w:t>
      </w:r>
    </w:p>
    <w:p>
      <w:pPr>
        <w:pStyle w:val="TextBody"/>
        <w:bidi w:val="0"/>
        <w:spacing w:before="10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Inventories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were as follows:</w:t>
      </w:r>
    </w:p>
    <w:tbl>
      <w:tblPr>
        <w:tblW w:w="4556" w:type="dxa"/>
        <w:jc w:val="left"/>
        <w:tblInd w:w="0" w:type="dxa"/>
        <w:tblLayout w:type="fixed"/>
        <w:tblCellMar>
          <w:top w:w="28" w:type="dxa"/>
          <w:left w:w="28" w:type="dxa"/>
          <w:bottom w:w="28" w:type="dxa"/>
          <w:right w:w="28" w:type="dxa"/>
        </w:tblCellMar>
      </w:tblPr>
      <w:tblGrid>
        <w:gridCol w:w="514"/>
        <w:gridCol w:w="454"/>
        <w:gridCol w:w="456"/>
        <w:gridCol w:w="255"/>
        <w:gridCol w:w="873"/>
        <w:gridCol w:w="132"/>
        <w:gridCol w:w="109"/>
        <w:gridCol w:w="109"/>
        <w:gridCol w:w="109"/>
        <w:gridCol w:w="300"/>
        <w:gridCol w:w="1026"/>
        <w:gridCol w:w="219"/>
      </w:tblGrid>
      <w:tr>
        <w:trP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Supplier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from the following supplier totaled more than 10% of our total inventory purchases: </w:t>
      </w:r>
    </w:p>
    <w:tbl>
      <w:tblPr>
        <w:tblW w:w="10205" w:type="dxa"/>
        <w:jc w:val="left"/>
        <w:tblInd w:w="0" w:type="dxa"/>
        <w:tblLayout w:type="fixed"/>
        <w:tblCellMar>
          <w:top w:w="28" w:type="dxa"/>
          <w:left w:w="28" w:type="dxa"/>
          <w:bottom w:w="28" w:type="dxa"/>
          <w:right w:w="28" w:type="dxa"/>
        </w:tblCellMar>
      </w:tblPr>
      <w:tblGrid>
        <w:gridCol w:w="840"/>
        <w:gridCol w:w="739"/>
        <w:gridCol w:w="741"/>
        <w:gridCol w:w="357"/>
        <w:gridCol w:w="357"/>
        <w:gridCol w:w="359"/>
        <w:gridCol w:w="113"/>
        <w:gridCol w:w="113"/>
        <w:gridCol w:w="113"/>
        <w:gridCol w:w="776"/>
        <w:gridCol w:w="776"/>
        <w:gridCol w:w="779"/>
        <w:gridCol w:w="113"/>
        <w:gridCol w:w="113"/>
        <w:gridCol w:w="113"/>
        <w:gridCol w:w="357"/>
        <w:gridCol w:w="357"/>
        <w:gridCol w:w="359"/>
        <w:gridCol w:w="113"/>
        <w:gridCol w:w="113"/>
        <w:gridCol w:w="113"/>
        <w:gridCol w:w="696"/>
        <w:gridCol w:w="696"/>
        <w:gridCol w:w="999"/>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Inventory Purchases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Inventory Purchases</w:t>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International Pte Ltd.</w:t>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4,649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r>
    </w:tbl>
    <w:p>
      <w:pPr>
        <w:pStyle w:val="TextBody"/>
        <w:bidi w:val="0"/>
        <w:spacing w:lineRule="auto" w:line="288" w:before="120" w:after="10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Purchases associated with this supplier did not total more than 10% of our total inventory purchases for the indicated period.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trade payable balances to suppliers that totaled more than 10% of our total accounts payable at March 31, 2025 and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 Long-lived Tangible Assets</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tangible assets by geographic area, which include property, plant, and equipment, net ("PP&amp;E") and operating lease ROU assets, were as follows:</w:t>
      </w:r>
    </w:p>
    <w:tbl>
      <w:tblPr>
        <w:tblW w:w="5816" w:type="dxa"/>
        <w:jc w:val="left"/>
        <w:tblInd w:w="0" w:type="dxa"/>
        <w:tblLayout w:type="fixed"/>
        <w:tblCellMar>
          <w:top w:w="28" w:type="dxa"/>
          <w:left w:w="28" w:type="dxa"/>
          <w:bottom w:w="28" w:type="dxa"/>
          <w:right w:w="28" w:type="dxa"/>
        </w:tblCellMar>
      </w:tblPr>
      <w:tblGrid>
        <w:gridCol w:w="969"/>
        <w:gridCol w:w="856"/>
        <w:gridCol w:w="859"/>
        <w:gridCol w:w="255"/>
        <w:gridCol w:w="873"/>
        <w:gridCol w:w="132"/>
        <w:gridCol w:w="109"/>
        <w:gridCol w:w="109"/>
        <w:gridCol w:w="109"/>
        <w:gridCol w:w="300"/>
        <w:gridCol w:w="1026"/>
        <w:gridCol w:w="219"/>
      </w:tblGrid>
      <w:tr>
        <w:trPr/>
        <w:tc>
          <w:tcPr>
            <w:tcW w:w="96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Vietnam</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tangible assets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PP&amp;E are shown net of accumulated depreciation of $159.6 million and $156.8 million at March 31,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$2.7 million and $3.4 million for the three months ended March 31, 2025 and 2024,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Intangible Assets, Net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net were as follows:</w:t>
      </w:r>
    </w:p>
    <w:tbl>
      <w:tblPr>
        <w:tblW w:w="10205" w:type="dxa"/>
        <w:jc w:val="left"/>
        <w:tblInd w:w="0" w:type="dxa"/>
        <w:tblLayout w:type="fixed"/>
        <w:tblCellMar>
          <w:top w:w="28" w:type="dxa"/>
          <w:left w:w="28" w:type="dxa"/>
          <w:bottom w:w="28" w:type="dxa"/>
          <w:right w:w="28" w:type="dxa"/>
        </w:tblCellMar>
      </w:tblPr>
      <w:tblGrid>
        <w:gridCol w:w="745"/>
        <w:gridCol w:w="656"/>
        <w:gridCol w:w="663"/>
        <w:gridCol w:w="211"/>
        <w:gridCol w:w="721"/>
        <w:gridCol w:w="109"/>
        <w:gridCol w:w="109"/>
        <w:gridCol w:w="109"/>
        <w:gridCol w:w="109"/>
        <w:gridCol w:w="220"/>
        <w:gridCol w:w="812"/>
        <w:gridCol w:w="113"/>
        <w:gridCol w:w="109"/>
        <w:gridCol w:w="109"/>
        <w:gridCol w:w="109"/>
        <w:gridCol w:w="211"/>
        <w:gridCol w:w="721"/>
        <w:gridCol w:w="109"/>
        <w:gridCol w:w="109"/>
        <w:gridCol w:w="109"/>
        <w:gridCol w:w="109"/>
        <w:gridCol w:w="211"/>
        <w:gridCol w:w="721"/>
        <w:gridCol w:w="109"/>
        <w:gridCol w:w="109"/>
        <w:gridCol w:w="109"/>
        <w:gridCol w:w="109"/>
        <w:gridCol w:w="220"/>
        <w:gridCol w:w="812"/>
        <w:gridCol w:w="113"/>
        <w:gridCol w:w="109"/>
        <w:gridCol w:w="109"/>
        <w:gridCol w:w="109"/>
        <w:gridCol w:w="211"/>
        <w:gridCol w:w="721"/>
        <w:gridCol w:w="161"/>
      </w:tblGrid>
      <w:tr>
        <w:trPr/>
        <w:tc>
          <w:tcPr>
            <w:tcW w:w="7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Gross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pPr>
            <w:r>
              <w:rPr>
                <w:rFonts w:ascii="Times New Roman;sans-serif" w:hAnsi="Times New Roman;sans-serif"/>
                <w:b/>
                <w:color w:val="000000"/>
                <w:sz w:val="16"/>
              </w:rPr>
              <w:t xml:space="preserve">Amortization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Gross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pPr>
            <w:r>
              <w:rPr>
                <w:rFonts w:ascii="Times New Roman;sans-serif" w:hAnsi="Times New Roman;sans-serif"/>
                <w:b/>
                <w:color w:val="000000"/>
                <w:sz w:val="16"/>
              </w:rPr>
              <w:t xml:space="preserve">Amortization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and core technology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This table excludes the gross value of fully amortized intangible assets totaling $51.2 million and $49.3 million at March 31, 2025 and December 31, 2024,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is recorded in selling, general and administrative expenses, except amortization expense related to capitalized software development costs, which is recorded in cost of sales. Amortization expense by statement of operations caption was as follows: </w:t>
      </w:r>
    </w:p>
    <w:tbl>
      <w:tblPr>
        <w:tblW w:w="6615" w:type="dxa"/>
        <w:jc w:val="left"/>
        <w:tblInd w:w="0" w:type="dxa"/>
        <w:tblLayout w:type="fixed"/>
        <w:tblCellMar>
          <w:top w:w="28" w:type="dxa"/>
          <w:left w:w="28" w:type="dxa"/>
          <w:bottom w:w="28" w:type="dxa"/>
          <w:right w:w="28" w:type="dxa"/>
        </w:tblCellMar>
      </w:tblPr>
      <w:tblGrid>
        <w:gridCol w:w="1348"/>
        <w:gridCol w:w="1189"/>
        <w:gridCol w:w="1198"/>
        <w:gridCol w:w="230"/>
        <w:gridCol w:w="672"/>
        <w:gridCol w:w="119"/>
        <w:gridCol w:w="119"/>
        <w:gridCol w:w="119"/>
        <w:gridCol w:w="119"/>
        <w:gridCol w:w="230"/>
        <w:gridCol w:w="672"/>
        <w:gridCol w:w="119"/>
        <w:gridCol w:w="109"/>
        <w:gridCol w:w="109"/>
        <w:gridCol w:w="109"/>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annual amortization expense related to our intangible assets at March 31, 2025, was as follows:</w:t>
      </w:r>
    </w:p>
    <w:tbl>
      <w:tblPr>
        <w:tblW w:w="3410" w:type="dxa"/>
        <w:jc w:val="left"/>
        <w:tblInd w:w="0" w:type="dxa"/>
        <w:tblLayout w:type="fixed"/>
        <w:tblCellMar>
          <w:top w:w="28" w:type="dxa"/>
          <w:left w:w="28" w:type="dxa"/>
          <w:bottom w:w="28" w:type="dxa"/>
          <w:right w:w="28" w:type="dxa"/>
        </w:tblCellMar>
      </w:tblPr>
      <w:tblGrid>
        <w:gridCol w:w="840"/>
        <w:gridCol w:w="741"/>
        <w:gridCol w:w="743"/>
        <w:gridCol w:w="211"/>
        <w:gridCol w:w="721"/>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 9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various operating lease agreements for automobiles, offices and manufacturing facilities throughout the world. At March 31, 2025, our operating leases had remaining lease terms of up to 36 years, including any reasonably probable extensions.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balances within our consolidated balance sheets were as follows:</w:t>
      </w:r>
    </w:p>
    <w:tbl>
      <w:tblPr>
        <w:tblW w:w="6357" w:type="dxa"/>
        <w:jc w:val="center"/>
        <w:tblInd w:w="0" w:type="dxa"/>
        <w:tblLayout w:type="fixed"/>
        <w:tblCellMar>
          <w:top w:w="28" w:type="dxa"/>
          <w:left w:w="28" w:type="dxa"/>
          <w:bottom w:w="28" w:type="dxa"/>
          <w:right w:w="28" w:type="dxa"/>
        </w:tblCellMar>
      </w:tblPr>
      <w:tblGrid>
        <w:gridCol w:w="1166"/>
        <w:gridCol w:w="1028"/>
        <w:gridCol w:w="1031"/>
        <w:gridCol w:w="255"/>
        <w:gridCol w:w="873"/>
        <w:gridCol w:w="132"/>
        <w:gridCol w:w="109"/>
        <w:gridCol w:w="109"/>
        <w:gridCol w:w="109"/>
        <w:gridCol w:w="300"/>
        <w:gridCol w:w="1026"/>
        <w:gridCol w:w="219"/>
      </w:tblGrid>
      <w:tr>
        <w:trPr/>
        <w:tc>
          <w:tcPr>
            <w:tcW w:w="11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obligations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expense, operating lease cash flows and supplemental cash flow information were as follows:</w:t>
      </w:r>
    </w:p>
    <w:tbl>
      <w:tblPr>
        <w:tblW w:w="9255" w:type="dxa"/>
        <w:jc w:val="center"/>
        <w:tblInd w:w="0" w:type="dxa"/>
        <w:tblLayout w:type="fixed"/>
        <w:tblCellMar>
          <w:top w:w="28" w:type="dxa"/>
          <w:left w:w="28" w:type="dxa"/>
          <w:bottom w:w="28" w:type="dxa"/>
          <w:right w:w="28" w:type="dxa"/>
        </w:tblCellMar>
      </w:tblPr>
      <w:tblGrid>
        <w:gridCol w:w="2301"/>
        <w:gridCol w:w="2029"/>
        <w:gridCol w:w="2045"/>
        <w:gridCol w:w="230"/>
        <w:gridCol w:w="672"/>
        <w:gridCol w:w="119"/>
        <w:gridCol w:w="119"/>
        <w:gridCol w:w="119"/>
        <w:gridCol w:w="119"/>
        <w:gridCol w:w="230"/>
        <w:gridCol w:w="672"/>
        <w:gridCol w:w="119"/>
        <w:gridCol w:w="109"/>
        <w:gridCol w:w="109"/>
        <w:gridCol w:w="109"/>
        <w:gridCol w:w="154"/>
      </w:tblGrid>
      <w:tr>
        <w:trPr/>
        <w:tc>
          <w:tcPr>
            <w:tcW w:w="230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75"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expense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expenses from variable and short-term lease costs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obtained in exchange for lease obligations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liability term and the weighted average discount rate were as follows:</w:t>
      </w:r>
    </w:p>
    <w:tbl>
      <w:tblPr>
        <w:tblW w:w="7076" w:type="dxa"/>
        <w:jc w:val="center"/>
        <w:tblInd w:w="0" w:type="dxa"/>
        <w:tblLayout w:type="fixed"/>
        <w:tblCellMar>
          <w:top w:w="28" w:type="dxa"/>
          <w:left w:w="28" w:type="dxa"/>
          <w:bottom w:w="28" w:type="dxa"/>
          <w:right w:w="28" w:type="dxa"/>
        </w:tblCellMar>
      </w:tblPr>
      <w:tblGrid>
        <w:gridCol w:w="1430"/>
        <w:gridCol w:w="1253"/>
        <w:gridCol w:w="1262"/>
        <w:gridCol w:w="279"/>
        <w:gridCol w:w="279"/>
        <w:gridCol w:w="701"/>
        <w:gridCol w:w="109"/>
        <w:gridCol w:w="109"/>
        <w:gridCol w:w="109"/>
        <w:gridCol w:w="314"/>
        <w:gridCol w:w="314"/>
        <w:gridCol w:w="917"/>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lease liability term (in years)</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the undiscounted cash flows for each of the first five years and thereafter to the operating lease liabilities recognized in our consolidated balance sheets at March 31, 2025. The reconciliation excludes short-term leases that are not recorded in our consolidated balance sheets. </w:t>
      </w:r>
    </w:p>
    <w:tbl>
      <w:tblPr>
        <w:tblW w:w="3629" w:type="dxa"/>
        <w:jc w:val="center"/>
        <w:tblInd w:w="0" w:type="dxa"/>
        <w:tblLayout w:type="fixed"/>
        <w:tblCellMar>
          <w:top w:w="28" w:type="dxa"/>
          <w:left w:w="28" w:type="dxa"/>
          <w:bottom w:w="28" w:type="dxa"/>
          <w:right w:w="28" w:type="dxa"/>
        </w:tblCellMar>
      </w:tblPr>
      <w:tblGrid>
        <w:gridCol w:w="840"/>
        <w:gridCol w:w="741"/>
        <w:gridCol w:w="743"/>
        <w:gridCol w:w="253"/>
        <w:gridCol w:w="867"/>
        <w:gridCol w:w="185"/>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 9 months)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we did not have any operating leases that had not yet commenced.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Lines of Credit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 Line of Credit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16, 2024, we executed an amendment to our Second Amended and Restated Credit Agreement ("Second Amended Credit Agreement") with U.S. Bank National Association ("U.S. Bank"), which provides for a revolving line of credit ("U.S. Credit Line") through April 30, 2026. We expect to renew the U.S. Credit Line prior to its expiration; however, no assurance can be given that future financing will be available or, if available, that we will be offered terms satisfactory to us. The U.S. Credit Line may be used for working capital and other general corporate purposes including acquisitions, share repurchases and capital expenditures.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Credit Line has a maximum availability up to $75.0 million, subject to meeting certain financial conditions, including an accounts receivable coverage ratio ("AR Ratio"). This AR Ratio is calculated monthly and adjusts the current U.S. Credit Line total availability. At March 31, 2025, the U.S. Credit Line total availability was $56.1 million based upon the AR Ratio. At April 14, 2025, the U.S. Credit Line total availability was $59.1 million based upon the AR Ratio.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available for borrowing under the U.S. Credit Line are reduced by the balance of any outstanding letters of credit, of which there were none at March 31,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obligations under the U.S. Credit Line are secured by substantially all of our U.S. personal property and tangible and intangible assets, as well as a guaranty of the U.S. Credit Line by our wholly-owned subsidiary, Universal Electronics BV.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Second Amended Credit Agreement, we pay interest on the U.S. Credit Line based on the Secured Overnight Financing Rate ("SOFR") plus a 3.00% margin. The amendment also contains a facility fee of 0.25%. The interest rate in effect at March 31, 2025 and December 31, 2024 was 7.31%.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Amended Credit Agreement includes financial covenants and contains other customary affirmative and negative covenants and events of default. Subsequent to December 31, 2024, our covenants are based upon a minimum fixed charge coverage ratio and a maximum cash flow leverage ratio. We were in compliance with the covenants and conditions of the Second Amended Credit Agreement at March 31,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we had $20.0 million and $26.0 million outstanding under the U.S. Credit Line, respectively. At March 31, 2025, our remaining availability under our U.S. Credit Line was $36.1 million. Our total interest expense on borrowings under the U.S. Credit Line was $0.6 million and $1.3 million during the three months ended March 31, 2025 and 2024, respectively. Our total facility fee expense under the U.S. Credit Line was immaterial during the three months ended March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China 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2024, our subsidiary, Gemstar Technology (Yangzhou) Co. Ltd. ("GTY"), executed a Line of Credit Agreement (the "Line of Credit Agreement") with the Bank of China, which provides for a revolving line of credit ("China Credit Line") through July 24, 2025. We expect to renew our Line of Credit Agreement with the Bank of China prior to its expiration; however, no assurance can be given that future financing will be available or, if available, that we will be offered terms satisfactory to us. The China Credit Line may be used for working capital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China Credit Line has a maximum availability up to RMB 80.0 million (approximately $11.0 million), subject to meeting certain financial conditions.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available for borrowing under the China Credit Line are reduced by the balance of any outstanding letters of credit, of which there were none at March 31, 2025 and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obligations under the China Credit Line are secured by GTY's buildings and land use rights.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Line of Credit Agreement, we pay interest on the China Credit Line based on the one-year rate from the National Interbank Funding Center less a 0.1% margin. There are no associated commitment fees on the China Credit Line. The interest rate in effect at March 31, 2025 and December 31, 2024 was 3.07%.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Line of Credit Agreement includes financial covenants and contains other customary affirmative and negative covenants and events of default. Our covenants are based on a debt to asset ratio and a dividends paid to net income ratio. We were in compliance with the covenants and conditions of the Line of Credit Agreement at and during the three months ended March 31,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we had RMB 80.0 million (approximately $11.0 million) outstanding under the China Credit Line. At March 31, 2025, we had no remaining availability under our China Credit Line. Our total interest expense on borrowings under the China Credit Line was RMB 0.6 million (approximately $0.1 million) during the three months ended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income tax expense of $2.2 million and $0.7 million for the three months ended March 31, 2025 and 2024,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Company's effective tax rate and the 21.0% U.S. federal statutory rate for the three months ended March 31, 2025 primarily related to the mix of pre-tax income and loss among jurisdictions and permanent tax items, including a tax on global intangible low-taxed income. The Company's income tax provision can be affected by other factors, including changes in the tax laws and regulations in the jurisdictions in which we operate, changes in the valuation allowances on deferred tax assets, and other discrete items.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At December 31, 2024, we had a three-year cumulative operating loss for our U.S. operations and have accordingly provided a full valuation allowance on our U.S. federal and state deferred tax assets. During the three months ended March 31, 2025, there was no change to our U.S. valuation allowance position.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we had gross unrecognized tax benefits of $3.7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U.S.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classify interest and penalties as a component of tax expense. Accrued interest and penalties are immaterial at March 31, 2025 and December 31, 2024 and are included in the unrecognized tax benefits.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 Accrued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accrued compensation were as follows:</w:t>
      </w:r>
    </w:p>
    <w:tbl>
      <w:tblPr>
        <w:tblW w:w="5561" w:type="dxa"/>
        <w:jc w:val="left"/>
        <w:tblInd w:w="0" w:type="dxa"/>
        <w:tblLayout w:type="fixed"/>
        <w:tblCellMar>
          <w:top w:w="28" w:type="dxa"/>
          <w:left w:w="28" w:type="dxa"/>
          <w:bottom w:w="28" w:type="dxa"/>
          <w:right w:w="28" w:type="dxa"/>
        </w:tblCellMar>
      </w:tblPr>
      <w:tblGrid>
        <w:gridCol w:w="878"/>
        <w:gridCol w:w="775"/>
        <w:gridCol w:w="776"/>
        <w:gridCol w:w="255"/>
        <w:gridCol w:w="873"/>
        <w:gridCol w:w="132"/>
        <w:gridCol w:w="109"/>
        <w:gridCol w:w="109"/>
        <w:gridCol w:w="109"/>
        <w:gridCol w:w="300"/>
        <w:gridCol w:w="1026"/>
        <w:gridCol w:w="219"/>
      </w:tblGrid>
      <w:tr>
        <w:trP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salary/wages </w:t>
            </w:r>
            <w:r>
              <w:rPr>
                <w:rFonts w:ascii="Times New Roman;sans-serif" w:hAnsi="Times New Roman;sans-serif"/>
                <w:b w:val="false"/>
                <w:color w:val="000000"/>
                <w:sz w:val="13"/>
              </w:rPr>
              <w:t>(1)</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social insurance </w:t>
            </w:r>
            <w:r>
              <w:rPr>
                <w:rFonts w:ascii="Times New Roman;sans-serif" w:hAnsi="Times New Roman;sans-serif"/>
                <w:b w:val="false"/>
                <w:color w:val="000000"/>
                <w:sz w:val="13"/>
              </w:rPr>
              <w:t>(2)</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vacation/holiday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compensation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compensation</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$0.3 million of accrued severance expenses at March 31, 2025 related to our Mexico manufacturing footprint optimization efforts. Includes $0.8 million and $0.1 million of accrued severance expenses at December 31, 2024 related to our Mexico and Asia manufacturing footprint optimization efforts, respectively. See Note 12 for further information related to our restructuring activities.</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2025 and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Other Accrued Liabilities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other accrued liabilities were as follows:</w:t>
      </w:r>
    </w:p>
    <w:tbl>
      <w:tblPr>
        <w:tblW w:w="7961" w:type="dxa"/>
        <w:jc w:val="left"/>
        <w:tblInd w:w="0" w:type="dxa"/>
        <w:tblLayout w:type="fixed"/>
        <w:tblCellMar>
          <w:top w:w="28" w:type="dxa"/>
          <w:left w:w="28" w:type="dxa"/>
          <w:bottom w:w="28" w:type="dxa"/>
          <w:right w:w="28" w:type="dxa"/>
        </w:tblCellMar>
      </w:tblPr>
      <w:tblGrid>
        <w:gridCol w:w="1746"/>
        <w:gridCol w:w="1540"/>
        <w:gridCol w:w="1543"/>
        <w:gridCol w:w="255"/>
        <w:gridCol w:w="873"/>
        <w:gridCol w:w="132"/>
        <w:gridCol w:w="109"/>
        <w:gridCol w:w="109"/>
        <w:gridCol w:w="109"/>
        <w:gridCol w:w="300"/>
        <w:gridCol w:w="1026"/>
        <w:gridCol w:w="219"/>
      </w:tblGrid>
      <w:tr>
        <w:trPr/>
        <w:tc>
          <w:tcPr>
            <w:tcW w:w="174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associated with fulfilled performance obligations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Freight and handling fees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Legal judgment </w:t>
            </w:r>
            <w:r>
              <w:rPr>
                <w:rFonts w:ascii="Times New Roman;sans-serif" w:hAnsi="Times New Roman;sans-serif"/>
                <w:b w:val="false"/>
                <w:color w:val="000000"/>
                <w:sz w:val="13"/>
              </w:rPr>
              <w:t>(1)</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 claims costs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value added taxes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(2)</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This amount relates to the judgment of a lawsuit with an employment agency in the PRC. See Note 12 for further information related to this matter.</w:t>
      </w:r>
    </w:p>
    <w:p>
      <w:pPr>
        <w:pStyle w:val="TextBody"/>
        <w:bidi w:val="0"/>
        <w:spacing w:lineRule="auto" w:line="288" w:before="10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$0.2 million and $0.1 million at March 31, 2025 and December 31, 2024, respectively, associated with the purchase of property, plant and equipment.</w:t>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Purchase Commitments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various inventory and property, plant and equipment related purchase agreements with suppliers. Certain of these agreements have provisions for a binding forecast (inventory) or non-cancellable purchase orders (inventory and PP&amp;E).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non-cancellable purchase commitments were as follows:</w:t>
      </w:r>
    </w:p>
    <w:p>
      <w:pPr>
        <w:pStyle w:val="TextBody"/>
        <w:bidi w:val="0"/>
        <w:spacing w:before="0" w:after="0"/>
        <w:jc w:val="both"/>
        <w:rPr/>
      </w:pPr>
      <w:r>
        <w:rPr/>
      </w:r>
    </w:p>
    <w:tbl>
      <w:tblPr>
        <w:tblW w:w="5951" w:type="dxa"/>
        <w:jc w:val="left"/>
        <w:tblInd w:w="0" w:type="dxa"/>
        <w:tblLayout w:type="fixed"/>
        <w:tblCellMar>
          <w:top w:w="28" w:type="dxa"/>
          <w:left w:w="28" w:type="dxa"/>
          <w:bottom w:w="28" w:type="dxa"/>
          <w:right w:w="28" w:type="dxa"/>
        </w:tblCellMar>
      </w:tblPr>
      <w:tblGrid>
        <w:gridCol w:w="1018"/>
        <w:gridCol w:w="897"/>
        <w:gridCol w:w="904"/>
        <w:gridCol w:w="255"/>
        <w:gridCol w:w="873"/>
        <w:gridCol w:w="132"/>
        <w:gridCol w:w="109"/>
        <w:gridCol w:w="109"/>
        <w:gridCol w:w="109"/>
        <w:gridCol w:w="300"/>
        <w:gridCol w:w="1026"/>
        <w:gridCol w:w="219"/>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purchase commitments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PP&amp;E purchase commitments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amounts are expected to be paid within the next twelve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liability for product warranty claims costs were as follows:</w:t>
      </w:r>
    </w:p>
    <w:tbl>
      <w:tblPr>
        <w:tblW w:w="6174" w:type="dxa"/>
        <w:jc w:val="left"/>
        <w:tblInd w:w="0" w:type="dxa"/>
        <w:tblLayout w:type="fixed"/>
        <w:tblCellMar>
          <w:top w:w="28" w:type="dxa"/>
          <w:left w:w="28" w:type="dxa"/>
          <w:bottom w:w="28" w:type="dxa"/>
          <w:right w:w="28" w:type="dxa"/>
        </w:tblCellMar>
      </w:tblPr>
      <w:tblGrid>
        <w:gridCol w:w="1350"/>
        <w:gridCol w:w="1191"/>
        <w:gridCol w:w="1194"/>
        <w:gridCol w:w="280"/>
        <w:gridCol w:w="480"/>
        <w:gridCol w:w="144"/>
        <w:gridCol w:w="144"/>
        <w:gridCol w:w="144"/>
        <w:gridCol w:w="144"/>
        <w:gridCol w:w="280"/>
        <w:gridCol w:w="619"/>
        <w:gridCol w:w="204"/>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(reductions) to costs and expenses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(in cash or in kind)</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Activities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our plan to restructure and optimize our manufacturing footprint while reducing our concentration risk in the PRC, we stopped all production activities and began to shut down our southwestern China factory beginning in the third quarter of 2023. In addition, during the fourth quarter of 2024, we stopped production activities and shut down one of our eastern PRC factories. We incurred no severance or other exit costs during the three months ended March 31, 2025 and $0.1 million of severance and $0.1 million of other exit costs for the three months ended March 31, 2024. These costs are included within factory restructuring charges on our consolidated statements of operations. We have recognized a total of $4.6 million in factory restructuring charges since September 2023. This factory restructuring was completed in the fourth quarter of 2024 and we do not expect any further expenses associated with this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Mexico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plan to restructure and optimize our factory footprint, we have worked to downsize our factory in Mexico due to decreased demand in the U.S. market and our Vietnam facility's ability to supply our North American customers. We have leased a smaller facility and reduced our factory headcount during the three months ended March 31, 2024. We incurred no severance or other exit costs during the three months ended March 31, 2025 and $0.5 million of severance and $0.4 million of other exit costs during the three months ended March 31, 2024. These costs are included within factory restructuring charges on our consolidated statements of operations. We have recognized a total of $3.0 million in factory restructuring charges since January 2024. This factory restructuring is scheduled to be completed in the second quarter of 2025 and we do not expect any further expenses associated with this plan.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liabilities are included in accrued compensation, accounts payable and other accrued liabilities on our consolidated balance sheets. Total restructuring activities for the three months ended March 31, 2025 are as follows: </w:t>
      </w:r>
    </w:p>
    <w:p>
      <w:pPr>
        <w:pStyle w:val="TextBody"/>
        <w:bidi w:val="0"/>
        <w:spacing w:before="0" w:after="0"/>
        <w:jc w:val="both"/>
        <w:rPr/>
      </w:pPr>
      <w:r>
        <w:rPr/>
      </w:r>
    </w:p>
    <w:tbl>
      <w:tblPr>
        <w:tblW w:w="9342" w:type="dxa"/>
        <w:jc w:val="left"/>
        <w:tblInd w:w="0" w:type="dxa"/>
        <w:tblLayout w:type="fixed"/>
        <w:tblCellMar>
          <w:top w:w="28" w:type="dxa"/>
          <w:left w:w="28" w:type="dxa"/>
          <w:bottom w:w="28" w:type="dxa"/>
          <w:right w:w="28" w:type="dxa"/>
        </w:tblCellMar>
      </w:tblPr>
      <w:tblGrid>
        <w:gridCol w:w="2109"/>
        <w:gridCol w:w="1860"/>
        <w:gridCol w:w="1866"/>
        <w:gridCol w:w="211"/>
        <w:gridCol w:w="616"/>
        <w:gridCol w:w="109"/>
        <w:gridCol w:w="109"/>
        <w:gridCol w:w="109"/>
        <w:gridCol w:w="109"/>
        <w:gridCol w:w="211"/>
        <w:gridCol w:w="616"/>
        <w:gridCol w:w="109"/>
        <w:gridCol w:w="109"/>
        <w:gridCol w:w="109"/>
        <w:gridCol w:w="109"/>
        <w:gridCol w:w="211"/>
        <w:gridCol w:w="616"/>
        <w:gridCol w:w="154"/>
      </w:tblGrid>
      <w:tr>
        <w:trPr/>
        <w:tc>
          <w:tcPr>
            <w:tcW w:w="210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Exit</w:t>
              <w:br/>
              <w:t>Expense</w:t>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 inception to date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remaining expected expense to be incurred as of March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Roku Matters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UEI and Roku Inc. ("Roku") and certain of its customers have been in litigation in various forums since 2018—i.e., two actions in the Central District of California ("CDCA") beginning in 2018 and 2020 including related cases against certain of Roku's customers (collectively, the "CDCA cases"), the International Trade Commission ("ITC"), the Patent and Trademark Office ("PTO") (</w:t>
      </w:r>
      <w:r>
        <w:rPr>
          <w:rFonts w:ascii="Times New Roman;sans-serif" w:hAnsi="Times New Roman;sans-serif"/>
          <w:b w:val="false"/>
          <w:i/>
          <w:color w:val="000000"/>
          <w:sz w:val="20"/>
        </w:rPr>
        <w:t xml:space="preserve">ex parte </w:t>
      </w:r>
      <w:r>
        <w:rPr>
          <w:rFonts w:ascii="Times New Roman;sans-serif" w:hAnsi="Times New Roman;sans-serif"/>
          <w:b w:val="false"/>
          <w:color w:val="000000"/>
          <w:sz w:val="20"/>
        </w:rPr>
        <w:t xml:space="preserve">reexams) and the Patent and Trademark Appeals Board ("PTAB"). The CDCA cases have all been stayed on various grounds since 2019. The 2018 case was stayed in November 2019 pending resolution of Roku initiated PTO and PTAB matters, all of which have since been resolved.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2020 case was also immediately stayed due to UEI's related ITC action against Roku, in which UEI ultimately prevailed when on July 9, 2021, the Administrative Law Judge ("ALJ") issued an initial determination finding Roku in violation of Section 337. The Commission issued a final determination on November 10, 2021, affirming the ALJ’s finding. The Commission then issued a limited exclusion order and cease and desist order against Roku, which went into effect following the expiration of the Presidential Review Period on January 9, 2022. The Federal Circuit affirmed on January 19, 2024. Following UEI's win and affirmance by the Federal Circuit, Roku sought rehearing </w:t>
      </w:r>
      <w:r>
        <w:rPr>
          <w:rFonts w:ascii="Times New Roman;sans-serif" w:hAnsi="Times New Roman;sans-serif"/>
          <w:b w:val="false"/>
          <w:i/>
          <w:color w:val="000000"/>
          <w:sz w:val="20"/>
        </w:rPr>
        <w:t>en banc</w:t>
      </w:r>
      <w:r>
        <w:rPr>
          <w:color w:val="000000"/>
        </w:rPr>
        <w:t xml:space="preserve"> </w:t>
      </w:r>
      <w:r>
        <w:rPr>
          <w:rFonts w:ascii="Times New Roman;sans-serif" w:hAnsi="Times New Roman;sans-serif"/>
          <w:b w:val="false"/>
          <w:color w:val="000000"/>
          <w:sz w:val="20"/>
        </w:rPr>
        <w:t xml:space="preserve">and sought cert from the Supreme Court on a domestic industry question. On January 13, 2025, the Supreme Court denied cert.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this ITC matter has been finally resolved and Roku has no more ability to appeal, we have agreed to continue the stay of the CDCA cases pending the outcome of one final PTAB action involving one of our patents, which we expect to occur in the first half of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Roku also filed its own retaliatory ITC action against UEI and certain of our customers on two patents it purchased for this purpose. Roku’s action failed when on June 24, 2022, the ALJ found on of Roku’s patents to be invalid as indefinite. Thereafter, on June 28, 2022, the ALJ issued its initial determination ("ID") fully exonerating us and our customers finding Roku’s second patent invalid and that Roku failed to establish the requisite domestic industry and thus no violation of the Tariff Act. Roku and we filed petitions to appeal certain portions of the ID. On October 28, 2022, the full ITC issued its final determination affirming the ID, ruling there was no violation of the Tariff Act and terminated the investigation. In December 2022, Roku filed an appeal and oral argument has been set for May 9, 2025. We expect a decision in late 2025 or early 2026. Further, on October 23, 2023, the PTBA issued its Final Written Decision invalidating all of the claims Roku alleges we infringe. Roku also filed an appeal of this decision. Oral argument has been set for May 9, 2025 and we expect a decision in late 2025 or early 2026. As a companion to its ITC request, on April 8, 2021, Roku also filed a lawsuit against us in Federal CDCA alleging that we are infringing the same two patents they alleged being infringed in the ITC investigation explained above. This District Court case has been stayed pending their ITC case, and will likely continue to be stayed pending the conclusion of Roku's appeal of their ITC case.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Court of International Trade Action against the United States of America, et. al.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the PRC under Lists 3 and 4A.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8, 2025, the U.S. Court of Appeals for the Federal Circuit ("USCAFC") heard oral arguments on the appeal by the lead plaintiff from the Court of International Trade's ("CIT") March 17, 2023 decision in which the CIT sustained the List 3 and List 4 tariffs, concluding that USTR's rationale in support of the tariffs was not impermissibly post hoc. A decision from the USCAFC is expected by the end of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Tongshun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23, 2024, Tongshun Company ("TS") filed suit against one of our subsidiaries, Gemstar Technology (Yangzhou) Co. Ltd. ("GTY"), claiming among other things, breach of an employment agency, and as is standard in Chinese litigation matters such as these, TS has also requested the Court to order a hold on GTY's bank account for the total claimed amount of RMB 35 million (approximately $4.8 million). On December 20, 2024, the Court rendered a decision in favor of TS and ordered a judgment of RMB 27.4 million (approximately $3.8 million) plus interest and costs totaling approximately RMB 30.4 million (approximately $4.2 million). We recorded an accrual for this judgment during the fourth quarter of 2024. This accrual is included in other accrued expenses on our consolidated balance sheets. We filed an appeal of this judgment. On February 11, 2025, the Jiangsu Province Yangzhou Intermediate People's Court heard oral argument in this appeal and we expect a decision during the first half of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 Convergence, Inc.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mid-2024, an arbitration proceeding commenced between UEI and IT Convergence, Inc. ("ITC"). ITC has alleged misappropriation of confidential information and theft of trade secrets. We have denied these claims and have filed a counterclaim asserting breach of contract. Fact discovery, including document production and depositions, has been completed. Opening briefs are scheduled for submission in early May 2025, with a pre-hearing conference set for July 2025. The arbitration hearing is scheduled to take place in early August 2025.</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Other Litigation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directors' and officers' liability insurance which insures our individual directors and officers against certain claims, as well as attorney's fees and related expenses incurred in connection with the defense of such claims.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Treasury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our Board of Directors authorizes management to repurchase shares of our issued and outstanding common stock. On October 26, 2023, our Board of Directors approved a share repurchase program with an effective date of November 7, 2023 (the "Share Repurchase Program"). Pursuant to this Share Repurchase Program, we are authorized to repurchase up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1,000,000 shares of our common stock and to date, we have repurchased 221,638 shares of our common stock. On May 6, 2025, our Board of Directors authorized management to continue to execute under the Share Repurchase Program. As a result, pursuant to this authorization, we may, from time to time, until August 6, 2025, repurchase up to the lesser of $4.0 million worth of our common stock or 778,362 shares (the total remaining number shares available for repurchase under the Share Repurchase Program) in privately negotiated and/or open-market transactions, including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repurchase shares of our issued and outstanding common stock to satisfy income tax withholding obligations relating to the stock-based compensation of our employees and directors and/or the cost of stock option exercises. </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Repurchased shares of our common stock were as follows: </w:t>
      </w:r>
    </w:p>
    <w:tbl>
      <w:tblPr>
        <w:tblW w:w="7497" w:type="dxa"/>
        <w:jc w:val="left"/>
        <w:tblInd w:w="0" w:type="dxa"/>
        <w:tblLayout w:type="fixed"/>
        <w:tblCellMar>
          <w:top w:w="28" w:type="dxa"/>
          <w:left w:w="28" w:type="dxa"/>
          <w:bottom w:w="28" w:type="dxa"/>
          <w:right w:w="28" w:type="dxa"/>
        </w:tblCellMar>
      </w:tblPr>
      <w:tblGrid>
        <w:gridCol w:w="1827"/>
        <w:gridCol w:w="1612"/>
        <w:gridCol w:w="1616"/>
        <w:gridCol w:w="246"/>
        <w:gridCol w:w="544"/>
        <w:gridCol w:w="127"/>
        <w:gridCol w:w="127"/>
        <w:gridCol w:w="127"/>
        <w:gridCol w:w="127"/>
        <w:gridCol w:w="246"/>
        <w:gridCol w:w="719"/>
        <w:gridCol w:w="179"/>
      </w:tblGrid>
      <w:tr>
        <w:trPr/>
        <w:tc>
          <w:tcPr>
            <w:tcW w:w="1827"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market shares repurchased</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shares repurchased</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repurchased</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open market shares repurchased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stock-based compensation related shares repurchased</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shares repurchased</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Repurchased shares are recorded as shares held in treasury at cost. We hold these shares for future use as management and the Board of Directors deem appropriate.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Stock-Based Compensation</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each employee and director is presented in the same statement of operations caption as their cash compensation. Stock-based compensation expense by statement of operations caption and the related income tax benefit were as follows:</w:t>
      </w:r>
    </w:p>
    <w:tbl>
      <w:tblPr>
        <w:tblW w:w="8189" w:type="dxa"/>
        <w:jc w:val="left"/>
        <w:tblInd w:w="0" w:type="dxa"/>
        <w:tblLayout w:type="fixed"/>
        <w:tblCellMar>
          <w:top w:w="28" w:type="dxa"/>
          <w:left w:w="28" w:type="dxa"/>
          <w:bottom w:w="28" w:type="dxa"/>
          <w:right w:w="28" w:type="dxa"/>
        </w:tblCellMar>
      </w:tblPr>
      <w:tblGrid>
        <w:gridCol w:w="1917"/>
        <w:gridCol w:w="1687"/>
        <w:gridCol w:w="1705"/>
        <w:gridCol w:w="230"/>
        <w:gridCol w:w="672"/>
        <w:gridCol w:w="119"/>
        <w:gridCol w:w="119"/>
        <w:gridCol w:w="119"/>
        <w:gridCol w:w="119"/>
        <w:gridCol w:w="230"/>
        <w:gridCol w:w="672"/>
        <w:gridCol w:w="119"/>
        <w:gridCol w:w="109"/>
        <w:gridCol w:w="109"/>
        <w:gridCol w:w="109"/>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Outside directors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employee and director stock-based compensation expense</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award activity was as follows:</w:t>
      </w:r>
    </w:p>
    <w:tbl>
      <w:tblPr>
        <w:tblW w:w="7539" w:type="dxa"/>
        <w:jc w:val="left"/>
        <w:tblInd w:w="0" w:type="dxa"/>
        <w:tblLayout w:type="fixed"/>
        <w:tblCellMar>
          <w:top w:w="28" w:type="dxa"/>
          <w:left w:w="28" w:type="dxa"/>
          <w:bottom w:w="28" w:type="dxa"/>
          <w:right w:w="28" w:type="dxa"/>
        </w:tblCellMar>
      </w:tblPr>
      <w:tblGrid>
        <w:gridCol w:w="1038"/>
        <w:gridCol w:w="912"/>
        <w:gridCol w:w="914"/>
        <w:gridCol w:w="374"/>
        <w:gridCol w:w="374"/>
        <w:gridCol w:w="376"/>
        <w:gridCol w:w="109"/>
        <w:gridCol w:w="109"/>
        <w:gridCol w:w="109"/>
        <w:gridCol w:w="693"/>
        <w:gridCol w:w="2023"/>
        <w:gridCol w:w="508"/>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2025</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expect to recognize $3.7 million of total unrecognized pre-tax stock-based compensation expense related to non-vested restricted stock awards over a weighted-average life of 1.5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Stock</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stock award activity was as follows:</w:t>
      </w:r>
    </w:p>
    <w:tbl>
      <w:tblPr>
        <w:tblW w:w="7540" w:type="dxa"/>
        <w:jc w:val="left"/>
        <w:tblInd w:w="0" w:type="dxa"/>
        <w:tblLayout w:type="fixed"/>
        <w:tblCellMar>
          <w:top w:w="28" w:type="dxa"/>
          <w:left w:w="28" w:type="dxa"/>
          <w:bottom w:w="28" w:type="dxa"/>
          <w:right w:w="28" w:type="dxa"/>
        </w:tblCellMar>
      </w:tblPr>
      <w:tblGrid>
        <w:gridCol w:w="1038"/>
        <w:gridCol w:w="912"/>
        <w:gridCol w:w="914"/>
        <w:gridCol w:w="374"/>
        <w:gridCol w:w="374"/>
        <w:gridCol w:w="376"/>
        <w:gridCol w:w="109"/>
        <w:gridCol w:w="109"/>
        <w:gridCol w:w="109"/>
        <w:gridCol w:w="776"/>
        <w:gridCol w:w="1881"/>
        <w:gridCol w:w="568"/>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2025</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we utilized in the Monte Carlo simulation model and the resulting weighted average fair value of performance stock grants were the following:</w:t>
      </w:r>
    </w:p>
    <w:tbl>
      <w:tblPr>
        <w:tblW w:w="6027" w:type="dxa"/>
        <w:jc w:val="left"/>
        <w:tblInd w:w="0" w:type="dxa"/>
        <w:tblLayout w:type="fixed"/>
        <w:tblCellMar>
          <w:top w:w="28" w:type="dxa"/>
          <w:left w:w="28" w:type="dxa"/>
          <w:bottom w:w="28" w:type="dxa"/>
          <w:right w:w="28" w:type="dxa"/>
        </w:tblCellMar>
      </w:tblPr>
      <w:tblGrid>
        <w:gridCol w:w="1142"/>
        <w:gridCol w:w="1001"/>
        <w:gridCol w:w="1007"/>
        <w:gridCol w:w="229"/>
        <w:gridCol w:w="441"/>
        <w:gridCol w:w="294"/>
        <w:gridCol w:w="118"/>
        <w:gridCol w:w="118"/>
        <w:gridCol w:w="118"/>
        <w:gridCol w:w="229"/>
        <w:gridCol w:w="555"/>
        <w:gridCol w:w="294"/>
        <w:gridCol w:w="109"/>
        <w:gridCol w:w="109"/>
        <w:gridCol w:w="109"/>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of grants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expect to recognize $0.3 million of total unrecognized pre-tax stock-based compensation expense related to non-vested performance stock awards over a weighted-average period of 1.6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2025, certain executives were granted 284,316 performance stock awards, in the aggregate, in connection with the 2024 annual review cycle. These awards vest only upon the satisfaction of a three-year service condition and market conditions based upon the price per share of our common stock. The fair value of these awards is $0.6 million, as determined by a Monte Carlo simulation model as of the grant date, and is expected to be recognized over a weighted-average period of 2.7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was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885"/>
        <w:gridCol w:w="777"/>
        <w:gridCol w:w="779"/>
        <w:gridCol w:w="368"/>
        <w:gridCol w:w="368"/>
        <w:gridCol w:w="369"/>
        <w:gridCol w:w="109"/>
        <w:gridCol w:w="109"/>
        <w:gridCol w:w="109"/>
        <w:gridCol w:w="430"/>
        <w:gridCol w:w="1259"/>
        <w:gridCol w:w="223"/>
        <w:gridCol w:w="109"/>
        <w:gridCol w:w="109"/>
        <w:gridCol w:w="109"/>
        <w:gridCol w:w="793"/>
        <w:gridCol w:w="793"/>
        <w:gridCol w:w="795"/>
        <w:gridCol w:w="109"/>
        <w:gridCol w:w="109"/>
        <w:gridCol w:w="109"/>
        <w:gridCol w:w="375"/>
        <w:gridCol w:w="725"/>
        <w:gridCol w:w="285"/>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br/>
              <w:t>(in thousands)</w:t>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Forfeited/canceled/expired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Outstanding at March 31, 2025</w:t>
            </w:r>
            <w:r>
              <w:rPr>
                <w:color w:val="000000"/>
              </w:rPr>
              <w:t xml:space="preserve"> </w:t>
            </w:r>
            <w:r>
              <w:rPr>
                <w:rFonts w:ascii="Times New Roman;sans-serif" w:hAnsi="Times New Roman;sans-serif"/>
                <w:b w:val="false"/>
                <w:color w:val="000000"/>
                <w:sz w:val="13"/>
              </w:rPr>
              <w:t>(1)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 and expected to vest at March 31, 2025</w:t>
            </w:r>
            <w:r>
              <w:rPr>
                <w:color w:val="000000"/>
              </w:rPr>
              <w:t xml:space="preserve"> </w:t>
            </w:r>
            <w:r>
              <w:rPr>
                <w:rFonts w:ascii="Times New Roman;sans-serif" w:hAnsi="Times New Roman;sans-serif"/>
                <w:b w:val="false"/>
                <w:color w:val="000000"/>
                <w:sz w:val="13"/>
              </w:rPr>
              <w:t>(1)</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3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Exercisable at March 31, 2025</w:t>
            </w:r>
            <w:r>
              <w:rPr>
                <w:color w:val="000000"/>
              </w:rPr>
              <w:t xml:space="preserve"> </w:t>
            </w:r>
            <w:r>
              <w:rPr>
                <w:rFonts w:ascii="Times New Roman;sans-serif" w:hAnsi="Times New Roman;sans-serif"/>
                <w:b w:val="false"/>
                <w:color w:val="000000"/>
                <w:sz w:val="13"/>
              </w:rPr>
              <w:t>(1)</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 aggregate intrinsic value represents the total pre-tax value (the difference between our closing stock price on the last trading day of the first quarter of 2025 and the exercise price, multiplied by the number of in-the-money options) that would have been received by the option holders had they all exercised their options on March 31, 2025. This amount will change based on the fair market value of our stock.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expect to recognize $0.6 million of total unrecognized pre-tax stock-based compensation expense related to non-vested stock options over a remaining weighted-average life of 0.4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 Other Income (Expense), Net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Central Bank of Argentina maintains certain currency controls that limit the amount of U.S. dollars that may be remitted from Argentine entities, including certain of our customers. As a result of these controls, an indirect foreign exchange mechanism known as a Blue Chip Swap ("BCS") emerged in Argentina, which allows entities to remit U.S. dollars from Argentina through the purchase and sale of BCS securities. During the three months ended March 31, 2025, in order to collect an open accounts receivable balance with an Argentine customer, we purchased and sold BCS securities of $1.3 million and $1.1 million, respectively, and incurred a loss on the transaction of $0.2 million, which is recorded in other income (expense) on our consolidated statements of operations. </w:t>
      </w:r>
    </w:p>
    <w:p>
      <w:pPr>
        <w:pStyle w:val="TextBody"/>
        <w:bidi w:val="0"/>
        <w:spacing w:before="0" w:after="60"/>
        <w:jc w:val="left"/>
        <w:rPr/>
      </w:pPr>
      <w:r>
        <w:rPr/>
      </w:r>
    </w:p>
    <w:p>
      <w:pPr>
        <w:pStyle w:val="TextBody"/>
        <w:bidi w:val="0"/>
        <w:spacing w:lineRule="auto" w:line="288" w:before="0" w:after="60"/>
        <w:jc w:val="left"/>
        <w:rPr/>
      </w:pPr>
      <w:r>
        <w:rPr>
          <w:rFonts w:ascii="Times New Roman;sans-serif" w:hAnsi="Times New Roman;sans-serif"/>
          <w:b w:val="false"/>
          <w:color w:val="000000"/>
          <w:sz w:val="20"/>
        </w:rPr>
        <w:t>Other income (expense), net consisted of the following:</w:t>
      </w:r>
      <w:r>
        <w:rPr>
          <w:color w:val="000000"/>
        </w:rPr>
        <w:t> </w:t>
      </w:r>
    </w:p>
    <w:tbl>
      <w:tblPr>
        <w:tblW w:w="7647" w:type="dxa"/>
        <w:jc w:val="left"/>
        <w:tblInd w:w="0" w:type="dxa"/>
        <w:tblLayout w:type="fixed"/>
        <w:tblCellMar>
          <w:top w:w="28" w:type="dxa"/>
          <w:left w:w="28" w:type="dxa"/>
          <w:bottom w:w="28" w:type="dxa"/>
          <w:right w:w="28" w:type="dxa"/>
        </w:tblCellMar>
      </w:tblPr>
      <w:tblGrid>
        <w:gridCol w:w="1724"/>
        <w:gridCol w:w="1521"/>
        <w:gridCol w:w="1525"/>
        <w:gridCol w:w="260"/>
        <w:gridCol w:w="668"/>
        <w:gridCol w:w="134"/>
        <w:gridCol w:w="134"/>
        <w:gridCol w:w="134"/>
        <w:gridCol w:w="134"/>
        <w:gridCol w:w="260"/>
        <w:gridCol w:w="538"/>
        <w:gridCol w:w="134"/>
        <w:gridCol w:w="109"/>
        <w:gridCol w:w="109"/>
        <w:gridCol w:w="109"/>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Net gain (loss) on foreign currency exchange contracts </w:t>
            </w:r>
            <w:r>
              <w:rPr>
                <w:rFonts w:ascii="Times New Roman;sans-serif" w:hAnsi="Times New Roman;sans-serif"/>
                <w:b w:val="false"/>
                <w:color w:val="000000"/>
                <w:sz w:val="13"/>
              </w:rPr>
              <w:t>(1)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foreign currency exchange transactions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income (expense)</w:t>
            </w:r>
            <w:r>
              <w:rPr>
                <w:color w:val="000000"/>
              </w:rPr>
              <w:t xml:space="preserve"> </w:t>
            </w:r>
            <w:r>
              <w:rPr>
                <w:rFonts w:ascii="Times New Roman;sans-serif" w:hAnsi="Times New Roman;sans-serif"/>
                <w:b w:val="false"/>
                <w:color w:val="000000"/>
                <w:sz w:val="13"/>
              </w:rPr>
              <w:t>(2)</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This represents the gains (losses) incurred on foreign currency hedging derivatives (see Note 17 for further details).</w:t>
      </w:r>
    </w:p>
    <w:p>
      <w:pPr>
        <w:pStyle w:val="TextBody"/>
        <w:bidi w:val="0"/>
        <w:spacing w:lineRule="auto" w:line="288" w:before="6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Included in this amount is $0.2 million of loss related to BCS security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 Earnings (Loss) Per Share</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was calculated as follows:</w:t>
      </w:r>
    </w:p>
    <w:tbl>
      <w:tblPr>
        <w:tblW w:w="9312" w:type="dxa"/>
        <w:jc w:val="left"/>
        <w:tblInd w:w="0" w:type="dxa"/>
        <w:tblLayout w:type="fixed"/>
        <w:tblCellMar>
          <w:top w:w="28" w:type="dxa"/>
          <w:left w:w="28" w:type="dxa"/>
          <w:bottom w:w="28" w:type="dxa"/>
          <w:right w:w="28" w:type="dxa"/>
        </w:tblCellMar>
      </w:tblPr>
      <w:tblGrid>
        <w:gridCol w:w="2330"/>
        <w:gridCol w:w="2048"/>
        <w:gridCol w:w="2056"/>
        <w:gridCol w:w="215"/>
        <w:gridCol w:w="706"/>
        <w:gridCol w:w="111"/>
        <w:gridCol w:w="111"/>
        <w:gridCol w:w="111"/>
        <w:gridCol w:w="111"/>
        <w:gridCol w:w="215"/>
        <w:gridCol w:w="706"/>
        <w:gridCol w:w="111"/>
        <w:gridCol w:w="109"/>
        <w:gridCol w:w="109"/>
        <w:gridCol w:w="109"/>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per-share amounts)</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9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13,083 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(loss) per share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for basic</w:t>
            </w:r>
          </w:p>
        </w:tc>
        <w:tc>
          <w:tcPr>
            <w:tcW w:w="9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13,083 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restricted stock, performance stock awards and stock options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on a diluted basis</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(loss) per share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number of stock options, shares of restricted stock and shares of performance stock were excluded from the computation of diluted earnings per common share as their inclusion would have been anti-dilutive: </w:t>
      </w:r>
    </w:p>
    <w:tbl>
      <w:tblPr>
        <w:tblW w:w="5079" w:type="dxa"/>
        <w:jc w:val="left"/>
        <w:tblInd w:w="0" w:type="dxa"/>
        <w:tblLayout w:type="fixed"/>
        <w:tblCellMar>
          <w:top w:w="28" w:type="dxa"/>
          <w:left w:w="28" w:type="dxa"/>
          <w:bottom w:w="28" w:type="dxa"/>
          <w:right w:w="28" w:type="dxa"/>
        </w:tblCellMar>
      </w:tblPr>
      <w:tblGrid>
        <w:gridCol w:w="797"/>
        <w:gridCol w:w="703"/>
        <w:gridCol w:w="704"/>
        <w:gridCol w:w="266"/>
        <w:gridCol w:w="266"/>
        <w:gridCol w:w="266"/>
        <w:gridCol w:w="266"/>
        <w:gridCol w:w="266"/>
        <w:gridCol w:w="266"/>
        <w:gridCol w:w="266"/>
        <w:gridCol w:w="266"/>
        <w:gridCol w:w="266"/>
        <w:gridCol w:w="109"/>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awards</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 Derivatives</w: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net fair value of derivatives:</w:t>
      </w:r>
    </w:p>
    <w:tbl>
      <w:tblPr>
        <w:tblW w:w="10205" w:type="dxa"/>
        <w:jc w:val="center"/>
        <w:tblInd w:w="0" w:type="dxa"/>
        <w:tblLayout w:type="fixed"/>
        <w:tblCellMar>
          <w:top w:w="28" w:type="dxa"/>
          <w:left w:w="28" w:type="dxa"/>
          <w:bottom w:w="28" w:type="dxa"/>
          <w:right w:w="28" w:type="dxa"/>
        </w:tblCellMar>
      </w:tblPr>
      <w:tblGrid>
        <w:gridCol w:w="501"/>
        <w:gridCol w:w="399"/>
        <w:gridCol w:w="400"/>
        <w:gridCol w:w="109"/>
        <w:gridCol w:w="109"/>
        <w:gridCol w:w="109"/>
        <w:gridCol w:w="211"/>
        <w:gridCol w:w="406"/>
        <w:gridCol w:w="109"/>
        <w:gridCol w:w="109"/>
        <w:gridCol w:w="109"/>
        <w:gridCol w:w="109"/>
        <w:gridCol w:w="211"/>
        <w:gridCol w:w="491"/>
        <w:gridCol w:w="109"/>
        <w:gridCol w:w="109"/>
        <w:gridCol w:w="109"/>
        <w:gridCol w:w="109"/>
        <w:gridCol w:w="211"/>
        <w:gridCol w:w="406"/>
        <w:gridCol w:w="109"/>
        <w:gridCol w:w="109"/>
        <w:gridCol w:w="109"/>
        <w:gridCol w:w="109"/>
        <w:gridCol w:w="222"/>
        <w:gridCol w:w="520"/>
        <w:gridCol w:w="114"/>
        <w:gridCol w:w="109"/>
        <w:gridCol w:w="109"/>
        <w:gridCol w:w="109"/>
        <w:gridCol w:w="211"/>
        <w:gridCol w:w="406"/>
        <w:gridCol w:w="109"/>
        <w:gridCol w:w="109"/>
        <w:gridCol w:w="109"/>
        <w:gridCol w:w="109"/>
        <w:gridCol w:w="211"/>
        <w:gridCol w:w="491"/>
        <w:gridCol w:w="109"/>
        <w:gridCol w:w="109"/>
        <w:gridCol w:w="109"/>
        <w:gridCol w:w="109"/>
        <w:gridCol w:w="211"/>
        <w:gridCol w:w="406"/>
        <w:gridCol w:w="109"/>
        <w:gridCol w:w="109"/>
        <w:gridCol w:w="109"/>
        <w:gridCol w:w="109"/>
        <w:gridCol w:w="221"/>
        <w:gridCol w:w="519"/>
        <w:gridCol w:w="167"/>
      </w:tblGrid>
      <w:tr>
        <w:trPr/>
        <w:tc>
          <w:tcPr>
            <w:tcW w:w="50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Balance</w:t>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held foreign currency exchange contracts, which resulted in a net pre-tax loss of $0.2 million and $20 thousand for the three months ended March 31, 2025 and 2024, respectively.</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Details of foreign currency exchange contracts held were as follows: </w:t>
      </w:r>
    </w:p>
    <w:tbl>
      <w:tblPr>
        <w:tblW w:w="10205" w:type="dxa"/>
        <w:jc w:val="left"/>
        <w:tblInd w:w="0" w:type="dxa"/>
        <w:tblLayout w:type="fixed"/>
        <w:tblCellMar>
          <w:top w:w="28" w:type="dxa"/>
          <w:left w:w="28" w:type="dxa"/>
          <w:bottom w:w="28" w:type="dxa"/>
          <w:right w:w="28" w:type="dxa"/>
        </w:tblCellMar>
      </w:tblPr>
      <w:tblGrid>
        <w:gridCol w:w="547"/>
        <w:gridCol w:w="375"/>
        <w:gridCol w:w="303"/>
        <w:gridCol w:w="109"/>
        <w:gridCol w:w="109"/>
        <w:gridCol w:w="109"/>
        <w:gridCol w:w="284"/>
        <w:gridCol w:w="284"/>
        <w:gridCol w:w="285"/>
        <w:gridCol w:w="109"/>
        <w:gridCol w:w="109"/>
        <w:gridCol w:w="109"/>
        <w:gridCol w:w="280"/>
        <w:gridCol w:w="280"/>
        <w:gridCol w:w="281"/>
        <w:gridCol w:w="109"/>
        <w:gridCol w:w="109"/>
        <w:gridCol w:w="109"/>
        <w:gridCol w:w="247"/>
        <w:gridCol w:w="599"/>
        <w:gridCol w:w="127"/>
        <w:gridCol w:w="109"/>
        <w:gridCol w:w="109"/>
        <w:gridCol w:w="109"/>
        <w:gridCol w:w="379"/>
        <w:gridCol w:w="356"/>
        <w:gridCol w:w="301"/>
        <w:gridCol w:w="109"/>
        <w:gridCol w:w="109"/>
        <w:gridCol w:w="109"/>
        <w:gridCol w:w="561"/>
        <w:gridCol w:w="1297"/>
        <w:gridCol w:w="291"/>
        <w:gridCol w:w="109"/>
        <w:gridCol w:w="109"/>
        <w:gridCol w:w="109"/>
        <w:gridCol w:w="339"/>
        <w:gridCol w:w="339"/>
        <w:gridCol w:w="488"/>
      </w:tblGrid>
      <w:tr>
        <w:trPr/>
        <w:tc>
          <w:tcPr>
            <w:tcW w:w="54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Forward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Unrealized Gain/(Loss) Recorded at Balance Sheet Date</w:t>
            </w:r>
          </w:p>
          <w:p>
            <w:pPr>
              <w:pStyle w:val="TableContents"/>
              <w:bidi w:val="0"/>
              <w:spacing w:lineRule="auto" w:line="240" w:before="0" w:after="0"/>
              <w:jc w:val="center"/>
              <w:rPr/>
            </w:pPr>
            <w:r>
              <w:rPr>
                <w:rFonts w:ascii="Times New Roman;sans-serif" w:hAnsi="Times New Roman;sans-serif"/>
                <w:b/>
                <w:color w:val="000000"/>
                <w:sz w:val="16"/>
              </w:rPr>
              <w:t>(in thousands)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 Date</w:t>
            </w:r>
          </w:p>
        </w:tc>
      </w:tr>
      <w:tr>
        <w:trPr/>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7.2219 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2025</w:t>
            </w:r>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2025</w:t>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2025</w:t>
            </w:r>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2025</w:t>
            </w:r>
          </w:p>
        </w:tc>
      </w:tr>
      <w:tr>
        <w:trPr/>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Unrealized gains on foreign currency exchange contracts are recorded in prepaid expenses and other current assets. Unrealized losses on foreign currency exchange contracts are recorded in other accrued liabilities.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 Reportable Segment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operating decision maker, our Chief Executive Officer, reviews financial information presented on a consolidated basis, including consolidated net income and its components, as reported on our consolidated statements of operations, accompanied by disaggregated information about revenues, for purposes of making operating decisions and assessing financial performance of our single consolidated segment, primarily by monitoring actual results versus our internal budget and forecasts.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reported segment revenue, segment profit or loss, and significant segment expenses were as follows:</w:t>
      </w:r>
    </w:p>
    <w:p>
      <w:pPr>
        <w:pStyle w:val="TextBody"/>
        <w:bidi w:val="0"/>
        <w:spacing w:before="0" w:after="0"/>
        <w:jc w:val="left"/>
        <w:rPr/>
      </w:pPr>
      <w:r>
        <w:rPr/>
      </w:r>
    </w:p>
    <w:tbl>
      <w:tblPr>
        <w:tblW w:w="7194" w:type="dxa"/>
        <w:jc w:val="left"/>
        <w:tblInd w:w="0" w:type="dxa"/>
        <w:tblLayout w:type="fixed"/>
        <w:tblCellMar>
          <w:top w:w="28" w:type="dxa"/>
          <w:left w:w="28" w:type="dxa"/>
          <w:bottom w:w="28" w:type="dxa"/>
          <w:right w:w="28" w:type="dxa"/>
        </w:tblCellMar>
      </w:tblPr>
      <w:tblGrid>
        <w:gridCol w:w="1553"/>
        <w:gridCol w:w="1370"/>
        <w:gridCol w:w="1381"/>
        <w:gridCol w:w="211"/>
        <w:gridCol w:w="721"/>
        <w:gridCol w:w="109"/>
        <w:gridCol w:w="109"/>
        <w:gridCol w:w="109"/>
        <w:gridCol w:w="109"/>
        <w:gridCol w:w="211"/>
        <w:gridCol w:w="721"/>
        <w:gridCol w:w="109"/>
        <w:gridCol w:w="109"/>
        <w:gridCol w:w="109"/>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Adjusted cost of sales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Adjusted research and development expenses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Adjusted operating expenses </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Cost of sales from the consolidated statements of operations, adjusted to exclude stock-based compensation expense.</w:t>
      </w:r>
    </w:p>
    <w:p>
      <w:pPr>
        <w:pStyle w:val="TextBody"/>
        <w:bidi w:val="0"/>
        <w:spacing w:lineRule="auto" w:line="288" w:before="6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R&amp;D expenses from the consolidated statements of operations, adjusted to exclude stock-based compensation expense.</w:t>
      </w:r>
    </w:p>
    <w:p>
      <w:pPr>
        <w:pStyle w:val="TextBody"/>
        <w:bidi w:val="0"/>
        <w:spacing w:lineRule="auto" w:line="288" w:before="60" w:after="283"/>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Operating expenses less R&amp;D expenses from the consolidated statements of operations, adjusted to exclude stock-based compensation, amortization of acquired intangible assets, costs associated with our Roku litigation, factory restructuring charges and severance.</w:t>
      </w:r>
    </w:p>
    <w:p>
      <w:pPr>
        <w:pStyle w:val="TextBody"/>
        <w:bidi w:val="0"/>
        <w:spacing w:lineRule="auto" w:line="288" w:before="60" w:after="283"/>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Other segment items include the adjustments described in the notes above; as well as interest income (expense), net; other income (expense), net; and provision for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 of segment assets is reported on our consolidated balance sheets as consolidated total assets. Long-lived assets by geographic area are disclosed in Note 5. The measure of revenues from external customers is reported on the consolidated statements of operations as net sales. Revenues by sales channel, geographic region and information about major customers are disclosed in Note 3. Depreciation expense is disclosed in Note 5. Amortization expense is disclosed in Note 6. Interest expense is disclosed in Note 8 and income taxes are disclosed in Note 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Consolidated Financial Statements and the related notes that appear elsewhere in this report.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supply chain issues; other future demand and recovery trends and expectations; the delay by or failure of our customers to order products from us; continued availability of cash through borrowing under our revolving lines of credit; the effects of natural or other events beyond our control, including the effects of political unrest, war, terrorist activities, other hostilities, or the outbreak of infectious diseases may have on us or the economy; the economic environments, including increases in interest rates and recessionary effects on us or our customers; the effects of doing business internationally, including expanded use of tariffs, pertaining to the importation of our products, particularly in light of the recent U.S. presidential administrative actions and the responsive retaliatory actions of foreign governments; our expectations regarding our ability to meet our liquidity requirements; our capital expenditures and other investment spending expectations;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2024 ("2024 Form 10-K"), Part II, Item 1A of this report, and other factors we describe from time to time in our periodic filings with the SEC.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design, develop, manufacture, ship and support climate control solutions, wireless sensor and smart home control products, home entertainment control products, technology and software solutions and audio-video ("AV") accessories, that are used by the world's leading brands in the climate control, security, home automation, home appliance, home entertainment and consumer electronics markets. Our channel offerings include:</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Connected home:</w:t>
      </w:r>
    </w:p>
    <w:p>
      <w:pPr>
        <w:pStyle w:val="TextBody"/>
        <w:bidi w:val="0"/>
        <w:spacing w:lineRule="auto" w:line="288" w:before="0" w:after="60"/>
        <w:ind w:left="0" w:right="0" w:hanging="360"/>
        <w:jc w:val="both"/>
        <w:rPr/>
      </w:pPr>
      <w:r>
        <w:rPr>
          <w:color w:val="000000"/>
        </w:rPr>
        <w:t>•</w:t>
      </w:r>
      <w:r>
        <w:rPr>
          <w:rFonts w:ascii="Times New Roman;sans-serif" w:hAnsi="Times New Roman;sans-serif"/>
          <w:b/>
          <w:color w:val="000000"/>
          <w:sz w:val="20"/>
        </w:rPr>
        <w:t>Climate Control Solutions:</w:t>
      </w:r>
      <w:r>
        <w:rPr>
          <w:color w:val="000000"/>
        </w:rPr>
        <w:t xml:space="preserve"> </w:t>
      </w:r>
      <w:r>
        <w:rPr>
          <w:rFonts w:ascii="Times New Roman;sans-serif" w:hAnsi="Times New Roman;sans-serif"/>
          <w:b w:val="false"/>
          <w:color w:val="000000"/>
          <w:sz w:val="20"/>
        </w:rPr>
        <w:t>Our innovative climate control solutions include wireless and wired controllers, smart thermostats and connected peripherals for sensing and smart energy management. These products are primarily sold to original equipment manufacturer ("OEM") customers, as well as hotels, utilities and system integrators. Our UEI TIDE Family of Climate Control solutions feature advanced technologies such as Wi-Fi, BLE, Zigbee and Matter, and connect to sensors for temperature, humidity, proximity, occupancy and carbon dioxide sensing.</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Smart Home and Security Products:</w:t>
      </w:r>
      <w:r>
        <w:rPr>
          <w:color w:val="000000"/>
        </w:rPr>
        <w:t xml:space="preserve"> </w:t>
      </w:r>
      <w:r>
        <w:rPr>
          <w:rFonts w:ascii="Times New Roman;sans-serif" w:hAnsi="Times New Roman;sans-serif"/>
          <w:b w:val="false"/>
          <w:color w:val="000000"/>
          <w:sz w:val="20"/>
        </w:rPr>
        <w:t xml:space="preserve">We offer proprietary and standards-based radio frequency ("RF") wireless remote controls and sensors designed for residential security, safety and a broad variety of home automation applications, such as smart lighting and motorized shades.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entertainment: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color w:val="000000"/>
          <w:sz w:val="20"/>
        </w:rPr>
        <w:t>Home Entertainment Products:</w:t>
      </w:r>
      <w:r>
        <w:rPr>
          <w:color w:val="000000"/>
        </w:rPr>
        <w:t xml:space="preserve"> </w:t>
      </w:r>
      <w:r>
        <w:rPr>
          <w:rFonts w:ascii="Times New Roman;sans-serif" w:hAnsi="Times New Roman;sans-serif"/>
          <w:b w:val="false"/>
          <w:color w:val="000000"/>
          <w:sz w:val="20"/>
        </w:rPr>
        <w:t>Our industry-leading portfolio includes RF-capable, voice-enabled universal remote control products; low-power RF and energy-harvesting microcontrollers, as well as embedded and Cloud software for AV and Smart Home device and content discovery and control. These solutions are sold primarily to video service providers and consumer electronics OEMs. We also distribute a broad portfolio of replacement remote controls, powerful free-to-air antennae and television and soundbar wall mounts direct to retailers worldwide under the One For All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ans-serif" w:hAnsi="Times New Roman;sans-serif"/>
          <w:b/>
          <w:color w:val="000000"/>
          <w:sz w:val="20"/>
        </w:rPr>
        <w:t>Software and Cloud Services:</w:t>
      </w:r>
      <w:r>
        <w:rPr>
          <w:color w:val="000000"/>
        </w:rPr>
        <w:t xml:space="preserve"> </w:t>
      </w:r>
      <w:r>
        <w:rPr>
          <w:rFonts w:ascii="Times New Roman;sans-serif" w:hAnsi="Times New Roman;sans-serif"/>
          <w:b w:val="false"/>
          <w:color w:val="000000"/>
          <w:sz w:val="20"/>
        </w:rPr>
        <w:t>Our software, firmware and technology solutions enable devices such as smart TVs, hybrid set-top boxes, game consoles and other consumer electronic and smart home devices to wirelessly connect and interoperate on the home network. These solutions support control and delivery of home entertainment application services and content, smart home services and device or system information. New features include private, on-premise user presence and occupancy detection to enhance user experiences and extend user engagement on connected devices.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Intellectual Property and Licensing:</w:t>
      </w:r>
      <w:r>
        <w:rPr>
          <w:color w:val="000000"/>
        </w:rPr>
        <w:t xml:space="preserve"> </w:t>
      </w:r>
      <w:r>
        <w:rPr>
          <w:rFonts w:ascii="Times New Roman;sans-serif" w:hAnsi="Times New Roman;sans-serif"/>
          <w:b w:val="false"/>
          <w:color w:val="000000"/>
          <w:sz w:val="20"/>
        </w:rPr>
        <w:t>We license our intellectual property primarily to OEMs and video service providers. Our cloud-enabled software provides reliable firmware update provisioning and digital rights management validation services to major consumer electronics brands. We offer regular control library database and software updates to our licensing customers to ensure their systems are compatible with the latest devices entering the home. Our integrated circuits, on which our software and universal control database is embedded, are sold primarily to OEMs, video service providers, smart home dealers and private label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as one business segment. We have 24 international subsidiaries located in Brazil, British Virgin Islands, France, Germany, Hong Kong (3), India, Italy, Japan, Korea, Mexico (2), the Netherlands, People's Republic of China (the "PRC") (6), Singapore, Spain, United Kingdom and Vietnam.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recap our results for the three months ended March 31,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Net sales increased 0.5% to $92.3 million for the three months ended March 31, 2025 from $91.9 million for the three months ended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gross margin percentage remained consistent at 28.3% for the three months ended March 31, 2025 and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Operating expenses, as a percentage of net sales, decreased to 32.3% for the three months ended March 31, 2025 from 35.8% for the three months ended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operating loss was $3.8 million for the three months ended March 31, 2025 compared to $6.9 million for the three months ended March 31, 2024. Our operating loss percentage was 4.1% for the three months ended March 31, 2025 compared to 7.5% for the three months ended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Income tax expense was $2.2 million for the three months ended March 31, 2025 compared to $0.7 million for the three months ended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strategic business objectives for 2025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Build long-term (3-5 year) revenue pipeline by engaging with industry leading brands and securing new and continued product design wins with major HVAC OEMs in North America, Europe and Asia Pacific;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Commercially deploy the UEI TIDE family of products in multiple dwelling unit and utility channels and leverage initial deployments to validate, and promote, turnkey solutions to address industry need;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Build a footprint in broadband gateway platforms with expanded QuickSet Cloud software offerings;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 QuickSet Cloud software penetration in the TV OS market through development and commercial deployment of QuickSet features such as content personalization, privacy-first presence detection and monitoring;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 AI-powered cloud services, and on-device AI developments to generate opportunities for recurring revenue streams in software licensing;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Position UEI as the development partner of choice in smart thermostat control through innovation and next generation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Launch new product categories in direct-to-consumer channel and build a growth revenue business with sustainable gross margins;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 our technology offerings and development capabilities in new standards such as WiFi6, Thread, Matter and Z-Wave Long Range;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Seek potential acquisitions or strategic partners that complement and strengthen our existing commercial footprint, add new capabilities, and offer strong synergies;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Manage our long-term global manufacturing footprint by optimizing internal investments and seeking external manufacturing partnerships where appropriate.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Macroeconomic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negatively impacted and we expect to continue to be negatively impacted by adverse macroeconomic conditions, including new tariffs imposed or to be imposed on goods manufactured in Vietnam, Taiwan, the PRC, and Mexico, and reduced consumer spending on durable goods. Economic tensions and changes in international trade policies, including the recent widespread tariffs announced by the U.S. on its major trading partners, higher tariffs on imported goods, actions taken in response (such as retaliatory tariffs or other trade protectionist measures or the renegotiation of free trade agreements), could also further impact the global market for our products. The full impact of these governmental actions on macroeconomic conditions and on our business is uncertain and difficult to predict and may result in lower sales and/or cost increases, which would negatively impact our gross margins and overall financial results. Management will continue to seek ways to lessen the impact these pressures may have on our margins and financial results; however, these mitigation efforts may not be successful and these pressures may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and income taxes. Actual results may differ from these judgments and estimates, and they may be adjusted as more information becomes available. Any adjustment may be significant and may have a material impact on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2025 to the items that we disclosed as our critical accounting policies and estimates in Item 7, "Management's Discussion and Analysis of Financial Condition and Results of Operations" contained in our 2024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contained in the "Notes to Consolidated Financial Statements" for a discussion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reported results of operations expressed as a percentage of net sales for the periods indicated.</w:t>
      </w:r>
    </w:p>
    <w:tbl>
      <w:tblPr>
        <w:tblW w:w="7269" w:type="dxa"/>
        <w:jc w:val="left"/>
        <w:tblInd w:w="0" w:type="dxa"/>
        <w:tblLayout w:type="fixed"/>
        <w:tblCellMar>
          <w:top w:w="28" w:type="dxa"/>
          <w:left w:w="28" w:type="dxa"/>
          <w:bottom w:w="28" w:type="dxa"/>
          <w:right w:w="28" w:type="dxa"/>
        </w:tblCellMar>
      </w:tblPr>
      <w:tblGrid>
        <w:gridCol w:w="1630"/>
        <w:gridCol w:w="1158"/>
        <w:gridCol w:w="1172"/>
        <w:gridCol w:w="308"/>
        <w:gridCol w:w="308"/>
        <w:gridCol w:w="498"/>
        <w:gridCol w:w="200"/>
        <w:gridCol w:w="200"/>
        <w:gridCol w:w="200"/>
        <w:gridCol w:w="308"/>
        <w:gridCol w:w="308"/>
        <w:gridCol w:w="498"/>
        <w:gridCol w:w="109"/>
        <w:gridCol w:w="109"/>
        <w:gridCol w:w="109"/>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Factory restructuring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2025 versus Three Months Ended March 31, 2024</w:t>
      </w:r>
    </w:p>
    <w:p>
      <w:pPr>
        <w:pStyle w:val="TextBody"/>
        <w:bidi w:val="0"/>
        <w:spacing w:lineRule="auto" w:line="288" w:before="0" w:after="60"/>
        <w:jc w:val="both"/>
        <w:rPr/>
      </w:pPr>
      <w:r>
        <w:rPr>
          <w:rFonts w:ascii="Times New Roman;sans-serif" w:hAnsi="Times New Roman;sans-serif"/>
          <w:b w:val="false"/>
          <w:i/>
          <w:color w:val="000000"/>
          <w:sz w:val="20"/>
        </w:rPr>
        <w:t xml:space="preserve">Net sales. </w:t>
      </w:r>
      <w:r>
        <w:rPr>
          <w:rFonts w:ascii="Times New Roman;sans-serif" w:hAnsi="Times New Roman;sans-serif"/>
          <w:b w:val="false"/>
          <w:color w:val="000000"/>
          <w:sz w:val="20"/>
        </w:rPr>
        <w:t>Net sales for the three months ended March 31, 2025 were $92.3 million compared to $91.9 million for the three months ended March 31, 2024. Net sales by channel were as follows:</w:t>
      </w:r>
    </w:p>
    <w:tbl>
      <w:tblPr>
        <w:tblW w:w="4223" w:type="dxa"/>
        <w:jc w:val="left"/>
        <w:tblInd w:w="0" w:type="dxa"/>
        <w:tblLayout w:type="fixed"/>
        <w:tblCellMar>
          <w:top w:w="28" w:type="dxa"/>
          <w:left w:w="28" w:type="dxa"/>
          <w:bottom w:w="28" w:type="dxa"/>
          <w:right w:w="28" w:type="dxa"/>
        </w:tblCellMar>
      </w:tblPr>
      <w:tblGrid>
        <w:gridCol w:w="640"/>
        <w:gridCol w:w="564"/>
        <w:gridCol w:w="565"/>
        <w:gridCol w:w="211"/>
        <w:gridCol w:w="721"/>
        <w:gridCol w:w="109"/>
        <w:gridCol w:w="109"/>
        <w:gridCol w:w="109"/>
        <w:gridCol w:w="109"/>
        <w:gridCol w:w="211"/>
        <w:gridCol w:w="72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Connected 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entertainment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sales in connected home were $31.7 million for the three months ended March 31, 2025 compared to $24.2 million for the three months ended March 31, 2024. This growth is driven primarily by shipments to large climate control and home automation customers relating to projects won over the past couple of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sales in home entertainment were $60.6 million for the three months ended March 31, 2025 compared to $67.7 million for the three months ended March 31, 2024. The sales decrease in the home entertainment channel is due primarily to lower demand for subscription broadcasting products. While we are seeing signs of stabilization with the majority of our customers in North America and EMEA, we are experiencing lower demand for our basic remotes in Latin America.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for the three months ended March 31, 2025 was $26.1 million compared to $26.0 million for the three months ended March 31, 2024. Gross profit as a percentage of sales was consistent at 28.3% for the three months ended March 31, 2025 and March 31, 2024. A stronger U.S. dollar resulted in a 70 basis point improvement, offset by an unfavorable product mix.</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Research and development ("R&amp;D") expenses. </w:t>
      </w:r>
      <w:r>
        <w:rPr>
          <w:rFonts w:ascii="Times New Roman;sans-serif" w:hAnsi="Times New Roman;sans-serif"/>
          <w:b w:val="false"/>
          <w:color w:val="000000"/>
          <w:sz w:val="20"/>
        </w:rPr>
        <w:t>R&amp;D expenses decreased to $7.2 million for the three months ended March 31, 2025 from $7.8 million for the three months ended March 31, 2024 due primarily to reduced third-party product development costs and a reduction in headcount.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Selling, general and administrative ("SG&amp;A") expenses.</w:t>
      </w:r>
      <w:r>
        <w:rPr>
          <w:color w:val="000000"/>
        </w:rPr>
        <w:t xml:space="preserve"> </w:t>
      </w:r>
      <w:r>
        <w:rPr>
          <w:rFonts w:ascii="Times New Roman;sans-serif" w:hAnsi="Times New Roman;sans-serif"/>
          <w:b w:val="false"/>
          <w:color w:val="000000"/>
          <w:sz w:val="20"/>
        </w:rPr>
        <w:t>SG&amp;A expenses decreased to $22.6 million for the three months ended March 31, 2025 from $24.0 million for the three months ended March 31, 2024, due primarily to a decrease in professional services costs of $0.6 million, a stronger U.S. dollar resulting in $0.5 million of savings, and a decrease of $0.3 million in payroll and benefits due to a reduction in headcount.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Factory restructuring charges. </w:t>
      </w:r>
      <w:r>
        <w:rPr>
          <w:rFonts w:ascii="Times New Roman;sans-serif" w:hAnsi="Times New Roman;sans-serif"/>
          <w:b w:val="false"/>
          <w:color w:val="000000"/>
          <w:sz w:val="20"/>
        </w:rPr>
        <w:t>During the three months ended March 31, 2024, we recorded $1.1 million in expense, which included severance and moving costs associated with the closure of our southern China factory and the streamlining of our factory in Mexico.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Interest income (expense), net. </w:t>
      </w:r>
      <w:r>
        <w:rPr>
          <w:rFonts w:ascii="Times New Roman;sans-serif" w:hAnsi="Times New Roman;sans-serif"/>
          <w:b w:val="false"/>
          <w:color w:val="000000"/>
          <w:sz w:val="20"/>
        </w:rPr>
        <w:t>Interest expense, net decreased to $0.4 million for the three months ended March 31, 2025 from $0.9 million for the three months ended March 31, 2024, as a result of a lower average loan balance and lower interest rates.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Other income, net was $0.1 million for the three months ended March 31, 2025 compared to other expense, net $0.1 million for the three months ended March 31, 2024. The improvement was primarily due to a reduction in net foreign currency losses.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 xml:space="preserve">Income tax expense was $2.2 million for the three months ended March 31, 2025, relative to a pre-tax loss of $4.1 million, compared to income tax expense of $0.7 million for the three months ended March 31, 2024, relative to a pre-tax loss of $7.9 million. Consistent with 2024, we expect the U.S. to be in a pre-tax loss position without benefit for the full year 2025, resulting in an elevated effective tax 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utilized cash provided from operations as our primary source of liquidity, as internally generated cash flows have typically been sufficient to support our business operations, capital expenditures and discretionary share repurchases. When needed, we have utilized our revolving lines of credit to fund operations, share repurchases and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continue to utilize both cash flows from operations and our revolving lines of credit to support ongoing business operations, capital expenditures, discretionary share repurchases and potential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lines of credit or take on additional debt until we are able to transfer cash among our various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is subject to various risks including the risks discussed under "Item 3. Quantitative and Qualitative Disclosures about Market Risk." </w:t>
      </w:r>
    </w:p>
    <w:p>
      <w:pPr>
        <w:pStyle w:val="TextBody"/>
        <w:bidi w:val="0"/>
        <w:spacing w:before="0" w:after="0"/>
        <w:jc w:val="both"/>
        <w:rPr/>
      </w:pPr>
      <w:r>
        <w:rPr/>
      </w:r>
    </w:p>
    <w:tbl>
      <w:tblPr>
        <w:tblW w:w="5726" w:type="dxa"/>
        <w:jc w:val="left"/>
        <w:tblInd w:w="0" w:type="dxa"/>
        <w:tblLayout w:type="fixed"/>
        <w:tblCellMar>
          <w:top w:w="28" w:type="dxa"/>
          <w:left w:w="28" w:type="dxa"/>
          <w:bottom w:w="28" w:type="dxa"/>
          <w:right w:w="28" w:type="dxa"/>
        </w:tblCellMar>
      </w:tblPr>
      <w:tblGrid>
        <w:gridCol w:w="937"/>
        <w:gridCol w:w="827"/>
        <w:gridCol w:w="830"/>
        <w:gridCol w:w="255"/>
        <w:gridCol w:w="873"/>
        <w:gridCol w:w="132"/>
        <w:gridCol w:w="109"/>
        <w:gridCol w:w="109"/>
        <w:gridCol w:w="109"/>
        <w:gridCol w:w="300"/>
        <w:gridCol w:w="1026"/>
        <w:gridCol w:w="219"/>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borrowing resources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Cash and cash equivalents </w:t>
      </w:r>
      <w:r>
        <w:rPr>
          <w:color w:val="000000"/>
        </w:rPr>
        <w:t xml:space="preserve">– </w:t>
      </w:r>
      <w:r>
        <w:rPr>
          <w:rFonts w:ascii="Times New Roman;sans-serif" w:hAnsi="Times New Roman;sans-serif"/>
          <w:b w:val="false"/>
          <w:color w:val="000000"/>
          <w:sz w:val="20"/>
        </w:rPr>
        <w:t>On March 31, 2025, we had $2.7 million, $7.5 million, $3.6 million, $7.1 million and $6.5 million of cash and 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Available Borrowing Resources</w:t>
      </w:r>
      <w:r>
        <w:rPr>
          <w:color w:val="000000"/>
        </w:rPr>
        <w:t xml:space="preserve"> – </w:t>
      </w:r>
      <w:r>
        <w:rPr>
          <w:rFonts w:ascii="Times New Roman;sans-serif" w:hAnsi="Times New Roman;sans-serif"/>
          <w:b w:val="false"/>
          <w:color w:val="000000"/>
          <w:sz w:val="20"/>
        </w:rPr>
        <w:t>Our Second Amended and Restated Credit Agreement ("Second Amended Credit Agreement") with U.S. Bank National Association ("U.S. Bank") provides for a revolving line of credit ("U.S. Credit Line") that expires on April 30, 2026. We expect to renew the U.S. Credit Line prior to its expiration; however, no assurance can be given that future financing will be available or, if available, that we will be offered terms satisfactory to us. The U.S. Credit Line has a maximum availability up to $75.0 million, subject to meeting certain financial conditions, including an accounts receivable coverage ratio ("AR Ratio"). This AR Ratio is calculated monthly and adjusts the current U.S. Credit Line total availability. At March 31, 2025, the U.S. Credit Line total availability was $56.1 million based upon the AR Ratio. At April 14, 2025, the U.S. Credit Line total availability was $59.1 million based upon the AR Ratio.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Credit Line may be used for working capital and other general corporate purposes including acquisitions, share repurchases and capital expenditures. Amounts available for borrowing under the U.S. Credit Line are reduced by the balance of any outstanding letters of credit, of which there were none at March 31, 2025. At March 31, 2025, we had an outstanding balance of $20.0 million on our U.S. Credit Line and $36.1 million of availability.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subsidiary, Gemstar Technology (Yangzhou) Co. Ltd. ("GTY"), has a Line of Credit Agreement ("Line of Credit Agreement") with the Bank of China, which provides for a revolving line of credit ("China Credit Line" and, together with the U.S. Credit Line, "Credit Lines") through July 24, 2025. We expect to renew the Line of Credit Agreement with the Bank of China prior to its expiration; however, no assurance can be given that future financing will be available or, if available, that we will be offered terms satisfactory to us. The China Credit Line has a maximum availability up to RMB 80.0 million (approximately $11.0 million), subject to meeting certain financial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China Credit Line may be used for working capital purposes. Amounts available for borrowing under the China Credit Line are reduced by the balance of any outstanding letters of credit, of which there were none at March 31, 2025. At March 31, 2025, we had an outstanding balance of RMB 80.0 million (approximately $11.0 million) on our China Credit Line and no remaining availability.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contained in the "Notes to Consolidated Financial Statements" for further information regarding our Credit Lines.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were as follows:</w:t>
      </w:r>
    </w:p>
    <w:tbl>
      <w:tblPr>
        <w:tblW w:w="10205" w:type="dxa"/>
        <w:jc w:val="left"/>
        <w:tblInd w:w="0" w:type="dxa"/>
        <w:tblLayout w:type="fixed"/>
        <w:tblCellMar>
          <w:top w:w="28" w:type="dxa"/>
          <w:left w:w="28" w:type="dxa"/>
          <w:bottom w:w="28" w:type="dxa"/>
          <w:right w:w="28" w:type="dxa"/>
        </w:tblCellMar>
      </w:tblPr>
      <w:tblGrid>
        <w:gridCol w:w="1547"/>
        <w:gridCol w:w="1294"/>
        <w:gridCol w:w="1298"/>
        <w:gridCol w:w="482"/>
        <w:gridCol w:w="1409"/>
        <w:gridCol w:w="248"/>
        <w:gridCol w:w="109"/>
        <w:gridCol w:w="109"/>
        <w:gridCol w:w="109"/>
        <w:gridCol w:w="211"/>
        <w:gridCol w:w="721"/>
        <w:gridCol w:w="109"/>
        <w:gridCol w:w="109"/>
        <w:gridCol w:w="109"/>
        <w:gridCol w:w="109"/>
        <w:gridCol w:w="408"/>
        <w:gridCol w:w="1521"/>
        <w:gridCol w:w="303"/>
      </w:tblGrid>
      <w:tr>
        <w:trPr/>
        <w:tc>
          <w:tcPr>
            <w:tcW w:w="154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operating activities</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investing activities</w:t>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financing activities</w:t>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rates on cash and cash equivalents</w:t>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6734" w:type="dxa"/>
        <w:jc w:val="left"/>
        <w:tblInd w:w="0" w:type="dxa"/>
        <w:tblLayout w:type="fixed"/>
        <w:tblCellMar>
          <w:top w:w="28" w:type="dxa"/>
          <w:left w:w="28" w:type="dxa"/>
          <w:bottom w:w="28" w:type="dxa"/>
          <w:right w:w="28" w:type="dxa"/>
        </w:tblCellMar>
      </w:tblPr>
      <w:tblGrid>
        <w:gridCol w:w="820"/>
        <w:gridCol w:w="720"/>
        <w:gridCol w:w="724"/>
        <w:gridCol w:w="255"/>
        <w:gridCol w:w="873"/>
        <w:gridCol w:w="132"/>
        <w:gridCol w:w="109"/>
        <w:gridCol w:w="109"/>
        <w:gridCol w:w="109"/>
        <w:gridCol w:w="211"/>
        <w:gridCol w:w="691"/>
        <w:gridCol w:w="109"/>
        <w:gridCol w:w="109"/>
        <w:gridCol w:w="109"/>
        <w:gridCol w:w="109"/>
        <w:gridCol w:w="300"/>
        <w:gridCol w:w="1026"/>
        <w:gridCol w:w="21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Net cash provided by operating activities</w:t>
      </w:r>
      <w:r>
        <w:rPr>
          <w:color w:val="000000"/>
        </w:rPr>
        <w:t xml:space="preserve"> </w:t>
      </w:r>
      <w:r>
        <w:rPr>
          <w:rFonts w:ascii="Times New Roman;sans-serif" w:hAnsi="Times New Roman;sans-serif"/>
          <w:b w:val="false"/>
          <w:color w:val="000000"/>
          <w:sz w:val="20"/>
        </w:rPr>
        <w:t xml:space="preserve">was $9.0 million during the three months ended March 31, 2025 compared to net cash used for operating activities of $2.8 million during the three months ended March 31, 2024. Net loss was $6.3 million for the three months ended March 31, 2025 compared to net loss of $8.6 million for the three months ended March 31, 2024. Depreciation and amortization was $4.1 million for the three months ended March 31, 2025 compared to $4.7 million for the three months ended March 31, 2024, due to decreased purchases of property, plant and equipment over recent years. Inventories decreased by $3.0 million during the three months ended March 31, 2025 compared to a decrease of $4.1 million during the three months ended March 31, 2024. The decrease in inventories is primarily the result of improved inventory management. Our inventory turns increased to 3.2 turns at March 31, 2025 from 3.1 turns at March 31, 2024. A decrease in accounts receivable and contract assets caused mainly by lower demand in our home entertainment channel resulted in cash inflows of $10.5 million and $11.0 million during the three months ended March 31, 2025 and March 31, 2024, respectively. Days sales outstanding were 83 days at March 31, 2025 compared to 93 days at March 31, 2024. A decrease in accounts payable and accrued liabilities caused mainly by a decrease in inventory purchases and timing of payments throughout the quarter resulted in cash outflows of $5.3 million and $12.5 million during the three months ended March 31, 2025 and March 31, 2024, respectively.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Net cash used for investing activities</w:t>
      </w:r>
      <w:r>
        <w:rPr>
          <w:color w:val="000000"/>
        </w:rPr>
        <w:t xml:space="preserve"> </w:t>
      </w:r>
      <w:r>
        <w:rPr>
          <w:rFonts w:ascii="Times New Roman;sans-serif" w:hAnsi="Times New Roman;sans-serif"/>
          <w:b w:val="false"/>
          <w:color w:val="000000"/>
          <w:sz w:val="20"/>
        </w:rPr>
        <w:t xml:space="preserve">during the three months ended March 31, 2025 was $1.9 million, of which $1.3 million, $1.0 million and $0.7 million was used for the purchase of Blue Chip Swap securities, capital expenditures and the development of patents, respectively. Offsetting these amounts was $1.1 million received upon the sale of Blue Chip Swap securities. Net cash used for investing activities during the three months ended March 31, 2024 was $2.4 million, of which $1.4 million and $1.0 million was used for capital expenditures and the development of patents,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cash flows used for investing activities are largely dependent on the timing and amount of capital expenditures and the development of patents, respectively. We estimate that we will incur between $7.0 million and $9.0 million during the remainder of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Net cash used for financing activities</w:t>
      </w:r>
      <w:r>
        <w:rPr>
          <w:color w:val="000000"/>
        </w:rPr>
        <w:t xml:space="preserve"> </w:t>
      </w:r>
      <w:r>
        <w:rPr>
          <w:rFonts w:ascii="Times New Roman;sans-serif" w:hAnsi="Times New Roman;sans-serif"/>
          <w:b w:val="false"/>
          <w:color w:val="000000"/>
          <w:sz w:val="20"/>
        </w:rPr>
        <w:t>was $6.4 million during the three months ended March 31, 2025 compared to $10.2 million during the three months ended March 31, 2024. The primary financing activities during the three months ended March 31, 2025 and 2024 were borrowings and repayments on our Credit Lines and repurchases of shares of our common stock. Net repayments on our Credit Lines were $6.0 million during the three months ended March 31, 2025 compared to $9.0 million during the three months ended March 31, 2024. During the three months ended March 31, 2025, we repurchased 40,710 shares of our common stock at a cost of $0.4 million compared to our repurchase of 140,136 shares at a cost of $1.2 million during the three months ended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Note 13 contained in the "Notes to Consolidated Financial Statements" for further information regarding our share repurchase programs.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Material Cash Commitments</w:t>
      </w:r>
      <w:r>
        <w:rPr>
          <w:color w:val="000000"/>
        </w:rPr>
        <w:t xml:space="preserve"> – </w:t>
      </w:r>
      <w:r>
        <w:rPr>
          <w:rFonts w:ascii="Times New Roman;sans-serif" w:hAnsi="Times New Roman;sans-serif"/>
          <w:b w:val="false"/>
          <w:color w:val="000000"/>
          <w:sz w:val="20"/>
        </w:rPr>
        <w:t>The following table summarizes our material cash commitments and the effect these commitments are expected to have on our cash flows in future periods:</w:t>
      </w:r>
      <w:r>
        <w:rPr>
          <w:color w:val="000000"/>
        </w:rPr>
        <w:t> </w:t>
      </w:r>
    </w:p>
    <w:p>
      <w:pPr>
        <w:pStyle w:val="TextBody"/>
        <w:bidi w:val="0"/>
        <w:spacing w:before="0" w:after="0"/>
        <w:ind w:left="0" w:right="0" w:firstLine="720"/>
        <w:jc w:val="both"/>
        <w:rPr/>
      </w:pPr>
      <w:r>
        <w:rPr/>
      </w:r>
    </w:p>
    <w:tbl>
      <w:tblPr>
        <w:tblW w:w="9813" w:type="dxa"/>
        <w:jc w:val="left"/>
        <w:tblInd w:w="0" w:type="dxa"/>
        <w:tblLayout w:type="fixed"/>
        <w:tblCellMar>
          <w:top w:w="28" w:type="dxa"/>
          <w:left w:w="28" w:type="dxa"/>
          <w:bottom w:w="28" w:type="dxa"/>
          <w:right w:w="28" w:type="dxa"/>
        </w:tblCellMar>
      </w:tblPr>
      <w:tblGrid>
        <w:gridCol w:w="1253"/>
        <w:gridCol w:w="1104"/>
        <w:gridCol w:w="11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w:t>
              <w:br/>
              <w:t>5 years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Lines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material cash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meeting our material cash commitments with our cash generated from operations and available borrowing on our Credit Lines.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 related to our debt. From time to time, we borrow amounts on our Credit Lines for working capital and other liquidity needs. Under the Second Amended Credit Agreement with U.S. Bank, we pay interest on outstanding borrowings on our U.S. Credit Line based on the Secured Overnight Financing Rate ("SOFR") plus an applicable margin as defined in the Second Amended Credit Agreement. Under our Line of Credit Agreement with the Bank of China, we pay interest on outstanding borrowings on our China Credit Line based on the one-year rate from the National Interbank Funding Center, less a 0.1% margin. Accordingly, changes in interest rates would impact our results of operations in future periods. A 100 basis point increase in interest rates would have an approximately $0.2 million annual impact on net income based on our outstanding Credit Lines balance at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make any assurances that we will not need to borrow additional amounts in the future or that funds from the existing Credit Lines will continue to be available to us or that other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Vietnamese Dong, Indian Rupee, Hong Kong Dollar, Brazilian Real, Japanese Yen and Korean Won. Our most significant foreign currency exposure is to the Chinese Yuan Renminbi as this is the functional currency of our PRC-based factory where the majority of our products originate. If the Chinese Yuan Renminbi were to strengthen against the U.S. Dollar, our manufacturing costs would increase. We are generally a net payor of the Chinese Yuan Renminbi, Mexican Peso, Vietnamese Dong,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enter into foreign currency exchange agreements to manage the foreign currency exchange rate risks inherent in our forecasted income and cash flows denominated in foreign currencies. The terms of these foreign 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exchange agreements normally last less than nine months. We recognize the gains and losses on these foreign currency contracts in the same period as the remeasurement losses and gains of the related foreign currency-denominated exposures.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March 31, 2025,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March 31, 2025, net income in the second quarter of 2025 would fluctuate by approximately $4.9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Quarterly Report on Form 10-Q.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lawsuits arising out of the conduct of our business. The discussion of our litigation matters contained in "Notes to Consolidated Financial Statements - Note 12"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reader should carefully consider, in connection with the other information in this report, the risk factors discussed in "Part I, Item 1A: Risk Factors" of the Company's 2024 Form 10-K and in the periodic reports we have filed since then. These factors may cause our actual results to differ materially from those stated in forward-looking statements contained in this Quarterly Report on Form 10-Q and elsewhere.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three months ended March 31, 2025, our total stock repurchases, average price paid per share and the maximum number of shares that may yet be purchased on the open market under our plans or programs:</w:t>
      </w:r>
    </w:p>
    <w:tbl>
      <w:tblPr>
        <w:tblW w:w="10205" w:type="dxa"/>
        <w:jc w:val="left"/>
        <w:tblInd w:w="0" w:type="dxa"/>
        <w:tblLayout w:type="fixed"/>
        <w:tblCellMar>
          <w:top w:w="28" w:type="dxa"/>
          <w:left w:w="28" w:type="dxa"/>
          <w:bottom w:w="28" w:type="dxa"/>
          <w:right w:w="28" w:type="dxa"/>
        </w:tblCellMar>
      </w:tblPr>
      <w:tblGrid>
        <w:gridCol w:w="584"/>
        <w:gridCol w:w="455"/>
        <w:gridCol w:w="460"/>
        <w:gridCol w:w="109"/>
        <w:gridCol w:w="109"/>
        <w:gridCol w:w="109"/>
        <w:gridCol w:w="516"/>
        <w:gridCol w:w="516"/>
        <w:gridCol w:w="517"/>
        <w:gridCol w:w="109"/>
        <w:gridCol w:w="109"/>
        <w:gridCol w:w="109"/>
        <w:gridCol w:w="213"/>
        <w:gridCol w:w="519"/>
        <w:gridCol w:w="111"/>
        <w:gridCol w:w="109"/>
        <w:gridCol w:w="109"/>
        <w:gridCol w:w="109"/>
        <w:gridCol w:w="810"/>
        <w:gridCol w:w="810"/>
        <w:gridCol w:w="812"/>
        <w:gridCol w:w="109"/>
        <w:gridCol w:w="109"/>
        <w:gridCol w:w="109"/>
        <w:gridCol w:w="909"/>
        <w:gridCol w:w="687"/>
        <w:gridCol w:w="978"/>
      </w:tblGrid>
      <w:tr>
        <w:trPr/>
        <w:tc>
          <w:tcPr>
            <w:tcW w:w="58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Maximum Number of Shares that May Yet Be Purchased Under the Plans or Programs </w:t>
            </w:r>
            <w:r>
              <w:rPr>
                <w:rFonts w:ascii="Times New Roman;sans-serif" w:hAnsi="Times New Roman;sans-serif"/>
                <w:b/>
                <w:color w:val="000000"/>
                <w:sz w:val="10"/>
              </w:rPr>
              <w:t>(2)</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778,362 </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40,710 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778,362 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778,362 </w:t>
            </w:r>
          </w:p>
        </w:tc>
        <w:tc>
          <w:tcPr>
            <w:tcW w:w="9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40,710 </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10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Of the repurchases in February, 40,710 shares represent common shares of the Company that were owned and tendered by employees to satisfy tax withholding obligations in connection with the vesting of restricted shares.</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On October 26, 2023, our Board of Directors approved a share repurchase program with an effective date of November 7, 2023 (the "Share Repurchase Program"). Pursuant to this Share Repurchase Program, we are authorized to repurchase up to 1,000,000 shares of our common stock and to date, we have repurchased 221,638 shares of our common stock. On May 6, 2025, our Board of Directors authorized management to continue to execute under the Share Repurchase Program. As a result, pursuant to this authorization, we may, from time to time, until August 6, 2025, repurchase up to the lesser of $4.0 million worth of our common stock or 778,362 shares (the total remaining number shares available for repurchase under the Share Repurchase Program) in privately negotiated and/or open-market transactions, including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no director or officer (as defined in Rule 16a-1(f) promulgated under Exchange Act)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9"/>
        <w:gridCol w:w="193"/>
        <w:gridCol w:w="194"/>
        <w:gridCol w:w="109"/>
        <w:gridCol w:w="109"/>
        <w:gridCol w:w="109"/>
        <w:gridCol w:w="2738"/>
        <w:gridCol w:w="2697"/>
        <w:gridCol w:w="3817"/>
      </w:tblGrid>
      <w:tr>
        <w:trPr/>
        <w:tc>
          <w:tcPr>
            <w:tcW w:w="2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Ninth Amendment to the Second Amended and Restated Credit Agreement signed January 2, 2025 (incorporated by reference to Exhibit 10.1 to the Company’s Current Report on Form 8-K filed on January 2, 2025 (File No. 0-21044))</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Form of Transition Agreement and Release of Claims (including form of Consulting Agreement) dated March 19, 2025 by and between Universal Electronics Inc. and Paul D. Arling ((incorporated by reference to Exhibit 10.1 to the Company’s Current Report on Form 8-K filed on March 21, 2025 (File No. 0-21044))</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Cooperation Agreement, dated May 2, 2025, by and among Universal Electronics Inc., Kent Lake Partners LP, Kent Lake PR LLC and Benjamin Natter (incorporated by reference to Exhibit 10.1 to the Company’s Current Report on Form 8-K filed on May 5, 2025 (File No. 0-21044))</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3312025x10qxex31bhonly.htm">
              <w:r>
                <w:rPr>
                  <w:rStyle w:val="InternetLink"/>
                  <w:rFonts w:ascii="Times New Roman;sans-serif" w:hAnsi="Times New Roman;sans-serif"/>
                  <w:b w:val="false"/>
                  <w:color w:val="0000FF"/>
                  <w:sz w:val="20"/>
                  <w:u w:val="single"/>
                </w:rPr>
                <w:t>Rule 13a-14(a) Certification of Bryan M. Hackworth, Chief Financial Officer (principal executive officer, principal financial officer and principal accounting officer) of Universal Electronics Inc.</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3312025x10qxex32bhonly.htm">
              <w:r>
                <w:rPr>
                  <w:rStyle w:val="InternetLink"/>
                  <w:rFonts w:ascii="Times New Roman;sans-serif" w:hAnsi="Times New Roman;sans-serif"/>
                  <w:b w:val="false"/>
                  <w:color w:val="0000FF"/>
                  <w:sz w:val="20"/>
                  <w:u w:val="single"/>
                </w:rPr>
                <w:t>Section 1350 Certification of Bryan M. Hackworth, Chief Financial Officer (principal executive officer, principal financial officer and principal accounting officer) of Universal Electronics Inc., pursuant to 18 U.S.C. Section 1350.</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df9d833aa3d4fcd8225740411e55693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434" w:type="dxa"/>
        <w:jc w:val="right"/>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334"/>
        <w:gridCol w:w="334"/>
        <w:gridCol w:w="334"/>
        <w:gridCol w:w="334"/>
        <w:gridCol w:w="334"/>
        <w:gridCol w:w="334"/>
        <w:gridCol w:w="1243"/>
        <w:gridCol w:w="1243"/>
        <w:gridCol w:w="181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UNIVERSAL ELECTRONICS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Bryan M. Hackworth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Bryan M. Hackworth, certify that: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Universal Electronics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5.I have disclosed, based on our most recent evaluation of internal control over financial reporting, to the registrant's auditors and the audit committee of the registrant's board of directors:</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p>
      <w:pPr>
        <w:pStyle w:val="TextBody"/>
        <w:bidi w:val="0"/>
        <w:spacing w:lineRule="auto" w:line="288" w:before="0" w:after="0"/>
        <w:jc w:val="left"/>
        <w:rPr>
          <w:color w:val="000000"/>
        </w:rPr>
      </w:pPr>
      <w:r>
        <w:rPr>
          <w:color w:val="000000"/>
        </w:rPr>
        <w:t> </w:t>
      </w:r>
    </w:p>
    <w:tbl>
      <w:tblPr>
        <w:tblW w:w="4529" w:type="dxa"/>
        <w:jc w:val="left"/>
        <w:tblInd w:w="0" w:type="dxa"/>
        <w:tblLayout w:type="fixed"/>
        <w:tblCellMar>
          <w:top w:w="28" w:type="dxa"/>
          <w:left w:w="28" w:type="dxa"/>
          <w:bottom w:w="28" w:type="dxa"/>
          <w:right w:w="28" w:type="dxa"/>
        </w:tblCellMar>
      </w:tblPr>
      <w:tblGrid>
        <w:gridCol w:w="1449"/>
        <w:gridCol w:w="1275"/>
        <w:gridCol w:w="1805"/>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M. Hackworth</w:t>
            </w:r>
          </w:p>
        </w:tc>
      </w:tr>
      <w:tr>
        <w:trPr/>
        <w:tc>
          <w:tcPr>
            <w:tcW w:w="4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executive officer, principal financial officer</w:t>
              <w:br/>
              <w:t>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the undersigned officer of Universal Electronics Inc. (the "Company"), hereby certifies that the (i) Company's Form 10-Q for the fiscal quarter ended March 31, 2025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10131" w:type="dxa"/>
        <w:jc w:val="left"/>
        <w:tblInd w:w="0" w:type="dxa"/>
        <w:tblLayout w:type="fixed"/>
        <w:tblCellMar>
          <w:top w:w="28" w:type="dxa"/>
          <w:left w:w="28" w:type="dxa"/>
          <w:bottom w:w="28" w:type="dxa"/>
          <w:right w:w="28" w:type="dxa"/>
        </w:tblCellMar>
      </w:tblPr>
      <w:tblGrid>
        <w:gridCol w:w="254"/>
        <w:gridCol w:w="224"/>
        <w:gridCol w:w="226"/>
        <w:gridCol w:w="379"/>
        <w:gridCol w:w="379"/>
        <w:gridCol w:w="381"/>
        <w:gridCol w:w="109"/>
        <w:gridCol w:w="109"/>
        <w:gridCol w:w="109"/>
        <w:gridCol w:w="134"/>
        <w:gridCol w:w="134"/>
        <w:gridCol w:w="136"/>
        <w:gridCol w:w="109"/>
        <w:gridCol w:w="109"/>
        <w:gridCol w:w="109"/>
        <w:gridCol w:w="2112"/>
        <w:gridCol w:w="2112"/>
        <w:gridCol w:w="3006"/>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M. Hackworth</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principal financial officer and principal accounting officer)</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Universal Electronics Inc. and will be retained by it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984/000010198425000003/ninthamendmenttosecondamen.htm" TargetMode="External"/><Relationship Id="rId3" Type="http://schemas.openxmlformats.org/officeDocument/2006/relationships/hyperlink" Target="https://www.sec.gov/Archives/edgar/data/101984/000010198425000042/a8k20250321-ex101.htm" TargetMode="External"/><Relationship Id="rId4" Type="http://schemas.openxmlformats.org/officeDocument/2006/relationships/hyperlink" Target="https://www.sec.gov/Archives/edgar/data/101984/000010198425000081/a8k20250505-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15794</Words>
  <Characters>86682</Characters>
  <CharactersWithSpaces>101168</CharactersWithSpaces>
  <Paragraphs>2153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