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8"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60"/>
        <w:spacing w:after="0"/>
        <w:tabs>
          <w:tab w:leader="none" w:pos="6740" w:val="left"/>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0-21044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UNIVERSAL ELECTRONICS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360" w:type="dxa"/>
        <w:tblCellMar>
          <w:top w:w="0" w:type="dxa"/>
          <w:left w:w="0" w:type="dxa"/>
          <w:bottom w:w="0" w:type="dxa"/>
          <w:right w:w="0" w:type="dxa"/>
        </w:tblCellMar>
      </w:tblPr>
      <w:tr>
        <w:trPr>
          <w:trHeight w:val="218"/>
        </w:trPr>
        <w:tc>
          <w:tcPr>
            <w:tcW w:w="4900" w:type="dxa"/>
            <w:vAlign w:val="bottom"/>
          </w:tcPr>
          <w:p>
            <w:pPr>
              <w:jc w:val="center"/>
              <w:ind w:right="1804"/>
              <w:spacing w:after="0"/>
              <w:rPr>
                <w:sz w:val="20"/>
                <w:szCs w:val="20"/>
                <w:color w:val="auto"/>
              </w:rPr>
            </w:pPr>
            <w:r>
              <w:rPr>
                <w:rFonts w:ascii="Arial" w:cs="Arial" w:eastAsia="Arial" w:hAnsi="Arial"/>
                <w:sz w:val="18"/>
                <w:szCs w:val="18"/>
                <w:b w:val="1"/>
                <w:bCs w:val="1"/>
                <w:color w:val="auto"/>
                <w:w w:val="88"/>
              </w:rPr>
              <w:t>Delaware</w:t>
            </w:r>
          </w:p>
        </w:tc>
        <w:tc>
          <w:tcPr>
            <w:tcW w:w="2960" w:type="dxa"/>
            <w:vAlign w:val="bottom"/>
          </w:tcPr>
          <w:p>
            <w:pPr>
              <w:jc w:val="right"/>
              <w:ind w:right="44"/>
              <w:spacing w:after="0"/>
              <w:rPr>
                <w:sz w:val="20"/>
                <w:szCs w:val="20"/>
                <w:color w:val="auto"/>
              </w:rPr>
            </w:pPr>
            <w:r>
              <w:rPr>
                <w:rFonts w:ascii="Arial" w:cs="Arial" w:eastAsia="Arial" w:hAnsi="Arial"/>
                <w:sz w:val="18"/>
                <w:szCs w:val="18"/>
                <w:b w:val="1"/>
                <w:bCs w:val="1"/>
                <w:color w:val="auto"/>
              </w:rPr>
              <w:t>33-0204817</w:t>
            </w:r>
          </w:p>
        </w:tc>
      </w:tr>
      <w:tr>
        <w:trPr>
          <w:trHeight w:val="149"/>
        </w:trPr>
        <w:tc>
          <w:tcPr>
            <w:tcW w:w="4900" w:type="dxa"/>
            <w:vAlign w:val="bottom"/>
          </w:tcPr>
          <w:p>
            <w:pPr>
              <w:jc w:val="center"/>
              <w:ind w:right="180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60" w:type="dxa"/>
            <w:vAlign w:val="bottom"/>
          </w:tcPr>
          <w:p>
            <w:pPr>
              <w:jc w:val="center"/>
              <w:ind w:left="18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900" w:type="dxa"/>
            <w:vAlign w:val="bottom"/>
          </w:tcPr>
          <w:p>
            <w:pPr>
              <w:jc w:val="center"/>
              <w:ind w:right="1804"/>
              <w:spacing w:after="0"/>
              <w:rPr>
                <w:sz w:val="20"/>
                <w:szCs w:val="20"/>
                <w:color w:val="auto"/>
              </w:rPr>
            </w:pPr>
            <w:r>
              <w:rPr>
                <w:rFonts w:ascii="Arial" w:cs="Arial" w:eastAsia="Arial" w:hAnsi="Arial"/>
                <w:sz w:val="14"/>
                <w:szCs w:val="14"/>
                <w:b w:val="1"/>
                <w:bCs w:val="1"/>
                <w:color w:val="auto"/>
                <w:w w:val="89"/>
              </w:rPr>
              <w:t>Incorporation or Organization)</w:t>
            </w:r>
          </w:p>
        </w:tc>
        <w:tc>
          <w:tcPr>
            <w:tcW w:w="2960" w:type="dxa"/>
            <w:vAlign w:val="bottom"/>
          </w:tcPr>
          <w:p>
            <w:pPr>
              <w:jc w:val="center"/>
              <w:ind w:left="182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900" w:type="dxa"/>
            <w:vAlign w:val="bottom"/>
          </w:tcPr>
          <w:p>
            <w:pPr>
              <w:jc w:val="center"/>
              <w:ind w:right="1804"/>
              <w:spacing w:after="0"/>
              <w:rPr>
                <w:sz w:val="20"/>
                <w:szCs w:val="20"/>
                <w:color w:val="auto"/>
              </w:rPr>
            </w:pPr>
            <w:r>
              <w:rPr>
                <w:rFonts w:ascii="Arial" w:cs="Arial" w:eastAsia="Arial" w:hAnsi="Arial"/>
                <w:sz w:val="18"/>
                <w:szCs w:val="18"/>
                <w:b w:val="1"/>
                <w:bCs w:val="1"/>
                <w:color w:val="auto"/>
                <w:w w:val="89"/>
              </w:rPr>
              <w:t>6101 Gateway Drive Cypress, California</w:t>
            </w:r>
          </w:p>
        </w:tc>
        <w:tc>
          <w:tcPr>
            <w:tcW w:w="2960" w:type="dxa"/>
            <w:vAlign w:val="bottom"/>
          </w:tcPr>
          <w:p>
            <w:pPr>
              <w:jc w:val="right"/>
              <w:ind w:right="244"/>
              <w:spacing w:after="0"/>
              <w:rPr>
                <w:sz w:val="20"/>
                <w:szCs w:val="20"/>
                <w:color w:val="auto"/>
              </w:rPr>
            </w:pPr>
            <w:r>
              <w:rPr>
                <w:rFonts w:ascii="Arial" w:cs="Arial" w:eastAsia="Arial" w:hAnsi="Arial"/>
                <w:sz w:val="18"/>
                <w:szCs w:val="18"/>
                <w:b w:val="1"/>
                <w:bCs w:val="1"/>
                <w:color w:val="auto"/>
              </w:rPr>
              <w:t>90630</w:t>
            </w:r>
          </w:p>
        </w:tc>
      </w:tr>
      <w:tr>
        <w:trPr>
          <w:trHeight w:val="174"/>
        </w:trPr>
        <w:tc>
          <w:tcPr>
            <w:tcW w:w="4900" w:type="dxa"/>
            <w:vAlign w:val="bottom"/>
          </w:tcPr>
          <w:p>
            <w:pPr>
              <w:jc w:val="center"/>
              <w:ind w:right="180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60" w:type="dxa"/>
            <w:vAlign w:val="bottom"/>
          </w:tcPr>
          <w:p>
            <w:pPr>
              <w:jc w:val="center"/>
              <w:ind w:left="182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(714) 820-1000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right="240"/>
        <w:spacing w:after="0" w:line="22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60" w:space="720"/>
            <w:col w:w="6000" w:space="720"/>
            <w:col w:w="144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660" w:space="720"/>
            <w:col w:w="140" w:space="120"/>
            <w:col w:w="5740" w:space="720"/>
            <w:col w:w="1920" w:space="24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by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020" w:space="160"/>
            <w:col w:w="260" w:space="80"/>
            <w:col w:w="160" w:space="180"/>
            <w:col w:w="2560"/>
          </w:cols>
          <w:pgMar w:left="240" w:top="230" w:right="239" w:bottom="1440" w:gutter="0" w:footer="0" w:header="0"/>
          <w:type w:val="continuous"/>
        </w:sectPr>
      </w:pPr>
    </w:p>
    <w:p>
      <w:pPr>
        <w:spacing w:after="0" w:line="6"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14,764,481shares of Common Stock, par value $0.01 per share, of the registrant were outstanding on November 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160" w:type="dxa"/>
            <w:vAlign w:val="bottom"/>
            <w:gridSpan w:val="4"/>
          </w:tcPr>
          <w:p>
            <w:pPr>
              <w:jc w:val="center"/>
              <w:ind w:right="3480"/>
              <w:spacing w:after="0"/>
              <w:rPr>
                <w:sz w:val="20"/>
                <w:szCs w:val="20"/>
                <w:color w:val="auto"/>
              </w:rPr>
            </w:pPr>
            <w:r>
              <w:rPr>
                <w:rFonts w:ascii="Arial" w:cs="Arial" w:eastAsia="Arial" w:hAnsi="Arial"/>
                <w:sz w:val="18"/>
                <w:szCs w:val="18"/>
                <w:b w:val="1"/>
                <w:bCs w:val="1"/>
                <w:color w:val="auto"/>
                <w:w w:val="98"/>
              </w:rPr>
              <w:t>UNIVERSAL ELECTRONICS INC.</w:t>
            </w:r>
          </w:p>
        </w:tc>
        <w:tc>
          <w:tcPr>
            <w:tcW w:w="28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gridSpan w:val="2"/>
          </w:tcPr>
          <w:p>
            <w:pPr>
              <w:jc w:val="center"/>
              <w:ind w:right="4420"/>
              <w:spacing w:after="0"/>
              <w:rPr>
                <w:sz w:val="20"/>
                <w:szCs w:val="20"/>
                <w:color w:val="auto"/>
              </w:rPr>
            </w:pPr>
            <w:r>
              <w:rPr>
                <w:rFonts w:ascii="Arial" w:cs="Arial" w:eastAsia="Arial" w:hAnsi="Arial"/>
                <w:sz w:val="18"/>
                <w:szCs w:val="18"/>
                <w:b w:val="1"/>
                <w:bCs w:val="1"/>
                <w:color w:val="auto"/>
              </w:rPr>
              <w:t>INDEX</w:t>
            </w:r>
          </w:p>
        </w:tc>
        <w:tc>
          <w:tcPr>
            <w:tcW w:w="280" w:type="dxa"/>
            <w:vAlign w:val="bottom"/>
          </w:tcPr>
          <w:p>
            <w:pPr>
              <w:spacing w:after="0"/>
              <w:rPr>
                <w:sz w:val="24"/>
                <w:szCs w:val="24"/>
                <w:color w:val="auto"/>
              </w:rPr>
            </w:pPr>
          </w:p>
        </w:tc>
      </w:tr>
      <w:tr>
        <w:trPr>
          <w:trHeight w:val="353"/>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282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220" w:type="dxa"/>
            <w:vAlign w:val="bottom"/>
            <w:gridSpan w:val="7"/>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38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Consolidated Financial Statements (Unaudited)</w:t>
              </w:r>
            </w:hyperlink>
          </w:p>
        </w:tc>
        <w:tc>
          <w:tcPr>
            <w:tcW w:w="71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2040" w:type="dxa"/>
            <w:vAlign w:val="bottom"/>
            <w:tcBorders>
              <w:bottom w:val="single" w:sz="8" w:color="0000EE"/>
            </w:tcBorders>
            <w:gridSpan w:val="7"/>
          </w:tcPr>
          <w:p>
            <w:pPr>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Consolidated Balance Sheets</w:t>
              </w:r>
            </w:hyperlink>
          </w:p>
        </w:tc>
        <w:tc>
          <w:tcPr>
            <w:tcW w:w="856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232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Income Statements</w:t>
              </w:r>
            </w:hyperlink>
          </w:p>
        </w:tc>
        <w:tc>
          <w:tcPr>
            <w:tcW w:w="82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280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Statements of Cash Flows</w:t>
              </w:r>
            </w:hyperlink>
          </w:p>
        </w:tc>
        <w:tc>
          <w:tcPr>
            <w:tcW w:w="780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33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the Consolidated Financial Statements</w:t>
              </w:r>
            </w:hyperlink>
          </w:p>
        </w:tc>
        <w:tc>
          <w:tcPr>
            <w:tcW w:w="72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104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48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3. Quantitative and Qualitative Disclosures About Market Risk</w:t>
              </w:r>
            </w:hyperlink>
          </w:p>
        </w:tc>
        <w:tc>
          <w:tcPr>
            <w:tcW w:w="2020" w:type="dxa"/>
            <w:vAlign w:val="bottom"/>
            <w:tcBorders>
              <w:top w:val="single" w:sz="8" w:color="0000EE"/>
            </w:tcBorders>
          </w:tcPr>
          <w:p>
            <w:pPr>
              <w:spacing w:after="0"/>
              <w:rPr>
                <w:sz w:val="24"/>
                <w:szCs w:val="24"/>
                <w:color w:val="auto"/>
              </w:rPr>
            </w:pPr>
          </w:p>
        </w:tc>
        <w:tc>
          <w:tcPr>
            <w:tcW w:w="42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228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Item 4. Controls and Procedures</w:t>
              </w:r>
            </w:hyperlink>
          </w:p>
        </w:tc>
        <w:tc>
          <w:tcPr>
            <w:tcW w:w="87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252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38">
              <w:r>
                <w:rPr>
                  <w:rFonts w:ascii="Arial" w:cs="Arial" w:eastAsia="Arial" w:hAnsi="Arial"/>
                  <w:sz w:val="18"/>
                  <w:szCs w:val="18"/>
                  <w:color w:val="0000EE"/>
                  <w:w w:val="93"/>
                </w:rPr>
                <w:t>PART II. OTHER INFORMATION</w:t>
              </w:r>
            </w:hyperlink>
          </w:p>
        </w:tc>
        <w:tc>
          <w:tcPr>
            <w:tcW w:w="852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86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Item 1. Legal Proceedings</w:t>
              </w:r>
            </w:hyperlink>
          </w:p>
        </w:tc>
        <w:tc>
          <w:tcPr>
            <w:tcW w:w="918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5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1A. Risk Factors</w:t>
              </w:r>
            </w:hyperlink>
          </w:p>
        </w:tc>
        <w:tc>
          <w:tcPr>
            <w:tcW w:w="948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480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Item 2. Unregistered Sales of Equity Securities and Use of Proceeds</w:t>
              </w:r>
            </w:hyperlink>
          </w:p>
        </w:tc>
        <w:tc>
          <w:tcPr>
            <w:tcW w:w="62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1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Item 6. Exhibits</w:t>
              </w:r>
            </w:hyperlink>
          </w:p>
        </w:tc>
        <w:tc>
          <w:tcPr>
            <w:tcW w:w="990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4"/>
        </w:trPr>
        <w:tc>
          <w:tcPr>
            <w:tcW w:w="1104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8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 Index</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83"/>
        </w:trPr>
        <w:tc>
          <w:tcPr>
            <w:tcW w:w="960" w:type="dxa"/>
            <w:vAlign w:val="bottom"/>
            <w:tcBorders>
              <w:top w:val="single" w:sz="8" w:color="0000EE"/>
            </w:tcBorders>
            <w:gridSpan w:val="3"/>
          </w:tcPr>
          <w:p>
            <w:pPr>
              <w:spacing w:after="0"/>
              <w:rPr>
                <w:sz w:val="24"/>
                <w:szCs w:val="24"/>
                <w:color w:val="auto"/>
              </w:rPr>
            </w:pPr>
          </w:p>
        </w:tc>
        <w:tc>
          <w:tcPr>
            <w:tcW w:w="5880" w:type="dxa"/>
            <w:vAlign w:val="bottom"/>
            <w:gridSpan w:val="14"/>
          </w:tcPr>
          <w:p>
            <w:pPr>
              <w:jc w:val="center"/>
              <w:ind w:left="3552"/>
              <w:spacing w:after="0"/>
              <w:rPr>
                <w:sz w:val="20"/>
                <w:szCs w:val="20"/>
                <w:color w:val="auto"/>
              </w:rPr>
            </w:pPr>
            <w:r>
              <w:rPr>
                <w:rFonts w:ascii="Arial" w:cs="Arial" w:eastAsia="Arial" w:hAnsi="Arial"/>
                <w:sz w:val="18"/>
                <w:szCs w:val="18"/>
                <w:color w:val="auto"/>
                <w:w w:val="79"/>
              </w:rPr>
              <w:t>2</w:t>
            </w:r>
          </w:p>
        </w:tc>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00" w:type="dxa"/>
            <w:vAlign w:val="bottom"/>
          </w:tcPr>
          <w:p>
            <w:pPr>
              <w:ind w:left="180"/>
              <w:spacing w:after="0"/>
              <w:rPr>
                <w:sz w:val="20"/>
                <w:szCs w:val="20"/>
                <w:color w:val="auto"/>
              </w:rPr>
            </w:pPr>
            <w:r>
              <w:rPr>
                <w:rFonts w:ascii="Arial" w:cs="Arial" w:eastAsia="Arial" w:hAnsi="Arial"/>
                <w:sz w:val="18"/>
                <w:szCs w:val="18"/>
                <w:b w:val="1"/>
                <w:bCs w:val="1"/>
                <w:color w:val="auto"/>
              </w:rPr>
              <w:t>Consolidated Financial Statements (Unaudited)</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300" w:type="dxa"/>
            <w:vAlign w:val="bottom"/>
          </w:tcPr>
          <w:p>
            <w:pPr>
              <w:jc w:val="center"/>
              <w:ind w:left="1332"/>
              <w:spacing w:after="0"/>
              <w:rPr>
                <w:sz w:val="20"/>
                <w:szCs w:val="20"/>
                <w:color w:val="auto"/>
              </w:rPr>
            </w:pPr>
            <w:r>
              <w:rPr>
                <w:rFonts w:ascii="Arial" w:cs="Arial" w:eastAsia="Arial" w:hAnsi="Arial"/>
                <w:sz w:val="18"/>
                <w:szCs w:val="18"/>
                <w:b w:val="1"/>
                <w:bCs w:val="1"/>
                <w:color w:val="auto"/>
                <w:w w:val="98"/>
              </w:rPr>
              <w:t>UNIVERSAL ELECTRONICS INC.</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00" w:type="dxa"/>
            <w:vAlign w:val="bottom"/>
          </w:tcPr>
          <w:p>
            <w:pPr>
              <w:jc w:val="center"/>
              <w:ind w:left="1332"/>
              <w:spacing w:after="0"/>
              <w:rPr>
                <w:sz w:val="20"/>
                <w:szCs w:val="20"/>
                <w:color w:val="auto"/>
              </w:rPr>
            </w:pPr>
            <w:r>
              <w:rPr>
                <w:rFonts w:ascii="Arial" w:cs="Arial" w:eastAsia="Arial" w:hAnsi="Arial"/>
                <w:sz w:val="18"/>
                <w:szCs w:val="18"/>
                <w:b w:val="1"/>
                <w:bCs w:val="1"/>
                <w:color w:val="auto"/>
                <w:w w:val="96"/>
              </w:rPr>
              <w:t>CONSOLIDATED BALANCE SHEETS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00" w:type="dxa"/>
            <w:vAlign w:val="bottom"/>
          </w:tcPr>
          <w:p>
            <w:pPr>
              <w:jc w:val="center"/>
              <w:ind w:left="1332"/>
              <w:spacing w:after="0"/>
              <w:rPr>
                <w:sz w:val="20"/>
                <w:szCs w:val="20"/>
                <w:color w:val="auto"/>
              </w:rPr>
            </w:pPr>
            <w:r>
              <w:rPr>
                <w:rFonts w:ascii="Arial" w:cs="Arial" w:eastAsia="Arial" w:hAnsi="Arial"/>
                <w:sz w:val="18"/>
                <w:szCs w:val="18"/>
                <w:color w:val="auto"/>
                <w:w w:val="86"/>
              </w:rPr>
              <w:t>(In thousands, except share-related data)</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00" w:type="dxa"/>
            <w:vAlign w:val="bottom"/>
          </w:tcPr>
          <w:p>
            <w:pPr>
              <w:jc w:val="center"/>
              <w:ind w:left="1312"/>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300" w:type="dxa"/>
            <w:vAlign w:val="bottom"/>
            <w:shd w:val="clear" w:color="auto" w:fill="CCEEFF"/>
          </w:tcPr>
          <w:p>
            <w:pPr>
              <w:ind w:left="318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88,983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214,046</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214,433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Goodwill</w:t>
            </w:r>
          </w:p>
        </w:tc>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30,857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w w:val="80"/>
              </w:rPr>
              <w:t>Other assets</w:t>
            </w:r>
          </w:p>
        </w:tc>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5,335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371,817</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372,671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00" w:type="dxa"/>
            <w:vAlign w:val="bottom"/>
            <w:shd w:val="clear" w:color="auto" w:fill="CCEEFF"/>
          </w:tcPr>
          <w:p>
            <w:pPr>
              <w:ind w:left="160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18,400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sales discounts, rebates and royalties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Accrued income taxes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3,891</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134,600</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148,830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11,508</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147,325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161,467</w:t>
            </w:r>
          </w:p>
        </w:tc>
        <w:tc>
          <w:tcPr>
            <w:tcW w:w="0" w:type="dxa"/>
            <w:vAlign w:val="bottom"/>
          </w:tcPr>
          <w:p>
            <w:pPr>
              <w:spacing w:after="0"/>
              <w:rPr>
                <w:sz w:val="1"/>
                <w:szCs w:val="1"/>
                <w:color w:val="auto"/>
              </w:rPr>
            </w:pPr>
          </w:p>
        </w:tc>
      </w:tr>
      <w:tr>
        <w:trPr>
          <w:trHeight w:val="329"/>
        </w:trPr>
        <w:tc>
          <w:tcPr>
            <w:tcW w:w="91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4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Preferred stock, $0.01 par value, 5,000,000 shares authorized; none issued or outstanding</w:t>
            </w:r>
          </w:p>
        </w:tc>
        <w:tc>
          <w:tcPr>
            <w:tcW w:w="1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Common stock, $0.01 par value, 50,000,000 shares authorized; 21,076,830 and 20,877,248 shares issued on</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September 30, 2011 and December 31, 2010, respectively</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172,264</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149,102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134,070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323,205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300,730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w w:val="93"/>
              </w:rPr>
              <w:t>Less cost of common stock in treasury, 6,344,642 and 5,926,071 shares on September 30, 2011 and December 31, 2010,</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140" w:type="dxa"/>
            <w:vAlign w:val="bottom"/>
            <w:gridSpan w:val="2"/>
          </w:tcPr>
          <w:p>
            <w:pPr>
              <w:ind w:left="20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(98,713)</w:t>
            </w: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224,492</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211,204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371,817</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372,671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123,527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79,007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350,985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sales</w:t>
            </w:r>
          </w:p>
        </w:tc>
        <w:tc>
          <w:tcPr>
            <w:tcW w:w="2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53,289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254,284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154,068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25,718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96,701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75,207</w:t>
            </w:r>
          </w:p>
        </w:tc>
        <w:tc>
          <w:tcPr>
            <w:tcW w:w="0" w:type="dxa"/>
            <w:vAlign w:val="bottom"/>
          </w:tcPr>
          <w:p>
            <w:pPr>
              <w:spacing w:after="0"/>
              <w:rPr>
                <w:sz w:val="1"/>
                <w:szCs w:val="1"/>
                <w:color w:val="auto"/>
              </w:rPr>
            </w:pPr>
          </w:p>
        </w:tc>
      </w:tr>
      <w:tr>
        <w:trPr>
          <w:trHeight w:val="322"/>
        </w:trPr>
        <w:tc>
          <w:tcPr>
            <w:tcW w:w="546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2,687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9,275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7,944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6,566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20,310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16,569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2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(1,903)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11,315</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vMerge w:val="continue"/>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0.47</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0.34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share: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Basic</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13,417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14,963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13,671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operating activities:</w:t>
            </w:r>
          </w:p>
        </w:tc>
        <w:tc>
          <w:tcPr>
            <w:tcW w:w="1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$ 15,032</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280"/>
              <w:spacing w:after="0"/>
              <w:rPr>
                <w:sz w:val="20"/>
                <w:szCs w:val="20"/>
                <w:color w:val="auto"/>
              </w:rPr>
            </w:pPr>
            <w:r>
              <w:rPr>
                <w:rFonts w:ascii="Arial" w:cs="Arial" w:eastAsia="Arial" w:hAnsi="Arial"/>
                <w:sz w:val="18"/>
                <w:szCs w:val="18"/>
                <w:color w:val="auto"/>
              </w:rPr>
              <w:t>Depreciation and amortization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12,907</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Provision for doubtful accounts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280"/>
              <w:spacing w:after="0"/>
              <w:rPr>
                <w:sz w:val="20"/>
                <w:szCs w:val="20"/>
                <w:color w:val="auto"/>
              </w:rPr>
            </w:pPr>
            <w:r>
              <w:rPr>
                <w:rFonts w:ascii="Arial" w:cs="Arial" w:eastAsia="Arial" w:hAnsi="Arial"/>
                <w:sz w:val="18"/>
                <w:szCs w:val="18"/>
                <w:color w:val="auto"/>
              </w:rPr>
              <w:t>Provision for inventory write-downs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3,610</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income taxes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280"/>
              <w:spacing w:after="0"/>
              <w:rPr>
                <w:sz w:val="20"/>
                <w:szCs w:val="20"/>
                <w:color w:val="auto"/>
              </w:rPr>
            </w:pPr>
            <w:r>
              <w:rPr>
                <w:rFonts w:ascii="Arial" w:cs="Arial" w:eastAsia="Arial" w:hAnsi="Arial"/>
                <w:sz w:val="18"/>
                <w:szCs w:val="18"/>
                <w:color w:val="auto"/>
              </w:rPr>
              <w:t>Tax benefit from exercise of stock options and vested restricted stock</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Excess tax benefit from stock-based compensation</w:t>
            </w:r>
          </w:p>
        </w:tc>
        <w:tc>
          <w:tcPr>
            <w:tcW w:w="2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280"/>
              <w:spacing w:after="0"/>
              <w:rPr>
                <w:sz w:val="20"/>
                <w:szCs w:val="20"/>
                <w:color w:val="auto"/>
              </w:rPr>
            </w:pPr>
            <w:r>
              <w:rPr>
                <w:rFonts w:ascii="Arial" w:cs="Arial" w:eastAsia="Arial" w:hAnsi="Arial"/>
                <w:sz w:val="18"/>
                <w:szCs w:val="18"/>
                <w:color w:val="auto"/>
              </w:rPr>
              <w:t>Shares issued for employee benefit plan</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592</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Stock-based compensation</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2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(2,772)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2580" w:type="dxa"/>
            <w:vAlign w:val="bottom"/>
            <w:gridSpan w:val="3"/>
          </w:tcPr>
          <w:p>
            <w:pPr>
              <w:jc w:val="right"/>
              <w:ind w:right="280"/>
              <w:spacing w:after="0"/>
              <w:rPr>
                <w:sz w:val="20"/>
                <w:szCs w:val="20"/>
                <w:color w:val="auto"/>
              </w:rPr>
            </w:pPr>
            <w:r>
              <w:rPr>
                <w:rFonts w:ascii="Arial" w:cs="Arial" w:eastAsia="Arial" w:hAnsi="Arial"/>
                <w:sz w:val="18"/>
                <w:szCs w:val="18"/>
                <w:color w:val="auto"/>
              </w:rPr>
              <w:t>(22,172)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2,456</w:t>
            </w:r>
          </w:p>
        </w:tc>
        <w:tc>
          <w:tcPr>
            <w:tcW w:w="3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income taxes</w:t>
            </w:r>
          </w:p>
        </w:tc>
        <w:tc>
          <w:tcPr>
            <w:tcW w:w="1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6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11,802</w:t>
            </w:r>
          </w:p>
        </w:tc>
        <w:tc>
          <w:tcPr>
            <w:tcW w:w="34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used for investing activities:</w:t>
            </w:r>
          </w:p>
        </w:tc>
        <w:tc>
          <w:tcPr>
            <w:tcW w:w="1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Term deposit</w:t>
            </w:r>
          </w:p>
        </w:tc>
        <w:tc>
          <w:tcPr>
            <w:tcW w:w="16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Acquisition of property, plant, and equipment</w:t>
            </w:r>
          </w:p>
        </w:tc>
        <w:tc>
          <w:tcPr>
            <w:tcW w:w="2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(10,140)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Acquisition of intangible assets</w:t>
            </w:r>
          </w:p>
        </w:tc>
        <w:tc>
          <w:tcPr>
            <w:tcW w:w="16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(814)</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for investing activities</w:t>
            </w:r>
          </w:p>
        </w:tc>
        <w:tc>
          <w:tcPr>
            <w:tcW w:w="1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(10,954)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22"/>
        </w:trPr>
        <w:tc>
          <w:tcPr>
            <w:tcW w:w="8160" w:type="dxa"/>
            <w:vAlign w:val="bottom"/>
            <w:gridSpan w:val="2"/>
          </w:tcPr>
          <w:p>
            <w:pPr>
              <w:spacing w:after="0"/>
              <w:rPr>
                <w:sz w:val="20"/>
                <w:szCs w:val="20"/>
                <w:color w:val="auto"/>
              </w:rPr>
            </w:pPr>
            <w:r>
              <w:rPr>
                <w:rFonts w:ascii="Arial" w:cs="Arial" w:eastAsia="Arial" w:hAnsi="Arial"/>
                <w:sz w:val="18"/>
                <w:szCs w:val="18"/>
                <w:color w:val="auto"/>
              </w:rPr>
              <w:t>Cash used for financing activities:</w:t>
            </w:r>
          </w:p>
        </w:tc>
        <w:tc>
          <w:tcPr>
            <w:tcW w:w="16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 of debt</w:t>
            </w:r>
          </w:p>
        </w:tc>
        <w:tc>
          <w:tcPr>
            <w:tcW w:w="2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(16,600)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Proceeds from stock options exercised</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1,381</w:t>
            </w:r>
          </w:p>
        </w:tc>
        <w:tc>
          <w:tcPr>
            <w:tcW w:w="3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Treasury stock purchased</w:t>
            </w:r>
          </w:p>
        </w:tc>
        <w:tc>
          <w:tcPr>
            <w:tcW w:w="25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(9,512)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Excess tax benefit from stock-based compensation</w:t>
            </w:r>
          </w:p>
        </w:tc>
        <w:tc>
          <w:tcPr>
            <w:tcW w:w="16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for financing activities</w:t>
            </w:r>
          </w:p>
        </w:tc>
        <w:tc>
          <w:tcPr>
            <w:tcW w:w="1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(24,309)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(9,447)</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w:t>
            </w:r>
          </w:p>
        </w:tc>
        <w:tc>
          <w:tcPr>
            <w:tcW w:w="16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60" w:type="dxa"/>
            <w:vAlign w:val="bottom"/>
            <w:gridSpan w:val="2"/>
            <w:vMerge w:val="continue"/>
          </w:tcPr>
          <w:p>
            <w:pPr>
              <w:spacing w:after="0"/>
              <w:rPr>
                <w:sz w:val="19"/>
                <w:szCs w:val="19"/>
                <w:color w:val="auto"/>
              </w:rPr>
            </w:pPr>
          </w:p>
        </w:tc>
        <w:tc>
          <w:tcPr>
            <w:tcW w:w="16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1,212</w:t>
            </w:r>
          </w:p>
        </w:tc>
        <w:tc>
          <w:tcPr>
            <w:tcW w:w="3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(22,249)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54,249</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$ 32,000</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 xml:space="preserve">Supplemental Cash Flow Information </w:t>
      </w:r>
      <w:r>
        <w:rPr>
          <w:rFonts w:ascii="Arial" w:cs="Arial" w:eastAsia="Arial" w:hAnsi="Arial"/>
          <w:sz w:val="16"/>
          <w:szCs w:val="16"/>
          <w:i w:val="1"/>
          <w:iCs w:val="1"/>
          <w:color w:val="auto"/>
        </w:rPr>
        <w:t>— We had net income tax payments of $6.9 million and $8.9 million during the nine months ended September 30, 2011 and</w:t>
      </w:r>
      <w:r>
        <w:rPr>
          <w:rFonts w:ascii="Arial" w:cs="Arial" w:eastAsia="Arial" w:hAnsi="Arial"/>
          <w:sz w:val="16"/>
          <w:szCs w:val="16"/>
          <w:color w:val="auto"/>
        </w:rPr>
        <w:t xml:space="preserve"> </w:t>
      </w:r>
      <w:r>
        <w:rPr>
          <w:rFonts w:ascii="Arial" w:cs="Arial" w:eastAsia="Arial" w:hAnsi="Arial"/>
          <w:sz w:val="16"/>
          <w:szCs w:val="16"/>
          <w:i w:val="1"/>
          <w:iCs w:val="1"/>
          <w:color w:val="auto"/>
        </w:rPr>
        <w:t>2010, respectively. We had interest payments of $0.3 million and $0 during the nine months ended September 30, 2011 and 2010, respectively.</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Significant Accounting Policies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2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results of operations for the three and nine months ended September 30, 2011 are not necessarily indicative of the results to be expected for the full year. These financial statements should be read in conjunction with the “Risk Factors,” “Management Discussion and Analysis of Financial Conditions and Results of Operations,” “Quantitative and Qualitative Disclosures About Market Risk,” and the “Financial Statements and Supplementary Data” and notes thereto included in Items 1A, 7, 7A, and 8, respectively, of our Annual Report on Form 10-K for the fiscal year ended December 31,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90"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 for sales returns and doubtful accounts, warranties, inventory valuation, business combination purchase price allocations, impairment of long-lived assets, intangible assets and goodwill, income taxes, accrued compensation and stock-based compensation expense. Actual results may differ from our expectations. Based on our evaluation, our estimates, judgments and assumptions may be adjusted as more information becomes available. Any adjustment may be material.</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2010 for a summary of our significant accounting policies.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September 2011, the Financial Accounting Standards Board (“FASB”) issued Accounting Standards Update (“ASU”) No. 2011-08, “Testing Goodwill for Impairment.” The amendments in ASU 2011-08 are intended to reduce the cost and complexity associated with goodwill impairment tests required under the Accounting Standard Codification Topic 350 Intangibles – Goodwill and Other. The update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percent. The amendments in this update are effective for annual and interim goodwill impairment tests performed for fiscal years beginning after December 15, 2011. The adoption of ASU 2011-08 is not expected to have a significant impact to our consolidated financial position or results of operations.</w:t>
      </w:r>
    </w:p>
    <w:p>
      <w:pPr>
        <w:spacing w:after="0" w:line="11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June 2011, the FASB issued ASU 2011-05, “Presentation of Comprehensive Income.” ASU 2011-05 eliminates the option to report other comprehensive income and its components in the statement of changes in stockholders’ equity and requires an entity to present the total of comprehensive income, the components of net income and the components of other comprehensive income either in a single continuous statement or in two separate but consecutive statements. This pronouncement is effective for fiscal years, and interim periods within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those years, beginning after December 15, 2011. The adoption of ASU 2011-05 will result in changes to our presentation and disclosure only and will not have an impact on our consolidated results of operations and financial condition.</w:t>
      </w:r>
    </w:p>
    <w:p>
      <w:pPr>
        <w:spacing w:after="0" w:line="132"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During May 2011, the FASB issued ASU No. 2011-04, “Amendments to Achieve Common Fair Value Measurement and Disclosure Requirements in U.S. GAAP and International Financial Reporting Standards (“IFRS”).” This pronouncement was issued to provide a consistent definition of fair value and ensure that the fair value measurement and disclosure requirements are similar between U.S. GAAP and IFRS. ASU 2011-04 changes certain fair value measurement principles and enhances the disclosure requirements particularly for level 3 fair value measurements. This pronouncement is effective for reporting periods beginning on or after December 15, 2011. The adoption of ASU 2011-04 is not expected to have a significant impact to our consolidated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January 2010, the FASB issued ASU No. 2010-6 to improve the disclosure and transparency of fair value measurements. These amendments clarify the level of disaggregation required, and the necessary disclosures about the valuation techniques and inputs used to measure fair value for both recurring and nonrecurring fair value measurements. The amendments in the update are effective prospectively for interim and annual periods beginning on or after December 15, 2009, except for the separate disclosures about purchases, sales, issuances, and settlements relating to Level 3 measurements, which are effective for fiscal years beginning on or after December 15, 2010, and for interim periods within those fiscal years. We adopted the portion of this ASU that was effective beginning on or after December 15, 2010, beginning January 1, 2011. The adoption of this ASU did not have a material effect on our consolidated results of operations and financial condition.</w:t>
      </w:r>
    </w:p>
    <w:p>
      <w:pPr>
        <w:spacing w:after="0" w:line="11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During December 2010, the FASB issued ASU No. 2010-29 to address diversity in practice regarding the interpretation of the pro forma revenue and earnings disclosure requirements for business combinations. ASC 805- 10-50-2(h) requires a public entity to disclose pro forma information for business combinations that occurred during the current annual reporting period. The disclosures include combined pro forma revenue and earnings as though the acquisition date for all business combinations during the year had been as of the beginning of the annual reporting period. If comparative financial statements are presented, the pro forma revenue and earnings of the combined entity should be reported as though the acquisition date for all business combinations that occurred during the current year had been as of the beginning of the comparable prior annual reporting period. In practice, some preparers have presented the pro forma information in their comparative financial statements as if the business combination that occurred in the current reporting period had occurred as of the beginning of each of the current and prior annual reporting periods. Other preparers have disclosed the pro forma information as if the business combination occurred at the beginning of the prior annual reporting period only, and carried forward the related adjustments, if applicable, through the current reporting period. The amendments in this update specify that if a public entity presents comparative financial statements, the entity should disclose revenue and earnings of the combined entity as though the business combination(s) that occurred during the current year had occurred as of the beginning of the comparable prior annual reporting period only. The amendments in this update also expand the supplemental pro forma disclosures under Topic 805 to include a description of the nature and amount of material, nonrecurring pro forma adjustments directly attributable to the business combination included in the reported pro forma revenue and earnings. The amendments in this update are effective prospectively for business combinations for which the acquisition date is on or after the beginning of the first annual reporting period beginning on or after December 15, 2010. We adopted this ASU beginning January 1, 2011. The adoption of this ASU did not have a material effect on our consolidated results of operations and financial condition.</w:t>
      </w:r>
    </w:p>
    <w:p>
      <w:pPr>
        <w:spacing w:after="0" w:line="12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October 2009, the FASB issued ASU No. 2009-14 to address accounting for arrangements that contain tangible products and software. The amendments in this update clarify what guidance should be utilized in allocating and measuring revenue for products that contain software that is “more than incidental” to the product as a whole. Currently, products that contain software that is “more than incidental” to the product as a whole are within the scope of software accounting guidance. Software accounting guidance requires a vendor to use vendor-specific objective evidence (“VSOE”) of selling price to separate the software from the product and account for the two elements as a multiple-element arrangement. A vendor must sell, or intend to sell, a particular element separately to assert VSOE for that element. Third-party evidence for selling price is not allowed under the software accounting model. If a vendor does not have VSOE for the undelivered elements in the arrangement, the revenue associated with both the delivered and undelivered elements is combined into one unit of accounting. Any revenue attributable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the delivered elements is then deferred and recognized at a later date, which in many cases is as the undelivered elements are delivered by the vendor. This ASU addresses concerns that the current accounting model may not appropriately reflect the economics of the underlying transactions because no revenue is recognized for some products for which the vendor has already completed the related performance. In addition, this ASU addresses the concern that more software enabled products fall within the scope of the current software accounting model than was originally intended because of ongoing technical advancements. The amendments in the update are effective prospectively for revenue arrangements entered into or materially modified in fiscal years beginning on or after June 15, 2010. We adopted this ASU beginning January 1, 2011. The adoption of this ASU did not have a material effect on our consolidated results of operations and financial condition.</w:t>
      </w:r>
    </w:p>
    <w:p>
      <w:pPr>
        <w:spacing w:after="0" w:line="14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October 2009, the FASB issued ASU No. 2009-13 to address the accounting for multiple-deliverable arrangements to enable vendors to account for products or services (deliverables) separately rather than as a combined accounting unit. Current accounting guidance requires a vendor to use VSOE or third-party evidence (“TPE”) of selling price to separate deliverables in a multiple-deliverable arrangement. VSOE of selling price is the price charged for a deliverable when it is sold separately or, for a deliverable not yet being sold separately, the price established by management with the appropriate authority. If a vendor does not have VSOE for the undelivered elements in the arrangement, the revenue associated with both the delivered and undelivered elements is combined into one unit of accounting. Any revenue attributable to the delivered products is then deferred and recognized at a later date, which in many cases is as the undelivered elements are delivered by the vendor. An exception to this guidance exists if the vendor has VSOE or TPE of selling price for the undelivered elements in the arrangement but not for the delivered elements. In those situations, the vendor uses the residual value method to allocate revenue to the delivered element, which results in the allocation of the entire discount in the arrangement, if any, to the delivered element. This ASU addresses concerns that the current accounting model may not appropriately reflect the economics of the underlying transactions because sometimes no revenue is recognized for products for which the vendor has already completed the related performance. As a result of this amendment, multiple element arrangements will be separated into multiple units of accounting in more circumstances than under the existing accounting model. This amendment establishes a selling price hierarchy for determining the selling price of a deliverable. The selling price utilized for each deliverable will be based on VSOE if available, TPE if VSOE is not available, or estimated selling price if neither VSOE or TPE evidence is available. The residual method is eliminated. The amendments in the update are effective prospectively for revenue arrangements entered into or materially modified in fiscal years beginning on or after June 15, 2010. We adopted this ASU beginning January 1, 2011. The adoption of this ASU did not have a material effect on our consolidated results of operations and financial condition.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and Cash Equivalents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Our cash and cash equivalents that were accounted for at fair value on a recurring basis on September 30, 2011 and December 31, 2010 were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1"/>
              </w:rPr>
              <w:t>September 30, 2011</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2010</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vMerge w:val="continue"/>
          </w:tcPr>
          <w:p>
            <w:pPr>
              <w:spacing w:after="0"/>
              <w:rPr>
                <w:sz w:val="12"/>
                <w:szCs w:val="12"/>
                <w:color w:val="auto"/>
              </w:rPr>
            </w:pPr>
          </w:p>
        </w:tc>
        <w:tc>
          <w:tcPr>
            <w:tcW w:w="222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w w:val="97"/>
              </w:rPr>
              <w:t>Fair Value Measurement Using</w:t>
            </w:r>
          </w:p>
        </w:tc>
        <w:tc>
          <w:tcPr>
            <w:tcW w:w="28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280" w:type="dxa"/>
            <w:vAlign w:val="bottom"/>
          </w:tcPr>
          <w:p>
            <w:pPr>
              <w:spacing w:after="0"/>
              <w:rPr>
                <w:sz w:val="12"/>
                <w:szCs w:val="12"/>
                <w:color w:val="auto"/>
              </w:rPr>
            </w:pPr>
          </w:p>
        </w:tc>
        <w:tc>
          <w:tcPr>
            <w:tcW w:w="2500" w:type="dxa"/>
            <w:vAlign w:val="bottom"/>
            <w:gridSpan w:val="6"/>
          </w:tcPr>
          <w:p>
            <w:pPr>
              <w:ind w:left="220"/>
              <w:spacing w:after="0" w:line="142" w:lineRule="exact"/>
              <w:rPr>
                <w:sz w:val="20"/>
                <w:szCs w:val="20"/>
                <w:color w:val="auto"/>
              </w:rPr>
            </w:pPr>
            <w:r>
              <w:rPr>
                <w:rFonts w:ascii="Arial" w:cs="Arial" w:eastAsia="Arial" w:hAnsi="Arial"/>
                <w:sz w:val="14"/>
                <w:szCs w:val="14"/>
                <w:b w:val="1"/>
                <w:bCs w:val="1"/>
                <w:color w:val="auto"/>
              </w:rPr>
              <w:t>Fair Value Measurement Using</w:t>
            </w: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line="142" w:lineRule="exact"/>
              <w:rPr>
                <w:sz w:val="20"/>
                <w:szCs w:val="20"/>
                <w:color w:val="auto"/>
              </w:rPr>
            </w:pPr>
            <w:r>
              <w:rPr>
                <w:rFonts w:ascii="Arial" w:cs="Arial" w:eastAsia="Arial" w:hAnsi="Arial"/>
                <w:sz w:val="14"/>
                <w:szCs w:val="14"/>
                <w:b w:val="1"/>
                <w:bCs w:val="1"/>
                <w:color w:val="auto"/>
              </w:rPr>
              <w:t>Description</w:t>
            </w: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(Level 1)</w:t>
            </w: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(Level 2)</w:t>
            </w: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(Level 3)</w:t>
            </w:r>
          </w:p>
        </w:tc>
        <w:tc>
          <w:tcPr>
            <w:tcW w:w="280" w:type="dxa"/>
            <w:vAlign w:val="bottom"/>
          </w:tcPr>
          <w:p>
            <w:pPr>
              <w:spacing w:after="0"/>
              <w:rPr>
                <w:sz w:val="12"/>
                <w:szCs w:val="12"/>
                <w:color w:val="auto"/>
              </w:rPr>
            </w:pPr>
          </w:p>
        </w:tc>
        <w:tc>
          <w:tcPr>
            <w:tcW w:w="9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5"/>
              </w:rPr>
              <w:t>Balance</w:t>
            </w:r>
          </w:p>
        </w:tc>
        <w:tc>
          <w:tcPr>
            <w:tcW w:w="92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7"/>
              </w:rPr>
              <w:t>(Level 1)</w:t>
            </w:r>
          </w:p>
        </w:tc>
        <w:tc>
          <w:tcPr>
            <w:tcW w:w="7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2)</w:t>
            </w:r>
          </w:p>
        </w:tc>
        <w:tc>
          <w:tcPr>
            <w:tcW w:w="52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4"/>
              </w:rPr>
              <w:t>(Level 3)</w:t>
            </w:r>
          </w:p>
        </w:tc>
        <w:tc>
          <w:tcPr>
            <w:tcW w:w="280" w:type="dxa"/>
            <w:vAlign w:val="bottom"/>
          </w:tcPr>
          <w:p>
            <w:pPr>
              <w:spacing w:after="0"/>
              <w:rPr>
                <w:sz w:val="12"/>
                <w:szCs w:val="12"/>
                <w:color w:val="auto"/>
              </w:rPr>
            </w:pPr>
          </w:p>
        </w:tc>
        <w:tc>
          <w:tcPr>
            <w:tcW w:w="7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$ 32,000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$ 32,000</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$ 54,249</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$ 54,249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On September 30, 2011, we had approximately $6.3 million, $6.1 million, $18.7 million, $13 thousand and $0.9 million of cash and cash equivalents in the United States, Europe, Asia, Cayman Islands, and South America, respectively. On December 31, 2010, we had approximately $6.5 million, $15.0 million, $27.8 million, $4.0 million, and $0.9 million of cash and cash equivalents in the United States, Europe, Asia, Cayman Islands and South America, respectively.</w:t>
      </w:r>
    </w:p>
    <w:p>
      <w:pPr>
        <w:spacing w:after="0" w:line="10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Cash, Cash Equivalents, and Term Deposit</w:t>
      </w:r>
      <w:r>
        <w:rPr>
          <w:rFonts w:ascii="Arial" w:cs="Arial" w:eastAsia="Arial" w:hAnsi="Arial"/>
          <w:sz w:val="18"/>
          <w:szCs w:val="18"/>
          <w:color w:val="auto"/>
        </w:rPr>
        <w:t xml:space="preserve"> in our Annual Report on Form 10-K for further information regarding our accounting principles.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 net and Revenue Concentrations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 on September 30, 2011 and December 31, 2010:</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6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r>
      <w:tr>
        <w:trPr>
          <w:trHeight w:val="210"/>
        </w:trPr>
        <w:tc>
          <w:tcPr>
            <w:tcW w:w="6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receivables, gross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90,748</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88,485</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(1,003)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sales returns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(1,366)</w:t>
            </w:r>
          </w:p>
        </w:tc>
      </w:tr>
      <w:tr>
        <w:trPr>
          <w:trHeight w:val="221"/>
        </w:trPr>
        <w:tc>
          <w:tcPr>
            <w:tcW w:w="6180" w:type="dxa"/>
            <w:vAlign w:val="bottom"/>
          </w:tcPr>
          <w:p>
            <w:pPr>
              <w:ind w:left="440"/>
              <w:spacing w:after="0"/>
              <w:rPr>
                <w:sz w:val="20"/>
                <w:szCs w:val="20"/>
                <w:color w:val="auto"/>
              </w:rPr>
            </w:pPr>
            <w:r>
              <w:rPr>
                <w:rFonts w:ascii="Arial" w:cs="Arial" w:eastAsia="Arial" w:hAnsi="Arial"/>
                <w:sz w:val="18"/>
                <w:szCs w:val="18"/>
                <w:color w:val="auto"/>
              </w:rPr>
              <w:t>Trade receivables, net</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88,817</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86,241</w:t>
            </w:r>
          </w:p>
        </w:tc>
        <w:tc>
          <w:tcPr>
            <w:tcW w:w="120" w:type="dxa"/>
            <w:vAlign w:val="bottom"/>
          </w:tcPr>
          <w:p>
            <w:pPr>
              <w:spacing w:after="0"/>
              <w:rPr>
                <w:sz w:val="19"/>
                <w:szCs w:val="19"/>
                <w:color w:val="auto"/>
              </w:rPr>
            </w:pPr>
          </w:p>
        </w:tc>
      </w:tr>
      <w:tr>
        <w:trPr>
          <w:trHeight w:val="218"/>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r>
      <w:tr>
        <w:trPr>
          <w:trHeight w:val="222"/>
        </w:trPr>
        <w:tc>
          <w:tcPr>
            <w:tcW w:w="618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88,983</w:t>
            </w:r>
          </w:p>
        </w:tc>
        <w:tc>
          <w:tcPr>
            <w:tcW w:w="400" w:type="dxa"/>
            <w:vAlign w:val="bottom"/>
          </w:tcPr>
          <w:p>
            <w:pPr>
              <w:spacing w:after="0"/>
              <w:rPr>
                <w:sz w:val="19"/>
                <w:szCs w:val="19"/>
                <w:color w:val="auto"/>
              </w:rPr>
            </w:pPr>
          </w:p>
        </w:tc>
        <w:tc>
          <w:tcPr>
            <w:tcW w:w="5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86,304</w:t>
            </w:r>
          </w:p>
        </w:tc>
        <w:tc>
          <w:tcPr>
            <w:tcW w:w="12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during the three and nine months ended September 30, 2011 and 2010 were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4"/>
                <w:szCs w:val="14"/>
                <w:color w:val="auto"/>
              </w:rPr>
            </w:pPr>
          </w:p>
        </w:tc>
        <w:tc>
          <w:tcPr>
            <w:tcW w:w="78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4"/>
              </w:rPr>
              <w:t>Balance at</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3"/>
              </w:rPr>
              <w:t>Additions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34"/>
        </w:trPr>
        <w:tc>
          <w:tcPr>
            <w:tcW w:w="454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8"/>
              </w:rPr>
              <w:t>Beginning of</w:t>
            </w:r>
          </w:p>
        </w:tc>
        <w:tc>
          <w:tcPr>
            <w:tcW w:w="580" w:type="dxa"/>
            <w:vAlign w:val="bottom"/>
          </w:tcPr>
          <w:p>
            <w:pPr>
              <w:spacing w:after="0"/>
              <w:rPr>
                <w:sz w:val="11"/>
                <w:szCs w:val="11"/>
                <w:color w:val="auto"/>
              </w:rPr>
            </w:pPr>
          </w:p>
        </w:tc>
        <w:tc>
          <w:tcPr>
            <w:tcW w:w="13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to Costs and</w:t>
            </w:r>
          </w:p>
        </w:tc>
        <w:tc>
          <w:tcPr>
            <w:tcW w:w="13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49"/>
        </w:trPr>
        <w:tc>
          <w:tcPr>
            <w:tcW w:w="4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19"/>
              <w:spacing w:after="0" w:line="129" w:lineRule="exact"/>
              <w:rPr>
                <w:sz w:val="20"/>
                <w:szCs w:val="20"/>
                <w:color w:val="auto"/>
              </w:rPr>
            </w:pPr>
            <w:r>
              <w:rPr>
                <w:rFonts w:ascii="Arial" w:cs="Arial" w:eastAsia="Arial" w:hAnsi="Arial"/>
                <w:sz w:val="14"/>
                <w:szCs w:val="14"/>
                <w:b w:val="1"/>
                <w:bCs w:val="1"/>
                <w:color w:val="auto"/>
                <w:w w:val="96"/>
              </w:rPr>
              <w:t>Period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79"/>
              </w:rPr>
              <w:t>Expenses</w:t>
            </w:r>
          </w:p>
        </w:tc>
        <w:tc>
          <w:tcPr>
            <w:tcW w:w="132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FX Effects</w:t>
            </w:r>
          </w:p>
        </w:tc>
        <w:tc>
          <w:tcPr>
            <w:tcW w:w="100" w:type="dxa"/>
            <w:vAlign w:val="bottom"/>
          </w:tcPr>
          <w:p>
            <w:pPr>
              <w:spacing w:after="0"/>
              <w:rPr>
                <w:sz w:val="12"/>
                <w:szCs w:val="12"/>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4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Valuation account for trade receivables</w:t>
            </w:r>
          </w:p>
        </w:tc>
        <w:tc>
          <w:tcPr>
            <w:tcW w:w="1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440"/>
              <w:spacing w:after="0"/>
              <w:rPr>
                <w:sz w:val="20"/>
                <w:szCs w:val="20"/>
                <w:color w:val="auto"/>
              </w:rPr>
            </w:pPr>
            <w:r>
              <w:rPr>
                <w:rFonts w:ascii="Arial" w:cs="Arial" w:eastAsia="Arial" w:hAnsi="Arial"/>
                <w:sz w:val="18"/>
                <w:szCs w:val="18"/>
                <w:color w:val="auto"/>
              </w:rPr>
              <w:t>Three months ended September 30, 2011</w:t>
            </w:r>
          </w:p>
        </w:tc>
        <w:tc>
          <w:tcPr>
            <w:tcW w:w="136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1,105</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Three months ended September 30, 2010</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during the nine months ended September 30, 2011 and 2010 were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Balance at</w:t>
            </w:r>
          </w:p>
        </w:tc>
        <w:tc>
          <w:tcPr>
            <w:tcW w:w="80" w:type="dxa"/>
            <w:vAlign w:val="bottom"/>
          </w:tcPr>
          <w:p>
            <w:pPr>
              <w:spacing w:after="0"/>
              <w:rPr>
                <w:sz w:val="14"/>
                <w:szCs w:val="14"/>
                <w:color w:val="auto"/>
              </w:rPr>
            </w:pPr>
          </w:p>
        </w:tc>
        <w:tc>
          <w:tcPr>
            <w:tcW w:w="660" w:type="dxa"/>
            <w:vAlign w:val="bottom"/>
          </w:tcPr>
          <w:p>
            <w:pPr>
              <w:jc w:val="right"/>
              <w:ind w:right="2"/>
              <w:spacing w:after="0"/>
              <w:rPr>
                <w:sz w:val="20"/>
                <w:szCs w:val="20"/>
                <w:color w:val="auto"/>
              </w:rPr>
            </w:pPr>
            <w:r>
              <w:rPr>
                <w:rFonts w:ascii="Arial" w:cs="Arial" w:eastAsia="Arial" w:hAnsi="Arial"/>
                <w:sz w:val="14"/>
                <w:szCs w:val="14"/>
                <w:b w:val="1"/>
                <w:bCs w:val="1"/>
                <w:color w:val="auto"/>
                <w:w w:val="86"/>
              </w:rPr>
              <w:t>Additions</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34"/>
        </w:trPr>
        <w:tc>
          <w:tcPr>
            <w:tcW w:w="5740" w:type="dxa"/>
            <w:vAlign w:val="bottom"/>
            <w:gridSpan w:val="2"/>
            <w:vMerge w:val="continue"/>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Beginning of</w:t>
            </w:r>
          </w:p>
        </w:tc>
        <w:tc>
          <w:tcPr>
            <w:tcW w:w="7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4"/>
              </w:rPr>
              <w:t>to Costs and</w:t>
            </w:r>
          </w:p>
        </w:tc>
        <w:tc>
          <w:tcPr>
            <w:tcW w:w="60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(Write-offs)/</w:t>
            </w:r>
          </w:p>
        </w:tc>
        <w:tc>
          <w:tcPr>
            <w:tcW w:w="1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49"/>
        </w:trPr>
        <w:tc>
          <w:tcPr>
            <w:tcW w:w="57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240" w:type="dxa"/>
            <w:vAlign w:val="bottom"/>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7"/>
              </w:rPr>
              <w:t>Period</w:t>
            </w:r>
          </w:p>
        </w:tc>
        <w:tc>
          <w:tcPr>
            <w:tcW w:w="80" w:type="dxa"/>
            <w:vAlign w:val="bottom"/>
          </w:tcPr>
          <w:p>
            <w:pPr>
              <w:spacing w:after="0"/>
              <w:rPr>
                <w:sz w:val="12"/>
                <w:szCs w:val="12"/>
                <w:color w:val="auto"/>
              </w:rPr>
            </w:pPr>
          </w:p>
        </w:tc>
        <w:tc>
          <w:tcPr>
            <w:tcW w:w="66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w w:val="82"/>
              </w:rPr>
              <w:t>Expenses</w:t>
            </w:r>
          </w:p>
        </w:tc>
        <w:tc>
          <w:tcPr>
            <w:tcW w:w="600" w:type="dxa"/>
            <w:vAlign w:val="bottom"/>
          </w:tcPr>
          <w:p>
            <w:pPr>
              <w:spacing w:after="0"/>
              <w:rPr>
                <w:sz w:val="12"/>
                <w:szCs w:val="12"/>
                <w:color w:val="auto"/>
              </w:rPr>
            </w:pPr>
          </w:p>
        </w:tc>
        <w:tc>
          <w:tcPr>
            <w:tcW w:w="1340" w:type="dxa"/>
            <w:vAlign w:val="bottom"/>
            <w:gridSpan w:val="3"/>
          </w:tcPr>
          <w:p>
            <w:pPr>
              <w:jc w:val="right"/>
              <w:ind w:right="660"/>
              <w:spacing w:after="0" w:line="129" w:lineRule="exact"/>
              <w:rPr>
                <w:sz w:val="20"/>
                <w:szCs w:val="20"/>
                <w:color w:val="auto"/>
              </w:rPr>
            </w:pPr>
            <w:r>
              <w:rPr>
                <w:rFonts w:ascii="Arial" w:cs="Arial" w:eastAsia="Arial" w:hAnsi="Arial"/>
                <w:sz w:val="14"/>
                <w:szCs w:val="14"/>
                <w:b w:val="1"/>
                <w:bCs w:val="1"/>
                <w:color w:val="auto"/>
                <w:w w:val="96"/>
              </w:rPr>
              <w:t>FX Effects</w:t>
            </w:r>
          </w:p>
        </w:tc>
        <w:tc>
          <w:tcPr>
            <w:tcW w:w="100" w:type="dxa"/>
            <w:vAlign w:val="bottom"/>
          </w:tcPr>
          <w:p>
            <w:pPr>
              <w:spacing w:after="0"/>
              <w:rPr>
                <w:sz w:val="12"/>
                <w:szCs w:val="12"/>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4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Valuation account for trade receivables</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440"/>
              <w:spacing w:after="0"/>
              <w:rPr>
                <w:sz w:val="20"/>
                <w:szCs w:val="20"/>
                <w:color w:val="auto"/>
              </w:rPr>
            </w:pPr>
            <w:r>
              <w:rPr>
                <w:rFonts w:ascii="Arial" w:cs="Arial" w:eastAsia="Arial" w:hAnsi="Arial"/>
                <w:sz w:val="18"/>
                <w:szCs w:val="18"/>
                <w:color w:val="auto"/>
              </w:rPr>
              <w:t>Nine months ended September 30, 2011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251</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Nine months ended September 30, 2010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allowance for sales returns balance at September 30, 2011 and December 31, 2010 contained reserves for items returned prior to year-end, but were not completely processed, and therefore had not yet been removed from the allowance for sales returns balance. If these returns had been fully processed, the allowance for sales returns balance would have been approximately $0.6 million and $0.9 million on September 30, 2011 and December 31, 2010, respectively. The value of these returned goods was included in our inventory balance at September 30, 2011 and December 31, 2010.</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three months ended September 30, 2011, we had net sales to one significant customer (customer A), that when combined with their subcontractors, totaled to more than 10% of our net sales. During the nine months ended September 30, 2011, we had net sales to two significant customers (customers A and C), that when combined with their subcontractors, each totaled to more than 10% of our net sales. During the three and nine months ended September 30, 2010, we had net sales to two significant customers (customers A and B), that when combined with their subcontractors, each totaled to more than 10% of our net sales as follows: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5"/>
              </w:rPr>
              <w:t>Three Months Ended September 30,</w:t>
            </w:r>
          </w:p>
        </w:tc>
        <w:tc>
          <w:tcPr>
            <w:tcW w:w="5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2010</w:t>
            </w:r>
          </w:p>
        </w:tc>
        <w:tc>
          <w:tcPr>
            <w:tcW w:w="8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 of Net Sales</w:t>
            </w:r>
          </w:p>
        </w:tc>
        <w:tc>
          <w:tcPr>
            <w:tcW w:w="8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2"/>
              </w:rPr>
              <w:t>(thousands)</w:t>
            </w:r>
          </w:p>
        </w:tc>
        <w:tc>
          <w:tcPr>
            <w:tcW w:w="5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 of Net Sales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Customer A</w:t>
            </w:r>
          </w:p>
        </w:tc>
        <w:tc>
          <w:tcPr>
            <w:tcW w:w="19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vMerge w:val="continue"/>
            <w:shd w:val="clear" w:color="auto" w:fill="CCEEFF"/>
          </w:tcPr>
          <w:p>
            <w:pPr>
              <w:spacing w:after="0"/>
              <w:rPr>
                <w:sz w:val="18"/>
                <w:szCs w:val="18"/>
                <w:color w:val="auto"/>
              </w:rPr>
            </w:pPr>
          </w:p>
        </w:tc>
        <w:tc>
          <w:tcPr>
            <w:tcW w:w="1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16,045</w:t>
            </w: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11,540</w:t>
            </w:r>
          </w:p>
        </w:tc>
        <w:tc>
          <w:tcPr>
            <w:tcW w:w="14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Customer B</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11,141</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1"/>
        </w:trPr>
        <w:tc>
          <w:tcPr>
            <w:tcW w:w="2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7"/>
              </w:rPr>
              <w:t>Nine Months Ended September 30,</w:t>
            </w:r>
          </w:p>
        </w:tc>
        <w:tc>
          <w:tcPr>
            <w:tcW w:w="5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2011</w:t>
            </w:r>
          </w:p>
        </w:tc>
        <w:tc>
          <w:tcPr>
            <w:tcW w:w="860" w:type="dxa"/>
            <w:vAlign w:val="bottom"/>
            <w:tcBorders>
              <w:bottom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2010</w:t>
            </w:r>
          </w:p>
        </w:tc>
        <w:tc>
          <w:tcPr>
            <w:tcW w:w="8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 of Net Sales</w:t>
            </w:r>
          </w:p>
        </w:tc>
        <w:tc>
          <w:tcPr>
            <w:tcW w:w="80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2"/>
              </w:rPr>
              <w:t>(thousands)</w:t>
            </w:r>
          </w:p>
        </w:tc>
        <w:tc>
          <w:tcPr>
            <w:tcW w:w="5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 of Net Sales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Customer A</w:t>
            </w:r>
          </w:p>
        </w:tc>
        <w:tc>
          <w:tcPr>
            <w:tcW w:w="19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vMerge w:val="continue"/>
            <w:shd w:val="clear" w:color="auto" w:fill="CCEEFF"/>
          </w:tcPr>
          <w:p>
            <w:pPr>
              <w:spacing w:after="0"/>
              <w:rPr>
                <w:sz w:val="18"/>
                <w:szCs w:val="18"/>
                <w:color w:val="auto"/>
              </w:rPr>
            </w:pPr>
          </w:p>
        </w:tc>
        <w:tc>
          <w:tcPr>
            <w:tcW w:w="1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36,571</w:t>
            </w: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30,710</w:t>
            </w:r>
          </w:p>
        </w:tc>
        <w:tc>
          <w:tcPr>
            <w:tcW w:w="14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Customer B</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66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31,057</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208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38,456</w:t>
            </w:r>
          </w:p>
        </w:tc>
        <w:tc>
          <w:tcPr>
            <w:tcW w:w="22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with these customers were the following on September 30, 2011 and December 31,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4"/>
          </w:tcPr>
          <w:p>
            <w:pPr>
              <w:ind w:left="560"/>
              <w:spacing w:after="0"/>
              <w:rPr>
                <w:sz w:val="20"/>
                <w:szCs w:val="20"/>
                <w:color w:val="auto"/>
              </w:rPr>
            </w:pPr>
            <w:r>
              <w:rPr>
                <w:rFonts w:ascii="Arial" w:cs="Arial" w:eastAsia="Arial" w:hAnsi="Arial"/>
                <w:sz w:val="14"/>
                <w:szCs w:val="14"/>
                <w:b w:val="1"/>
                <w:bCs w:val="1"/>
                <w:color w:val="auto"/>
              </w:rPr>
              <w:t>September 30, 2011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9"/>
        </w:trPr>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 of Accounts</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 of Accounts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(thousands)</w:t>
            </w: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Receivable, Net</w:t>
            </w:r>
          </w:p>
        </w:tc>
        <w:tc>
          <w:tcPr>
            <w:tcW w:w="440" w:type="dxa"/>
            <w:vAlign w:val="bottom"/>
            <w:gridSpan w:val="2"/>
          </w:tcPr>
          <w:p>
            <w:pPr>
              <w:ind w:left="360"/>
              <w:spacing w:after="0"/>
              <w:rPr>
                <w:sz w:val="20"/>
                <w:szCs w:val="20"/>
                <w:color w:val="auto"/>
              </w:rPr>
            </w:pPr>
            <w:r>
              <w:rPr>
                <w:rFonts w:ascii="Arial" w:cs="Arial" w:eastAsia="Arial" w:hAnsi="Arial"/>
                <w:sz w:val="14"/>
                <w:szCs w:val="14"/>
                <w:b w:val="1"/>
                <w:bCs w:val="1"/>
                <w:color w:val="auto"/>
                <w:w w:val="76"/>
              </w:rPr>
              <w:t>$</w:t>
            </w:r>
          </w:p>
        </w:tc>
        <w:tc>
          <w:tcPr>
            <w:tcW w:w="14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2"/>
              </w:rPr>
              <w:t>(thousands)</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Receivable, Net</w:t>
            </w:r>
          </w:p>
        </w:tc>
        <w:tc>
          <w:tcPr>
            <w:tcW w:w="0" w:type="dxa"/>
            <w:vAlign w:val="bottom"/>
          </w:tcPr>
          <w:p>
            <w:pPr>
              <w:spacing w:after="0"/>
              <w:rPr>
                <w:sz w:val="1"/>
                <w:szCs w:val="1"/>
                <w:color w:val="auto"/>
              </w:rPr>
            </w:pPr>
          </w:p>
        </w:tc>
      </w:tr>
      <w:tr>
        <w:trPr>
          <w:trHeight w:val="20"/>
        </w:trPr>
        <w:tc>
          <w:tcPr>
            <w:tcW w:w="2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Customer A</w:t>
            </w:r>
          </w:p>
        </w:tc>
        <w:tc>
          <w:tcPr>
            <w:tcW w:w="18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vMerge w:val="continue"/>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9,325</w:t>
            </w:r>
          </w:p>
        </w:tc>
        <w:tc>
          <w:tcPr>
            <w:tcW w:w="76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9,481</w:t>
            </w:r>
          </w:p>
        </w:tc>
        <w:tc>
          <w:tcPr>
            <w:tcW w:w="74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Customer B</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4,786</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96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9,199</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We had a fourth customer that accounted for greater than 10% of accounts receivable, net on December 31, 2010, but did not account for greater than 10% of net sales for the year then ended. Trade receivables with this customer amounted to $10.5 million, or 12.1%, of our accounts receivable, net on December 31, 2010.</w:t>
      </w:r>
    </w:p>
    <w:p>
      <w:pPr>
        <w:spacing w:after="0" w:line="6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loss of these customers or any other customer, either in the United States or abroad, due to their financial weakness or bankruptcy, or our inability to obtain orders or maintain our order volume with them, may have a material effect on our financial condition, results of operations and cash flows.</w:t>
      </w:r>
    </w:p>
    <w:p>
      <w:pPr>
        <w:spacing w:after="0" w:line="8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See Note 2 under the captions </w:t>
      </w:r>
      <w:r>
        <w:rPr>
          <w:rFonts w:ascii="Arial" w:cs="Arial" w:eastAsia="Arial" w:hAnsi="Arial"/>
          <w:sz w:val="18"/>
          <w:szCs w:val="18"/>
          <w:i w:val="1"/>
          <w:iCs w:val="1"/>
          <w:color w:val="auto"/>
        </w:rPr>
        <w:t>Revenue Recognition and Sales Allowances</w:t>
      </w:r>
      <w:r>
        <w:rPr>
          <w:rFonts w:ascii="Arial" w:cs="Arial" w:eastAsia="Arial" w:hAnsi="Arial"/>
          <w:sz w:val="18"/>
          <w:szCs w:val="18"/>
          <w:color w:val="auto"/>
        </w:rPr>
        <w:t xml:space="preserve"> and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in our Annual Report on Form 10-K for further information regarding our accounting principles.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 net and Significant Suppliers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 on September 30, 2011 and December 31, 2010:</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61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Raw materials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 xml:space="preserve">Components </w:t>
            </w:r>
            <w:r>
              <w:rPr>
                <w:rFonts w:ascii="Arial" w:cs="Arial" w:eastAsia="Arial" w:hAnsi="Arial"/>
                <w:sz w:val="11"/>
                <w:szCs w:val="11"/>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19,880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 xml:space="preserve">Finished goods </w:t>
            </w: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46,497</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(2,977)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vMerge w:val="continue"/>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84,818</w:t>
            </w:r>
          </w:p>
        </w:tc>
        <w:tc>
          <w:tcPr>
            <w:tcW w:w="420" w:type="dxa"/>
            <w:vAlign w:val="bottom"/>
          </w:tcPr>
          <w:p>
            <w:pPr>
              <w:spacing w:after="0"/>
              <w:rPr>
                <w:sz w:val="19"/>
                <w:szCs w:val="19"/>
                <w:color w:val="auto"/>
              </w:rPr>
            </w:pPr>
          </w:p>
        </w:tc>
        <w:tc>
          <w:tcPr>
            <w:tcW w:w="5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right="240" w:hanging="452"/>
        <w:spacing w:after="0" w:line="235" w:lineRule="auto"/>
        <w:tabs>
          <w:tab w:leader="none" w:pos="46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During the nine months ended September 30, 2011, we increased our safety stock of certain components, including integrated circuits, as a result of uncertainties regarding the ultimate effect that the Tsunami in Japan and the Golden Week holiday in the People’s Republic of China would have on our supply chain.</w:t>
      </w:r>
    </w:p>
    <w:p>
      <w:pPr>
        <w:spacing w:after="0" w:line="1" w:lineRule="exact"/>
        <w:rPr>
          <w:rFonts w:ascii="Arial" w:cs="Arial" w:eastAsia="Arial" w:hAnsi="Arial"/>
          <w:sz w:val="22"/>
          <w:szCs w:val="22"/>
          <w:color w:val="auto"/>
          <w:vertAlign w:val="superscript"/>
        </w:rPr>
      </w:pPr>
    </w:p>
    <w:p>
      <w:pPr>
        <w:ind w:left="460" w:right="120" w:hanging="452"/>
        <w:spacing w:after="0" w:line="248" w:lineRule="auto"/>
        <w:tabs>
          <w:tab w:leader="none" w:pos="460" w:val="left"/>
        </w:tabs>
        <w:numPr>
          <w:ilvl w:val="0"/>
          <w:numId w:val="3"/>
        </w:numPr>
        <w:rPr>
          <w:rFonts w:ascii="Arial" w:cs="Arial" w:eastAsia="Arial" w:hAnsi="Arial"/>
          <w:sz w:val="21"/>
          <w:szCs w:val="21"/>
          <w:color w:val="auto"/>
          <w:vertAlign w:val="superscript"/>
        </w:rPr>
      </w:pPr>
      <w:r>
        <w:rPr>
          <w:rFonts w:ascii="Arial" w:cs="Arial" w:eastAsia="Arial" w:hAnsi="Arial"/>
          <w:sz w:val="17"/>
          <w:szCs w:val="17"/>
          <w:color w:val="auto"/>
        </w:rPr>
        <w:t>Finished goods increased $8.1 million, or 21%, from $38.4 million on December 31, 2010 to $46.5 million on September 30, 2001. During the second quarter of 2011, we altered our shipping terms with a significant customer which resulted in us holding title to inventories until shipments are received by them. Prior to altering our shipping terms, title transferred to this significant customer at the shipping 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-850265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Changes in the reserve for excess and obsolete inventory during the three months ended September 30, 2011 and 2010 were composed of the following:</w:t>
      </w:r>
    </w:p>
    <w:p>
      <w:pPr>
        <w:sectPr>
          <w:pgSz w:w="11900" w:h="16838" w:orient="portrait"/>
          <w:cols w:equalWidth="0" w:num="1">
            <w:col w:w="11320"/>
          </w:cols>
          <w:pgMar w:left="240" w:top="459"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575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440" w:right="2020" w:hanging="431"/>
        <w:spacing w:after="0" w:line="335" w:lineRule="auto"/>
        <w:rPr>
          <w:sz w:val="20"/>
          <w:szCs w:val="20"/>
          <w:color w:val="auto"/>
        </w:rPr>
      </w:pPr>
      <w:r>
        <w:rPr>
          <w:rFonts w:ascii="Arial" w:cs="Arial" w:eastAsia="Arial" w:hAnsi="Arial"/>
          <w:sz w:val="15"/>
          <w:szCs w:val="15"/>
          <w:color w:val="auto"/>
        </w:rPr>
        <w:t>Reserve for excess and obsolete inventory: Three Months Ended September 30, 2011 Three Months Ended September 30, 2010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w w:val="92"/>
              </w:rPr>
              <w:t>Additions</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10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Charged to</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r>
      <w:tr>
        <w:trPr>
          <w:trHeight w:val="134"/>
        </w:trPr>
        <w:tc>
          <w:tcPr>
            <w:tcW w:w="10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Beginning of</w:t>
            </w:r>
          </w:p>
        </w:tc>
        <w:tc>
          <w:tcPr>
            <w:tcW w:w="24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w w:val="88"/>
              </w:rPr>
              <w:t>Costs and</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460"/>
              <w:spacing w:after="0" w:line="135" w:lineRule="exact"/>
              <w:rPr>
                <w:sz w:val="20"/>
                <w:szCs w:val="20"/>
                <w:color w:val="auto"/>
              </w:rPr>
            </w:pPr>
            <w:r>
              <w:rPr>
                <w:rFonts w:ascii="Arial" w:cs="Arial" w:eastAsia="Arial" w:hAnsi="Arial"/>
                <w:sz w:val="14"/>
                <w:szCs w:val="14"/>
                <w:b w:val="1"/>
                <w:bCs w:val="1"/>
                <w:color w:val="auto"/>
              </w:rPr>
              <w:t>Sell</w:t>
            </w:r>
          </w:p>
        </w:tc>
        <w:tc>
          <w:tcPr>
            <w:tcW w:w="22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Write-offs/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22"/>
              <w:spacing w:after="0" w:line="135" w:lineRule="exact"/>
              <w:rPr>
                <w:sz w:val="20"/>
                <w:szCs w:val="20"/>
                <w:color w:val="auto"/>
              </w:rPr>
            </w:pPr>
            <w:r>
              <w:rPr>
                <w:rFonts w:ascii="Arial" w:cs="Arial" w:eastAsia="Arial" w:hAnsi="Arial"/>
                <w:sz w:val="14"/>
                <w:szCs w:val="14"/>
                <w:b w:val="1"/>
                <w:bCs w:val="1"/>
                <w:color w:val="auto"/>
                <w:w w:val="87"/>
              </w:rPr>
              <w:t>End of</w:t>
            </w:r>
          </w:p>
        </w:tc>
      </w:tr>
      <w:tr>
        <w:trPr>
          <w:trHeight w:val="176"/>
        </w:trPr>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Period</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85"/>
              </w:rPr>
              <w:t>Expenses</w:t>
            </w:r>
            <w:r>
              <w:rPr>
                <w:rFonts w:ascii="Arial" w:cs="Arial" w:eastAsia="Arial" w:hAnsi="Arial"/>
                <w:sz w:val="20"/>
                <w:szCs w:val="20"/>
                <w:b w:val="1"/>
                <w:bCs w:val="1"/>
                <w:color w:val="auto"/>
                <w:w w:val="85"/>
                <w:vertAlign w:val="superscript"/>
              </w:rPr>
              <w:t>(1)</w:t>
            </w:r>
          </w:p>
        </w:tc>
        <w:tc>
          <w:tcPr>
            <w:tcW w:w="460" w:type="dxa"/>
            <w:vAlign w:val="bottom"/>
          </w:tcPr>
          <w:p>
            <w:pPr>
              <w:spacing w:after="0"/>
              <w:rPr>
                <w:sz w:val="15"/>
                <w:szCs w:val="15"/>
                <w:color w:val="auto"/>
              </w:rPr>
            </w:pPr>
          </w:p>
        </w:tc>
        <w:tc>
          <w:tcPr>
            <w:tcW w:w="6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3"/>
                <w:szCs w:val="13"/>
                <w:b w:val="1"/>
                <w:bCs w:val="1"/>
                <w:color w:val="auto"/>
                <w:w w:val="92"/>
              </w:rPr>
              <w:t>Through</w:t>
            </w:r>
            <w:r>
              <w:rPr>
                <w:rFonts w:ascii="Arial" w:cs="Arial" w:eastAsia="Arial" w:hAnsi="Arial"/>
                <w:sz w:val="20"/>
                <w:szCs w:val="20"/>
                <w:b w:val="1"/>
                <w:bCs w:val="1"/>
                <w:color w:val="auto"/>
                <w:w w:val="92"/>
                <w:vertAlign w:val="superscript"/>
              </w:rPr>
              <w:t>(2)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FX Effects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87"/>
              </w:rPr>
              <w:t>Period</w:t>
            </w:r>
          </w:p>
        </w:tc>
      </w:tr>
      <w:tr>
        <w:trPr>
          <w:trHeight w:val="40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2,525</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1,243</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(502)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2,977</w:t>
            </w: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1,961</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622</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(264)</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(286)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-409575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-135255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5400" w:space="720"/>
            <w:col w:w="5200"/>
          </w:cols>
          <w:pgMar w:left="240" w:top="459" w:right="339" w:bottom="1440" w:gutter="0" w:footer="0" w:header="0"/>
          <w:type w:val="continuous"/>
        </w:sectPr>
      </w:pPr>
    </w:p>
    <w:p>
      <w:pPr>
        <w:spacing w:after="0"/>
        <w:rPr>
          <w:sz w:val="20"/>
          <w:szCs w:val="20"/>
          <w:color w:val="auto"/>
        </w:rPr>
      </w:pPr>
      <w:r>
        <w:rPr>
          <w:rFonts w:ascii="Arial" w:cs="Arial" w:eastAsia="Arial" w:hAnsi="Arial"/>
          <w:sz w:val="15"/>
          <w:szCs w:val="15"/>
          <w:color w:val="auto"/>
        </w:rPr>
        <w:t>Changes in the reserve for excess and obsolete inventory during the nine months ended September 30, 2011 and 2010 were composed of the following:</w:t>
      </w:r>
    </w:p>
    <w:p>
      <w:pPr>
        <w:sectPr>
          <w:pgSz w:w="11900" w:h="16838" w:orient="portrait"/>
          <w:cols w:equalWidth="0" w:num="1">
            <w:col w:w="11320"/>
          </w:cols>
          <w:pgMar w:left="240" w:top="459" w:right="3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575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Reserve for excess and obsolete inventory:</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Nine months Ended September 30, 2011</w:t>
      </w:r>
    </w:p>
    <w:p>
      <w:pPr>
        <w:spacing w:after="0" w:line="4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Nine months Ended 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Additions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49"/>
        </w:trPr>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Charged to</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r>
      <w:tr>
        <w:trPr>
          <w:trHeight w:val="134"/>
        </w:trPr>
        <w:tc>
          <w:tcPr>
            <w:tcW w:w="100" w:type="dxa"/>
            <w:vAlign w:val="bottom"/>
          </w:tcPr>
          <w:p>
            <w:pPr>
              <w:spacing w:after="0"/>
              <w:rPr>
                <w:sz w:val="11"/>
                <w:szCs w:val="11"/>
                <w:color w:val="auto"/>
              </w:rPr>
            </w:pPr>
          </w:p>
        </w:tc>
        <w:tc>
          <w:tcPr>
            <w:tcW w:w="10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of</w:t>
            </w:r>
          </w:p>
        </w:tc>
        <w:tc>
          <w:tcPr>
            <w:tcW w:w="92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Costs and</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700"/>
              <w:spacing w:after="0" w:line="135" w:lineRule="exact"/>
              <w:rPr>
                <w:sz w:val="20"/>
                <w:szCs w:val="20"/>
                <w:color w:val="auto"/>
              </w:rPr>
            </w:pPr>
            <w:r>
              <w:rPr>
                <w:rFonts w:ascii="Arial" w:cs="Arial" w:eastAsia="Arial" w:hAnsi="Arial"/>
                <w:sz w:val="14"/>
                <w:szCs w:val="14"/>
                <w:b w:val="1"/>
                <w:bCs w:val="1"/>
                <w:color w:val="auto"/>
              </w:rPr>
              <w:t>Sell</w:t>
            </w:r>
          </w:p>
        </w:tc>
        <w:tc>
          <w:tcPr>
            <w:tcW w:w="9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Write-offs/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22"/>
              <w:spacing w:after="0" w:line="135" w:lineRule="exact"/>
              <w:rPr>
                <w:sz w:val="20"/>
                <w:szCs w:val="20"/>
                <w:color w:val="auto"/>
              </w:rPr>
            </w:pPr>
            <w:r>
              <w:rPr>
                <w:rFonts w:ascii="Arial" w:cs="Arial" w:eastAsia="Arial" w:hAnsi="Arial"/>
                <w:sz w:val="14"/>
                <w:szCs w:val="14"/>
                <w:b w:val="1"/>
                <w:bCs w:val="1"/>
                <w:color w:val="auto"/>
                <w:w w:val="87"/>
              </w:rPr>
              <w:t>End of</w:t>
            </w:r>
          </w:p>
        </w:tc>
      </w:tr>
      <w:tr>
        <w:trPr>
          <w:trHeight w:val="176"/>
        </w:trPr>
        <w:tc>
          <w:tcPr>
            <w:tcW w:w="100" w:type="dxa"/>
            <w:vAlign w:val="bottom"/>
          </w:tcPr>
          <w:p>
            <w:pPr>
              <w:spacing w:after="0"/>
              <w:rPr>
                <w:sz w:val="15"/>
                <w:szCs w:val="15"/>
                <w:color w:val="auto"/>
              </w:rPr>
            </w:pPr>
          </w:p>
        </w:tc>
        <w:tc>
          <w:tcPr>
            <w:tcW w:w="520" w:type="dxa"/>
            <w:vAlign w:val="bottom"/>
          </w:tcPr>
          <w:p>
            <w:pPr>
              <w:jc w:val="right"/>
              <w:ind w:right="42"/>
              <w:spacing w:after="0"/>
              <w:rPr>
                <w:sz w:val="20"/>
                <w:szCs w:val="20"/>
                <w:color w:val="auto"/>
              </w:rPr>
            </w:pPr>
            <w:r>
              <w:rPr>
                <w:rFonts w:ascii="Arial" w:cs="Arial" w:eastAsia="Arial" w:hAnsi="Arial"/>
                <w:sz w:val="14"/>
                <w:szCs w:val="14"/>
                <w:b w:val="1"/>
                <w:bCs w:val="1"/>
                <w:color w:val="auto"/>
                <w:w w:val="87"/>
              </w:rPr>
              <w:t>Period</w:t>
            </w:r>
          </w:p>
        </w:tc>
        <w:tc>
          <w:tcPr>
            <w:tcW w:w="480" w:type="dxa"/>
            <w:vAlign w:val="bottom"/>
          </w:tcPr>
          <w:p>
            <w:pPr>
              <w:spacing w:after="0"/>
              <w:rPr>
                <w:sz w:val="15"/>
                <w:szCs w:val="15"/>
                <w:color w:val="auto"/>
              </w:rPr>
            </w:pPr>
          </w:p>
        </w:tc>
        <w:tc>
          <w:tcPr>
            <w:tcW w:w="68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85"/>
              </w:rPr>
              <w:t>Expenses</w:t>
            </w:r>
            <w:r>
              <w:rPr>
                <w:rFonts w:ascii="Arial" w:cs="Arial" w:eastAsia="Arial" w:hAnsi="Arial"/>
                <w:sz w:val="20"/>
                <w:szCs w:val="20"/>
                <w:b w:val="1"/>
                <w:bCs w:val="1"/>
                <w:color w:val="auto"/>
                <w:w w:val="85"/>
                <w:vertAlign w:val="superscript"/>
              </w:rPr>
              <w:t>(1)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spacing w:after="0" w:line="176" w:lineRule="exact"/>
              <w:rPr>
                <w:sz w:val="20"/>
                <w:szCs w:val="20"/>
                <w:color w:val="auto"/>
              </w:rPr>
            </w:pPr>
            <w:r>
              <w:rPr>
                <w:rFonts w:ascii="Arial" w:cs="Arial" w:eastAsia="Arial" w:hAnsi="Arial"/>
                <w:sz w:val="13"/>
                <w:szCs w:val="13"/>
                <w:b w:val="1"/>
                <w:bCs w:val="1"/>
                <w:color w:val="auto"/>
                <w:w w:val="89"/>
              </w:rPr>
              <w:t>Through</w:t>
            </w:r>
            <w:r>
              <w:rPr>
                <w:rFonts w:ascii="Arial" w:cs="Arial" w:eastAsia="Arial" w:hAnsi="Arial"/>
                <w:sz w:val="20"/>
                <w:szCs w:val="20"/>
                <w:b w:val="1"/>
                <w:bCs w:val="1"/>
                <w:color w:val="auto"/>
                <w:w w:val="89"/>
                <w:vertAlign w:val="superscript"/>
              </w:rPr>
              <w:t>(2)</w:t>
            </w:r>
          </w:p>
        </w:tc>
        <w:tc>
          <w:tcPr>
            <w:tcW w:w="4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FX Effects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w w:val="87"/>
              </w:rPr>
              <w:t>Period</w:t>
            </w:r>
          </w:p>
        </w:tc>
      </w:tr>
      <w:tr>
        <w:trPr>
          <w:trHeight w:val="20"/>
        </w:trPr>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404"/>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2,135</w:t>
            </w: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2,992</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(896)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(1,254)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2,977</w:t>
            </w: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1,750</w:t>
            </w:r>
          </w:p>
        </w:tc>
        <w:tc>
          <w:tcPr>
            <w:tcW w:w="4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2,225</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(736)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(1,206)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-409575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-3943985</wp:posOffset>
            </wp:positionH>
            <wp:positionV relativeFrom="paragraph">
              <wp:posOffset>-135255</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5500" w:space="720"/>
            <w:col w:w="5100"/>
          </w:cols>
          <w:pgMar w:left="240" w:top="459" w:right="339" w:bottom="1440" w:gutter="0" w:footer="0" w:header="0"/>
          <w:type w:val="continuous"/>
        </w:sectPr>
      </w:pPr>
    </w:p>
    <w:p>
      <w:pPr>
        <w:ind w:left="460" w:right="240" w:hanging="452"/>
        <w:spacing w:after="0" w:line="239"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$0.2 million and $0.1 million for the three months ended September 30, 2011 and 2010, respectively, and $0.6 million and $0.4 million for the nine months ended September 30, 2011 and 2010, respectively. These amounts are production waste and are not included in management’s reserve for excess and obsolete inventory.</w:t>
      </w:r>
    </w:p>
    <w:p>
      <w:pPr>
        <w:ind w:left="460" w:right="100" w:hanging="452"/>
        <w:spacing w:after="0" w:line="233"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This column represents the gross book value of inventory items sold during the period that had been previously written down to zero net book value. Sell through is the result of differences between our judgment concerning the salability of inventory items during the excess and obsolete inventory review process and our subsequent experience.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Inventory write-downs for excess and obsolescence are a normal part of our business and result primarily from product life cycle estimation variances.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in our Annual Report on Form 10-K for further information regarding our accounting principles.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459" w:right="3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We purchase integrated circuits, used principally in our wireless control products, from two main suppliers. For the three and nine months ended September 30, 2011, the total purchased from one of these suppliers was greater than 10% of our total inventory purchases. Our purchases from three component and finished good suppliers each amounted to greater than 10% of our total inventory purchases for the three and nine months ended September 30, 2010.</w:t>
      </w:r>
    </w:p>
    <w:p>
      <w:pPr>
        <w:spacing w:after="0" w:line="107"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During the three months ended September 30, 2011 and 2010, the amounts purchased from the suppliers that composed greater than 10% of our total purchases were the following:</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ind w:right="37"/>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w w:val="96"/>
              </w:rPr>
              <w:t>2011</w:t>
            </w:r>
          </w:p>
        </w:tc>
        <w:tc>
          <w:tcPr>
            <w:tcW w:w="66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 of Total</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Inventory</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Inventory</w:t>
            </w: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1260" w:type="dxa"/>
            <w:vAlign w:val="bottom"/>
            <w:gridSpan w:val="2"/>
          </w:tcPr>
          <w:p>
            <w:pPr>
              <w:ind w:left="11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20"/>
                <w:szCs w:val="20"/>
                <w:color w:val="auto"/>
              </w:rPr>
            </w:pPr>
            <w:r>
              <w:rPr>
                <w:rFonts w:ascii="Arial" w:cs="Arial" w:eastAsia="Arial" w:hAnsi="Arial"/>
                <w:sz w:val="14"/>
                <w:szCs w:val="14"/>
                <w:b w:val="1"/>
                <w:bCs w:val="1"/>
                <w:color w:val="auto"/>
                <w:w w:val="87"/>
              </w:rPr>
              <w:t>(thousands)</w:t>
            </w:r>
          </w:p>
        </w:tc>
        <w:tc>
          <w:tcPr>
            <w:tcW w:w="580" w:type="dxa"/>
            <w:vAlign w:val="bottom"/>
          </w:tcPr>
          <w:p>
            <w:pPr>
              <w:spacing w:after="0"/>
              <w:rPr>
                <w:sz w:val="14"/>
                <w:szCs w:val="14"/>
                <w:color w:val="auto"/>
              </w:rPr>
            </w:pPr>
          </w:p>
        </w:tc>
        <w:tc>
          <w:tcPr>
            <w:tcW w:w="14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1"/>
              </w:rPr>
              <w:t>Purchases</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2"/>
              </w:rPr>
              <w:t>(thousands)</w:t>
            </w:r>
          </w:p>
        </w:tc>
        <w:tc>
          <w:tcPr>
            <w:tcW w:w="64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Purchases</w:t>
            </w: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Integrated circuit supplier</w:t>
            </w:r>
          </w:p>
        </w:tc>
        <w:tc>
          <w:tcPr>
            <w:tcW w:w="1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center"/>
              <w:ind w:left="137"/>
              <w:spacing w:after="0"/>
              <w:rPr>
                <w:sz w:val="20"/>
                <w:szCs w:val="20"/>
                <w:color w:val="auto"/>
              </w:rPr>
            </w:pPr>
            <w:r>
              <w:rPr>
                <w:rFonts w:ascii="Arial" w:cs="Arial" w:eastAsia="Arial" w:hAnsi="Arial"/>
                <w:sz w:val="18"/>
                <w:szCs w:val="18"/>
                <w:color w:val="auto"/>
                <w:w w:val="88"/>
              </w:rPr>
              <w:t>8,069</w:t>
            </w:r>
          </w:p>
        </w:tc>
        <w:tc>
          <w:tcPr>
            <w:tcW w:w="58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640" w:type="dxa"/>
            <w:vAlign w:val="bottom"/>
            <w:vMerge w:val="continue"/>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Component and finished good supplier A</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left="197"/>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18"/>
                <w:szCs w:val="18"/>
                <w:color w:val="auto"/>
              </w:rPr>
            </w:pPr>
          </w:p>
        </w:tc>
        <w:tc>
          <w:tcPr>
            <w:tcW w:w="14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8,319</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Component and finished good supplier B </w:t>
            </w:r>
            <w:r>
              <w:rPr>
                <w:rFonts w:ascii="Arial" w:cs="Arial" w:eastAsia="Arial" w:hAnsi="Arial"/>
                <w:sz w:val="11"/>
                <w:szCs w:val="11"/>
                <w:color w:val="auto"/>
              </w:rPr>
              <w:t>(1)</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center"/>
              <w:ind w:left="197"/>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1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the nine months ended September 30, 2011 and 2010, the amounts purchased from the suppliers that composed greater than 10% of our total purchases were the following:</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w w:val="94"/>
              </w:rPr>
              <w:t>Nine Months Ended September 30,</w:t>
            </w: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w w:val="96"/>
              </w:rPr>
              <w:t>2011</w:t>
            </w:r>
          </w:p>
        </w:tc>
        <w:tc>
          <w:tcPr>
            <w:tcW w:w="60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w w:val="96"/>
              </w:rPr>
              <w:t>2010</w:t>
            </w: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Total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Inventory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Inventory</w:t>
            </w:r>
          </w:p>
        </w:tc>
        <w:tc>
          <w:tcPr>
            <w:tcW w:w="0" w:type="dxa"/>
            <w:vAlign w:val="bottom"/>
          </w:tcPr>
          <w:p>
            <w:pPr>
              <w:spacing w:after="0"/>
              <w:rPr>
                <w:sz w:val="1"/>
                <w:szCs w:val="1"/>
                <w:color w:val="auto"/>
              </w:rPr>
            </w:pPr>
          </w:p>
        </w:tc>
      </w:tr>
      <w:tr>
        <w:trPr>
          <w:trHeight w:val="161"/>
        </w:trPr>
        <w:tc>
          <w:tcPr>
            <w:tcW w:w="4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2"/>
              </w:rPr>
              <w:t>(thousands)</w:t>
            </w:r>
          </w:p>
        </w:tc>
        <w:tc>
          <w:tcPr>
            <w:tcW w:w="62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1"/>
              </w:rPr>
              <w:t>Purchases</w:t>
            </w:r>
          </w:p>
        </w:tc>
        <w:tc>
          <w:tcPr>
            <w:tcW w:w="400" w:type="dxa"/>
            <w:vAlign w:val="bottom"/>
            <w:gridSpan w:val="2"/>
          </w:tcPr>
          <w:p>
            <w:pPr>
              <w:ind w:left="30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20"/>
                <w:szCs w:val="20"/>
                <w:color w:val="auto"/>
              </w:rPr>
            </w:pPr>
            <w:r>
              <w:rPr>
                <w:rFonts w:ascii="Arial" w:cs="Arial" w:eastAsia="Arial" w:hAnsi="Arial"/>
                <w:sz w:val="14"/>
                <w:szCs w:val="14"/>
                <w:b w:val="1"/>
                <w:bCs w:val="1"/>
                <w:color w:val="auto"/>
                <w:w w:val="87"/>
              </w:rPr>
              <w:t>(thousands)</w:t>
            </w:r>
          </w:p>
        </w:tc>
        <w:tc>
          <w:tcPr>
            <w:tcW w:w="6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Purchases</w:t>
            </w:r>
          </w:p>
        </w:tc>
        <w:tc>
          <w:tcPr>
            <w:tcW w:w="0" w:type="dxa"/>
            <w:vAlign w:val="bottom"/>
          </w:tcPr>
          <w:p>
            <w:pPr>
              <w:spacing w:after="0"/>
              <w:rPr>
                <w:sz w:val="1"/>
                <w:szCs w:val="1"/>
                <w:color w:val="auto"/>
              </w:rPr>
            </w:pPr>
          </w:p>
        </w:tc>
      </w:tr>
      <w:tr>
        <w:trPr>
          <w:trHeight w:val="20"/>
        </w:trPr>
        <w:tc>
          <w:tcPr>
            <w:tcW w:w="4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Integrated circuit supplier</w:t>
            </w:r>
          </w:p>
        </w:tc>
        <w:tc>
          <w:tcPr>
            <w:tcW w:w="1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24,017</w:t>
            </w:r>
          </w:p>
        </w:tc>
        <w:tc>
          <w:tcPr>
            <w:tcW w:w="62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w:t>
            </w:r>
          </w:p>
        </w:tc>
        <w:tc>
          <w:tcPr>
            <w:tcW w:w="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0"/>
              </w:rPr>
              <w:t>23,658</w:t>
            </w:r>
          </w:p>
        </w:tc>
        <w:tc>
          <w:tcPr>
            <w:tcW w:w="620" w:type="dxa"/>
            <w:vAlign w:val="bottom"/>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Component and finished good supplier A</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57"/>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8"/>
                <w:szCs w:val="18"/>
                <w:color w:val="auto"/>
                <w:w w:val="90"/>
              </w:rPr>
              <w:t>28,473</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Component and finished good supplier B </w:t>
            </w:r>
            <w:r>
              <w:rPr>
                <w:rFonts w:ascii="Arial" w:cs="Arial" w:eastAsia="Arial" w:hAnsi="Arial"/>
                <w:sz w:val="11"/>
                <w:szCs w:val="11"/>
                <w:color w:val="auto"/>
              </w:rPr>
              <w:t>(1)</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0"/>
              </w:rPr>
              <w:t>28,763</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total accounts payable to each of these suppliers on September 30, 2011 and December 31, 2010 were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September 30, 2011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December 31, 2010</w:t>
            </w: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 of Accounts</w:t>
            </w: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 of Accounts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980" w:type="dxa"/>
            <w:vAlign w:val="bottom"/>
            <w:gridSpan w:val="2"/>
          </w:tcPr>
          <w:p>
            <w:pPr>
              <w:ind w:left="88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2"/>
              </w:rPr>
              <w:t>(thousands)</w:t>
            </w:r>
          </w:p>
        </w:tc>
        <w:tc>
          <w:tcPr>
            <w:tcW w:w="13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Payable</w:t>
            </w:r>
          </w:p>
        </w:tc>
        <w:tc>
          <w:tcPr>
            <w:tcW w:w="420" w:type="dxa"/>
            <w:vAlign w:val="bottom"/>
            <w:gridSpan w:val="2"/>
          </w:tcPr>
          <w:p>
            <w:pPr>
              <w:ind w:left="340"/>
              <w:spacing w:after="0"/>
              <w:rPr>
                <w:sz w:val="20"/>
                <w:szCs w:val="20"/>
                <w:color w:val="auto"/>
              </w:rPr>
            </w:pPr>
            <w:r>
              <w:rPr>
                <w:rFonts w:ascii="Arial" w:cs="Arial" w:eastAsia="Arial" w:hAnsi="Arial"/>
                <w:sz w:val="14"/>
                <w:szCs w:val="14"/>
                <w:b w:val="1"/>
                <w:bCs w:val="1"/>
                <w:color w:val="auto"/>
                <w:w w:val="76"/>
              </w:rPr>
              <w:t>$</w:t>
            </w: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2"/>
              </w:rPr>
              <w:t>(thousands)</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Payable</w:t>
            </w:r>
          </w:p>
        </w:tc>
        <w:tc>
          <w:tcPr>
            <w:tcW w:w="0" w:type="dxa"/>
            <w:vAlign w:val="bottom"/>
          </w:tcPr>
          <w:p>
            <w:pPr>
              <w:spacing w:after="0"/>
              <w:rPr>
                <w:sz w:val="1"/>
                <w:szCs w:val="1"/>
                <w:color w:val="auto"/>
              </w:rPr>
            </w:pPr>
          </w:p>
        </w:tc>
      </w:tr>
      <w:tr>
        <w:trPr>
          <w:trHeight w:val="20"/>
        </w:trPr>
        <w:tc>
          <w:tcPr>
            <w:tcW w:w="3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Integrated circuit supplier</w:t>
            </w:r>
          </w:p>
        </w:tc>
        <w:tc>
          <w:tcPr>
            <w:tcW w:w="8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68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66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 xml:space="preserve">Component and finished good supplier A </w:t>
            </w:r>
            <w:r>
              <w:rPr>
                <w:rFonts w:ascii="Arial" w:cs="Arial" w:eastAsia="Arial" w:hAnsi="Arial"/>
                <w:sz w:val="11"/>
                <w:szCs w:val="11"/>
                <w:color w:val="auto"/>
              </w:rPr>
              <w:t>(1)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6,796</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9,172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Component and finished good supplier B </w:t>
            </w:r>
            <w:r>
              <w:rPr>
                <w:rFonts w:ascii="Arial" w:cs="Arial" w:eastAsia="Arial" w:hAnsi="Arial"/>
                <w:sz w:val="11"/>
                <w:szCs w:val="11"/>
                <w:color w:val="auto"/>
              </w:rPr>
              <w:t>(2)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28" w:lineRule="auto"/>
        <w:tabs>
          <w:tab w:leader="none" w:pos="46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Component and finished good supplier A accounted for greater than 10% of accounts payable on September 30, 2011, but did not account for greater than 10% of our total purchases for the three and nine months ended September 30, 2011.</w:t>
      </w:r>
    </w:p>
    <w:p>
      <w:pPr>
        <w:spacing w:after="0" w:line="1" w:lineRule="exact"/>
        <w:rPr>
          <w:rFonts w:ascii="Arial" w:cs="Arial" w:eastAsia="Arial" w:hAnsi="Arial"/>
          <w:sz w:val="22"/>
          <w:szCs w:val="22"/>
          <w:color w:val="auto"/>
          <w:vertAlign w:val="superscript"/>
        </w:rPr>
      </w:pPr>
    </w:p>
    <w:p>
      <w:pPr>
        <w:ind w:left="460" w:hanging="452"/>
        <w:spacing w:after="0" w:line="214" w:lineRule="auto"/>
        <w:tabs>
          <w:tab w:leader="none" w:pos="460" w:val="left"/>
        </w:tabs>
        <w:numPr>
          <w:ilvl w:val="0"/>
          <w:numId w:val="5"/>
        </w:numPr>
        <w:rPr>
          <w:rFonts w:ascii="Arial" w:cs="Arial" w:eastAsia="Arial" w:hAnsi="Arial"/>
          <w:sz w:val="21"/>
          <w:szCs w:val="21"/>
          <w:color w:val="auto"/>
          <w:vertAlign w:val="superscript"/>
        </w:rPr>
      </w:pPr>
      <w:r>
        <w:rPr>
          <w:rFonts w:ascii="Arial" w:cs="Arial" w:eastAsia="Arial" w:hAnsi="Arial"/>
          <w:sz w:val="17"/>
          <w:szCs w:val="17"/>
          <w:color w:val="auto"/>
        </w:rPr>
        <w:t>Component and finished good supplier B is Enson and its subsidiaries. See Note 18 for further information regarding our acquisition of Enson.</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generally maintain inventories of our integrated circuits, which may be utilized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purchase certain printed circuit board assemblies (“PCBAs”) from a related party vendor. The vendor is considered a related party for financial reporting purposes because the Senior Vice President of Manufacturing of Enson (acquired November 3, 2010) owns 40% of this vendor. Our purchases from this vendor for the three and nine months ended September 30, 2011 totaled approximately $2.4 million and $6.3 million, or 3.1% and 2.9% of total inventory purchases, respectively. Payable amounts outstanding to this vendor were approximately $1.9 million on September 30, 2011 and $1.6 million on December 31, 2010. Our payable terms and pricing with this vendor are consistent with the terms offered by other vendors in the ordinary course of business. The accounting policies that we apply to our transactions with our related party are consistent with those applied in transactions with independent third parties. Corporate management routinely monitors purchases from our related party vendor to ensure these purchases remain consistent with our business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Under the accounting guidance, the unit of accounting for goodwill is at a level of reporting referred to as a “reporting unit.” A reporting unit is either (1) an operating segment or (2) one level below an operating segment — referred to as a component. During the fourth quarter 2010, as a result of us flattening our management structure and the acquisition of Enson, we merged our international component with our domestic component. We no longer have separate management of the international component, and the financial results of our international component are not separate. In addition, these components have similar economic characteristics. As a result of these changes, our domestic and international components have been merged into our single operating segment.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goodwill on September 30, 2011 and changes in the carrying amount of goodwill during the nine months ended September 30, 2011 were the following:</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$30,877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 xml:space="preserve">Goodwill adjustments </w:t>
            </w:r>
            <w:r>
              <w:rPr>
                <w:rFonts w:ascii="Arial" w:cs="Arial" w:eastAsia="Arial" w:hAnsi="Arial"/>
                <w:sz w:val="11"/>
                <w:szCs w:val="11"/>
                <w:color w:val="auto"/>
              </w:rPr>
              <w:t>(1)</w:t>
            </w:r>
          </w:p>
        </w:tc>
        <w:tc>
          <w:tcPr>
            <w:tcW w:w="24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2011</w:t>
            </w:r>
          </w:p>
        </w:tc>
        <w:tc>
          <w:tcPr>
            <w:tcW w:w="244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30,857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20" w:hanging="452"/>
        <w:spacing w:after="0" w:line="228" w:lineRule="auto"/>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8"/>
          <w:szCs w:val="18"/>
          <w:color w:val="auto"/>
        </w:rPr>
        <w:t>The adjustment included in international goodwill was the result of fluctuations in the foreign currency exchange rates used to translate the balance into U.S. dollars.</w:t>
      </w:r>
    </w:p>
    <w:p>
      <w:pPr>
        <w:spacing w:after="0" w:line="15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 xml:space="preserve">Please see Note 2 under the captions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and </w:t>
      </w:r>
      <w:r>
        <w:rPr>
          <w:rFonts w:ascii="Arial" w:cs="Arial" w:eastAsia="Arial" w:hAnsi="Arial"/>
          <w:sz w:val="18"/>
          <w:szCs w:val="18"/>
          <w:i w:val="1"/>
          <w:iCs w:val="1"/>
          <w:color w:val="auto"/>
        </w:rPr>
        <w:t>Fair-Value Measurements</w:t>
      </w:r>
      <w:r>
        <w:rPr>
          <w:rFonts w:ascii="Arial" w:cs="Arial" w:eastAsia="Arial" w:hAnsi="Arial"/>
          <w:sz w:val="18"/>
          <w:szCs w:val="18"/>
          <w:color w:val="auto"/>
        </w:rPr>
        <w:t xml:space="preserve"> in our Annual Report on Form 10-K for further information regarding our accounting principles and the valuation methodology utilized.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on September 30, 2011 and December 31, 2010 were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September 30, 2011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8"/>
              </w:rPr>
              <w:t>December 31, 2010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50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Carrying amount </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Distribution rights (10 years)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386</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384</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Patents (10 years)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 xml:space="preserve">Trademarks and trade names (10 years) </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2,833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2,836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Developed and core technology (5-15 years)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Capitalized software development costs (1-2 years)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1,896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(1,165)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Customer relationships (10-15 years) </w:t>
            </w: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26,316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(2,671)</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23,645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26,349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Total carrying amount</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43,801</w:t>
            </w: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(10,235)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33,566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43,577</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(7,583)</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0"/>
          <w:szCs w:val="20"/>
          <w:color w:val="auto"/>
          <w:vertAlign w:val="superscript"/>
        </w:rPr>
      </w:pPr>
      <w:r>
        <w:rPr>
          <w:rFonts w:ascii="Arial" w:cs="Arial" w:eastAsia="Arial" w:hAnsi="Arial"/>
          <w:sz w:val="16"/>
          <w:szCs w:val="16"/>
          <w:color w:val="auto"/>
        </w:rPr>
        <w:t>This table excludes fully amortized intangible assets of $8.1 million and $7.6 million on September 30, 2011 and December 31, 2010, respectively.</w:t>
      </w:r>
    </w:p>
    <w:p>
      <w:pPr>
        <w:spacing w:after="0" w:line="7" w:lineRule="exact"/>
        <w:rPr>
          <w:rFonts w:ascii="Arial" w:cs="Arial" w:eastAsia="Arial" w:hAnsi="Arial"/>
          <w:sz w:val="20"/>
          <w:szCs w:val="20"/>
          <w:color w:val="auto"/>
          <w:vertAlign w:val="superscript"/>
        </w:rPr>
      </w:pPr>
    </w:p>
    <w:p>
      <w:pPr>
        <w:ind w:left="460" w:right="360" w:hanging="452"/>
        <w:spacing w:after="0" w:line="233" w:lineRule="auto"/>
        <w:tabs>
          <w:tab w:leader="none" w:pos="460" w:val="left"/>
        </w:tabs>
        <w:numPr>
          <w:ilvl w:val="0"/>
          <w:numId w:val="7"/>
        </w:numPr>
        <w:rPr>
          <w:rFonts w:ascii="Arial" w:cs="Arial" w:eastAsia="Arial" w:hAnsi="Arial"/>
          <w:sz w:val="21"/>
          <w:szCs w:val="21"/>
          <w:color w:val="auto"/>
          <w:vertAlign w:val="superscript"/>
        </w:rPr>
      </w:pPr>
      <w:r>
        <w:rPr>
          <w:rFonts w:ascii="Arial" w:cs="Arial" w:eastAsia="Arial" w:hAnsi="Arial"/>
          <w:sz w:val="17"/>
          <w:szCs w:val="17"/>
          <w:color w:val="auto"/>
        </w:rPr>
        <w:t>As part of our acquisition of Enson during the fourth quarter of 2010, we purchased trademark and trade names valued at $2.0 million, which are being amortized ratably over ten years. Refer to Note 18 for further information regarding this purchase of trademark and trade names.</w:t>
      </w:r>
    </w:p>
    <w:p>
      <w:pPr>
        <w:ind w:left="460" w:right="100" w:hanging="452"/>
        <w:spacing w:after="0" w:line="237" w:lineRule="auto"/>
        <w:tabs>
          <w:tab w:leader="none" w:pos="460" w:val="left"/>
        </w:tabs>
        <w:numPr>
          <w:ilvl w:val="0"/>
          <w:numId w:val="7"/>
        </w:numPr>
        <w:rPr>
          <w:rFonts w:ascii="Arial" w:cs="Arial" w:eastAsia="Arial" w:hAnsi="Arial"/>
          <w:sz w:val="21"/>
          <w:szCs w:val="21"/>
          <w:color w:val="auto"/>
          <w:vertAlign w:val="superscript"/>
        </w:rPr>
      </w:pPr>
      <w:r>
        <w:rPr>
          <w:rFonts w:ascii="Arial" w:cs="Arial" w:eastAsia="Arial" w:hAnsi="Arial"/>
          <w:sz w:val="17"/>
          <w:szCs w:val="17"/>
          <w:color w:val="auto"/>
        </w:rPr>
        <w:t>During the fourth quarter of 2010 as part of the Enson acquisition we purchased customer relationships valued at $23.3 million, which are being amortized ratably over ten years. Refer to Note 18 for further information regarding this purchase of these customer relationships.</w:t>
      </w:r>
    </w:p>
    <w:p>
      <w:pPr>
        <w:spacing w:after="0" w:line="1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for the three and nine months ended September 30, 2011 and 2010 is the following:</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Three Months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left="184"/>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5"/>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3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w w:val="83"/>
              </w:rPr>
              <w:t>2011</w:t>
            </w:r>
          </w:p>
        </w:tc>
        <w:tc>
          <w:tcPr>
            <w:tcW w:w="4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947</w:t>
            </w:r>
          </w:p>
        </w:tc>
        <w:tc>
          <w:tcPr>
            <w:tcW w:w="4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2,841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1,056</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3,207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our intangible assets on September 30, 2011, is the following:</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2011 (remaining 3 months)</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2012</w:t>
            </w:r>
          </w:p>
        </w:tc>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2014</w:t>
            </w:r>
          </w:p>
        </w:tc>
        <w:tc>
          <w:tcPr>
            <w:tcW w:w="4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Thereafter</w:t>
            </w:r>
          </w:p>
        </w:tc>
        <w:tc>
          <w:tcPr>
            <w:tcW w:w="4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240" w:type="dxa"/>
            <w:vAlign w:val="bottom"/>
            <w:vMerge w:val="restart"/>
          </w:tcPr>
          <w:p>
            <w:pPr>
              <w:jc w:val="right"/>
              <w:ind w:right="3032"/>
              <w:spacing w:after="0"/>
              <w:rPr>
                <w:sz w:val="20"/>
                <w:szCs w:val="20"/>
                <w:color w:val="auto"/>
              </w:rPr>
            </w:pPr>
            <w:r>
              <w:rPr>
                <w:rFonts w:ascii="Arial" w:cs="Arial" w:eastAsia="Arial" w:hAnsi="Arial"/>
                <w:sz w:val="18"/>
                <w:szCs w:val="18"/>
                <w:color w:val="auto"/>
              </w:rPr>
              <w:t>14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Measured at Fair Value on a Nonrecurring Basis</w:t>
      </w:r>
    </w:p>
    <w:p>
      <w:pPr>
        <w:spacing w:after="0" w:line="90"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We recorded impairment charges related to our intangible assets of $1 thousand and $9 thousand during the three and nine months ended September 30, 2011. Impairment charges are recorded in selling, general and administrative expenses as a component of amortization expense, except impairment charges related to capitalized software development costs which are recorded in cost of sales. The fair value adjustments for intangible assets measured at fair value on a nonrecurring basis during the nine months ended September 30, 2011 were comprised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Fair Value Measurement Using</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7"/>
              </w:rPr>
              <w:t>Nine months</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780" w:type="dxa"/>
            <w:vAlign w:val="bottom"/>
          </w:tcPr>
          <w:p>
            <w:pPr>
              <w:spacing w:after="0"/>
              <w:rPr>
                <w:sz w:val="12"/>
                <w:szCs w:val="12"/>
                <w:color w:val="auto"/>
              </w:rPr>
            </w:pPr>
          </w:p>
        </w:tc>
        <w:tc>
          <w:tcPr>
            <w:tcW w:w="180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100" w:type="dxa"/>
            <w:vAlign w:val="bottom"/>
          </w:tcPr>
          <w:p>
            <w:pPr>
              <w:spacing w:after="0"/>
              <w:rPr>
                <w:sz w:val="12"/>
                <w:szCs w:val="12"/>
                <w:color w:val="auto"/>
              </w:rPr>
            </w:pPr>
          </w:p>
        </w:tc>
        <w:tc>
          <w:tcPr>
            <w:tcW w:w="15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86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2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80" w:type="dxa"/>
            <w:vAlign w:val="bottom"/>
          </w:tcPr>
          <w:p>
            <w:pPr>
              <w:spacing w:after="0"/>
              <w:rPr>
                <w:sz w:val="12"/>
                <w:szCs w:val="12"/>
                <w:color w:val="auto"/>
              </w:rPr>
            </w:pPr>
          </w:p>
        </w:tc>
        <w:tc>
          <w:tcPr>
            <w:tcW w:w="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4"/>
        </w:trPr>
        <w:tc>
          <w:tcPr>
            <w:tcW w:w="332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jc w:val="center"/>
              <w:ind w:right="780"/>
              <w:spacing w:after="0" w:line="135" w:lineRule="exact"/>
              <w:rPr>
                <w:sz w:val="20"/>
                <w:szCs w:val="20"/>
                <w:color w:val="auto"/>
              </w:rPr>
            </w:pPr>
            <w:r>
              <w:rPr>
                <w:rFonts w:ascii="Arial" w:cs="Arial" w:eastAsia="Arial" w:hAnsi="Arial"/>
                <w:sz w:val="14"/>
                <w:szCs w:val="14"/>
                <w:b w:val="1"/>
                <w:bCs w:val="1"/>
                <w:color w:val="auto"/>
                <w:w w:val="85"/>
              </w:rPr>
              <w:t>September 30,</w:t>
            </w:r>
          </w:p>
        </w:tc>
        <w:tc>
          <w:tcPr>
            <w:tcW w:w="120" w:type="dxa"/>
            <w:vAlign w:val="bottom"/>
          </w:tcPr>
          <w:p>
            <w:pPr>
              <w:spacing w:after="0"/>
              <w:rPr>
                <w:sz w:val="11"/>
                <w:szCs w:val="11"/>
                <w:color w:val="auto"/>
              </w:rPr>
            </w:pPr>
          </w:p>
        </w:tc>
        <w:tc>
          <w:tcPr>
            <w:tcW w:w="860" w:type="dxa"/>
            <w:vAlign w:val="bottom"/>
          </w:tcPr>
          <w:p>
            <w:pPr>
              <w:jc w:val="center"/>
              <w:ind w:right="27"/>
              <w:spacing w:after="0" w:line="135" w:lineRule="exact"/>
              <w:rPr>
                <w:sz w:val="20"/>
                <w:szCs w:val="20"/>
                <w:color w:val="auto"/>
              </w:rPr>
            </w:pPr>
            <w:r>
              <w:rPr>
                <w:rFonts w:ascii="Arial" w:cs="Arial" w:eastAsia="Arial" w:hAnsi="Arial"/>
                <w:sz w:val="14"/>
                <w:szCs w:val="14"/>
                <w:b w:val="1"/>
                <w:bCs w:val="1"/>
                <w:color w:val="auto"/>
                <w:w w:val="78"/>
              </w:rPr>
              <w:t>Assets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1"/>
                <w:szCs w:val="11"/>
                <w:color w:val="auto"/>
              </w:rPr>
            </w:pPr>
          </w:p>
        </w:tc>
        <w:tc>
          <w:tcPr>
            <w:tcW w:w="152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90"/>
              </w:rPr>
              <w:t>Inputs</w:t>
            </w:r>
          </w:p>
        </w:tc>
        <w:tc>
          <w:tcPr>
            <w:tcW w:w="58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87"/>
              </w:rPr>
              <w:t>Gains</w:t>
            </w:r>
          </w:p>
        </w:tc>
        <w:tc>
          <w:tcPr>
            <w:tcW w:w="0" w:type="dxa"/>
            <w:vAlign w:val="bottom"/>
          </w:tcPr>
          <w:p>
            <w:pPr>
              <w:spacing w:after="0"/>
              <w:rPr>
                <w:sz w:val="1"/>
                <w:szCs w:val="1"/>
                <w:color w:val="auto"/>
              </w:rPr>
            </w:pPr>
          </w:p>
        </w:tc>
      </w:tr>
      <w:tr>
        <w:trPr>
          <w:trHeight w:val="149"/>
        </w:trPr>
        <w:tc>
          <w:tcPr>
            <w:tcW w:w="33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86"/>
              <w:spacing w:after="0" w:line="129" w:lineRule="exact"/>
              <w:rPr>
                <w:sz w:val="20"/>
                <w:szCs w:val="20"/>
                <w:color w:val="auto"/>
              </w:rPr>
            </w:pPr>
            <w:r>
              <w:rPr>
                <w:rFonts w:ascii="Arial" w:cs="Arial" w:eastAsia="Arial" w:hAnsi="Arial"/>
                <w:sz w:val="14"/>
                <w:szCs w:val="14"/>
                <w:b w:val="1"/>
                <w:bCs w:val="1"/>
                <w:color w:val="auto"/>
                <w:w w:val="83"/>
              </w:rPr>
              <w:t>2011</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7"/>
              <w:spacing w:after="0" w:line="129" w:lineRule="exact"/>
              <w:rPr>
                <w:sz w:val="20"/>
                <w:szCs w:val="20"/>
                <w:color w:val="auto"/>
              </w:rPr>
            </w:pPr>
            <w:r>
              <w:rPr>
                <w:rFonts w:ascii="Arial" w:cs="Arial" w:eastAsia="Arial" w:hAnsi="Arial"/>
                <w:sz w:val="14"/>
                <w:szCs w:val="14"/>
                <w:b w:val="1"/>
                <w:bCs w:val="1"/>
                <w:color w:val="auto"/>
                <w:w w:val="87"/>
              </w:rPr>
              <w:t>(Level 1)</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2"/>
                <w:szCs w:val="12"/>
                <w:color w:val="auto"/>
              </w:rPr>
            </w:pPr>
          </w:p>
        </w:tc>
        <w:tc>
          <w:tcPr>
            <w:tcW w:w="152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91"/>
              </w:rPr>
              <w:t>(Level 3)</w:t>
            </w:r>
          </w:p>
        </w:tc>
        <w:tc>
          <w:tcPr>
            <w:tcW w:w="5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79"/>
              </w:rPr>
              <w:t>(Losses)</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Patents, trademarks and trade names</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6,216</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64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6,216</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disposed of five patents and eleven trademarks with an aggregate carrying amount of $9 thousand resulting in impairment charges of $9 thousand during the nine months ended September 30, 2011. We disposed of two patents and eight trademarks with an aggregate carrying amount of $9 thousand during the nine months ended September 30, 2010. The intangible assets disposed of during the nine months ended September 20, 2011 and 2010 no longer hold any probable future economic benefits and were written-off.</w:t>
      </w:r>
    </w:p>
    <w:p>
      <w:pPr>
        <w:spacing w:after="0" w:line="14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 xml:space="preserve">See Note 2 under the captions </w:t>
      </w:r>
      <w:r>
        <w:rPr>
          <w:rFonts w:ascii="Arial" w:cs="Arial" w:eastAsia="Arial" w:hAnsi="Arial"/>
          <w:sz w:val="16"/>
          <w:szCs w:val="16"/>
          <w:i w:val="1"/>
          <w:iCs w:val="1"/>
          <w:color w:val="auto"/>
        </w:rPr>
        <w:t>Long-Lived Assets and Intangible Assets Impairment</w:t>
      </w:r>
      <w:r>
        <w:rPr>
          <w:rFonts w:ascii="Arial" w:cs="Arial" w:eastAsia="Arial" w:hAnsi="Arial"/>
          <w:sz w:val="16"/>
          <w:szCs w:val="16"/>
          <w:color w:val="auto"/>
        </w:rPr>
        <w:t xml:space="preserve">, </w:t>
      </w:r>
      <w:r>
        <w:rPr>
          <w:rFonts w:ascii="Arial" w:cs="Arial" w:eastAsia="Arial" w:hAnsi="Arial"/>
          <w:sz w:val="16"/>
          <w:szCs w:val="16"/>
          <w:i w:val="1"/>
          <w:iCs w:val="1"/>
          <w:color w:val="auto"/>
        </w:rPr>
        <w:t>Capitalized Software Development Costs</w:t>
      </w:r>
      <w:r>
        <w:rPr>
          <w:rFonts w:ascii="Arial" w:cs="Arial" w:eastAsia="Arial" w:hAnsi="Arial"/>
          <w:sz w:val="16"/>
          <w:szCs w:val="16"/>
          <w:color w:val="auto"/>
        </w:rPr>
        <w:t xml:space="preserve">, and </w:t>
      </w:r>
      <w:r>
        <w:rPr>
          <w:rFonts w:ascii="Arial" w:cs="Arial" w:eastAsia="Arial" w:hAnsi="Arial"/>
          <w:sz w:val="16"/>
          <w:szCs w:val="16"/>
          <w:i w:val="1"/>
          <w:iCs w:val="1"/>
          <w:color w:val="auto"/>
        </w:rPr>
        <w:t>Fair-Value Measurements</w:t>
      </w:r>
      <w:r>
        <w:rPr>
          <w:rFonts w:ascii="Arial" w:cs="Arial" w:eastAsia="Arial" w:hAnsi="Arial"/>
          <w:sz w:val="16"/>
          <w:szCs w:val="16"/>
          <w:color w:val="auto"/>
        </w:rPr>
        <w:t xml:space="preserve"> in our Annual Report on Form 10-K for further information regarding our accounting principles and valuation methodology utilized.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Notes Payable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Notes payable on September 30, 2011 and December 31, 2010 were comprised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Amount Outstanding</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vMerge w:val="continue"/>
          </w:tcPr>
          <w:p>
            <w:pPr>
              <w:spacing w:after="0"/>
              <w:rPr>
                <w:sz w:val="12"/>
                <w:szCs w:val="12"/>
                <w:color w:val="auto"/>
              </w:rPr>
            </w:pPr>
          </w:p>
        </w:tc>
        <w:tc>
          <w:tcPr>
            <w:tcW w:w="2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 2011</w:t>
            </w:r>
          </w:p>
        </w:tc>
        <w:tc>
          <w:tcPr>
            <w:tcW w:w="10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December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U.S. Bank Term Loan Facility </w:t>
            </w:r>
            <w:r>
              <w:rPr>
                <w:rFonts w:ascii="Arial" w:cs="Arial" w:eastAsia="Arial" w:hAnsi="Arial"/>
                <w:sz w:val="11"/>
                <w:szCs w:val="11"/>
                <w:color w:val="auto"/>
              </w:rPr>
              <w:t>(1)</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10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100" w:hanging="452"/>
        <w:spacing w:after="0" w:line="275" w:lineRule="auto"/>
        <w:tabs>
          <w:tab w:leader="none" w:pos="46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Under the U.S. Bank term loan, we may elect to pay interest based on the bank’s prime rate or LIBOR plus a fixed margin of 1.5%. The applicable LIBOR (1, 3, 6, or 12-month LIBOR) corresponds with the loan period we select. On September 30, 2011, the 1-month LIBOR plus the fixed margin was approximately 1.73% and the bank’s prime rate was 3.25%. If a LIBOR rate loan is prepaid prior to the completion of the loan period, we must pay the bank the difference between the interest the bank would have earned had prepayment not occurred and the interest the bank actually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Our total interest expense on borrowings was $0.3 million and $0 during the nine months ended September 30, 2011 and 2010,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 We recorded income tax expense of $2.0 million and $1.9 million for the three months ended September 30, 2011 and 2010, respectively. Our effective tax rate was 21.8% and 28.8% during the three months ended September 30, 2011 and 2010, respectively. We recorded income tax expense of $4.3 million and $5.4 million for the nine months ended September 30, 2011 and 2010, respectively. Our effective tax rate was 22.2% and 32.4% during the nine months ended September 30, 2011 and 2010, respectively.</w:t>
      </w:r>
    </w:p>
    <w:p>
      <w:pPr>
        <w:spacing w:after="0" w:line="1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On September 30, 2011, we had gross unrecognized tax benefits of approximately $5.7 million, including interest and penalties, of which approximately $5.1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$91 thousand within the next twelve months.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on September 30, 2011 and December 31, 2010 are included in our unrecognized tax benefits.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On September 30, 2011, the open statutes of limitations in our significant tax jurisdictions are as follows: federal 2006 through 2010, state 2006 through 2010, and non-U.S. 2002 through 2010. On September 30, 2011, our gross unrecognized tax benefits of $5.7 million are classified as long term because we do not anticipate the payment of cash related to those unrecognized tax benefits within one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for further information regarding our accounting principles.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on September 30, 2011 and December 31, 2010 are listed below:</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84"/>
              </w:rPr>
              <w:t>September 30, 2011</w:t>
            </w:r>
          </w:p>
        </w:tc>
        <w:tc>
          <w:tcPr>
            <w:tcW w:w="2120" w:type="dxa"/>
            <w:vAlign w:val="bottom"/>
            <w:gridSpan w:val="4"/>
          </w:tcPr>
          <w:p>
            <w:pPr>
              <w:ind w:left="920"/>
              <w:spacing w:after="0"/>
              <w:rPr>
                <w:sz w:val="20"/>
                <w:szCs w:val="20"/>
                <w:color w:val="auto"/>
              </w:rPr>
            </w:pPr>
            <w:r>
              <w:rPr>
                <w:rFonts w:ascii="Arial" w:cs="Arial" w:eastAsia="Arial" w:hAnsi="Arial"/>
                <w:sz w:val="14"/>
                <w:szCs w:val="14"/>
                <w:b w:val="1"/>
                <w:bCs w:val="1"/>
                <w:color w:val="auto"/>
                <w:w w:val="93"/>
              </w:rPr>
              <w:t>December 31, 2010</w:t>
            </w:r>
          </w:p>
        </w:tc>
      </w:tr>
      <w:tr>
        <w:trPr>
          <w:trHeight w:val="210"/>
        </w:trPr>
        <w:tc>
          <w:tcPr>
            <w:tcW w:w="5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Accrued social insurance</w:t>
            </w:r>
            <w:r>
              <w:rPr>
                <w:rFonts w:ascii="Arial" w:cs="Arial" w:eastAsia="Arial" w:hAnsi="Arial"/>
                <w:sz w:val="11"/>
                <w:szCs w:val="11"/>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19,980</w:t>
            </w:r>
          </w:p>
        </w:tc>
        <w:tc>
          <w:tcPr>
            <w:tcW w:w="9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Accrued salary</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4,771</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vacation/holiday</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Accrued bonus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456</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Accrued medical insurance claims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239</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accrued compensation</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9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shd w:val="clear" w:color="auto" w:fill="CCEEFF"/>
          </w:tcPr>
          <w:p>
            <w:pPr>
              <w:spacing w:after="0"/>
              <w:rPr>
                <w:sz w:val="18"/>
                <w:szCs w:val="18"/>
                <w:color w:val="auto"/>
              </w:rPr>
            </w:pPr>
          </w:p>
        </w:tc>
      </w:tr>
      <w:tr>
        <w:trPr>
          <w:trHeight w:val="222"/>
        </w:trPr>
        <w:tc>
          <w:tcPr>
            <w:tcW w:w="5440" w:type="dxa"/>
            <w:vAlign w:val="bottom"/>
          </w:tcPr>
          <w:p>
            <w:pPr>
              <w:ind w:left="440"/>
              <w:spacing w:after="0"/>
              <w:rPr>
                <w:sz w:val="20"/>
                <w:szCs w:val="20"/>
                <w:color w:val="auto"/>
              </w:rPr>
            </w:pPr>
            <w:r>
              <w:rPr>
                <w:rFonts w:ascii="Arial" w:cs="Arial" w:eastAsia="Arial" w:hAnsi="Arial"/>
                <w:sz w:val="18"/>
                <w:szCs w:val="18"/>
                <w:color w:val="auto"/>
              </w:rPr>
              <w:t>Total accrued compensation</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28,530</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30,634</w:t>
            </w:r>
          </w:p>
        </w:tc>
        <w:tc>
          <w:tcPr>
            <w:tcW w:w="10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241" w:lineRule="auto"/>
        <w:tabs>
          <w:tab w:leader="none" w:pos="460" w:val="left"/>
        </w:tabs>
        <w:numPr>
          <w:ilvl w:val="0"/>
          <w:numId w:val="9"/>
        </w:numPr>
        <w:rPr>
          <w:rFonts w:ascii="Arial" w:cs="Arial" w:eastAsia="Arial" w:hAnsi="Arial"/>
          <w:sz w:val="22"/>
          <w:szCs w:val="22"/>
          <w:color w:val="auto"/>
          <w:vertAlign w:val="superscript"/>
        </w:rPr>
      </w:pPr>
      <w:r>
        <w:rPr>
          <w:rFonts w:ascii="Arial" w:cs="Arial" w:eastAsia="Arial" w:hAnsi="Arial"/>
          <w:sz w:val="18"/>
          <w:szCs w:val="18"/>
          <w:color w:val="auto"/>
        </w:rPr>
        <w:t>Effective January 1, 2008, the Chinese Labor Contract Law was enacted in the People’s Republic of China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September 30, 2011 and December 31, 2010.</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Accrued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on September 30, 2011 and December 31, 2010 are listed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2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Amount due to CG International Holdings Limited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Accrued freight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Accrued duties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Accrued advertising and marketing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Tooling </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Accrued third-party commissions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382</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Accrued sales taxes, VAT and ICMS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 xml:space="preserve">Property, plant, and equipment </w:t>
            </w:r>
            <w:r>
              <w:rPr>
                <w:rFonts w:ascii="Arial" w:cs="Arial" w:eastAsia="Arial" w:hAnsi="Arial"/>
                <w:sz w:val="11"/>
                <w:szCs w:val="11"/>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spacing w:after="0"/>
              <w:rPr>
                <w:sz w:val="20"/>
                <w:szCs w:val="20"/>
                <w:color w:val="auto"/>
              </w:rPr>
            </w:pPr>
            <w:r>
              <w:rPr>
                <w:rFonts w:ascii="Arial" w:cs="Arial" w:eastAsia="Arial" w:hAnsi="Arial"/>
                <w:sz w:val="18"/>
                <w:szCs w:val="18"/>
                <w:color w:val="auto"/>
              </w:rPr>
              <w:t>Total other accrued expenses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13,693</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13,295</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18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tooling and property, plant and equipment accrual balances relate to amounts capitalized within property, plant, and equipment, net on September 30, 2011 and December 31,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indemnify our directors and officers to the maximum extent permitted under the laws of the State of Delaware and we have entered into Indemnification Agreements with each of our directors and executive officers. In addition, we insure our individual directors and officers against certain claims and attorney’s fees and related expenses incurred in connection with the defense of such claims. The amounts and types of coverage may vary from period to period as dictated by market conditions. Management is not aware of any matters that require indemnification of its officers or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Price Provisions and Other Anti-Takeover Measures</w:t>
      </w:r>
    </w:p>
    <w:p>
      <w:pPr>
        <w:spacing w:after="0" w:line="9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Our Restated Certificate of Incorporation, as amended, contains certain provisions restricting business combinations with interested stockholders under certain circumstances and imposing higher voting requirements for the approval of certain transactions (“fair price” provisions). Any of these provisions may delay or prevent a change in control.</w:t>
      </w:r>
    </w:p>
    <w:p>
      <w:pPr>
        <w:spacing w:after="0" w:line="14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“fair price” provisions require that holders of at least two-thirds of our outstanding shares of voting stock approve certain business combinations and significant transactions with interested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liability for product warranty claim costs are presented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4"/>
              </w:rPr>
              <w:t>Accruals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(Reductions)</w:t>
            </w: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Settlements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6"/>
              </w:rPr>
              <w:t>for</w:t>
            </w: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 Cash or</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Balance at</w:t>
            </w:r>
          </w:p>
        </w:tc>
        <w:tc>
          <w:tcPr>
            <w:tcW w:w="158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1"/>
              </w:rPr>
              <w:t>Warranties</w:t>
            </w:r>
          </w:p>
        </w:tc>
        <w:tc>
          <w:tcPr>
            <w:tcW w:w="100" w:type="dxa"/>
            <w:vAlign w:val="bottom"/>
          </w:tcPr>
          <w:p>
            <w:pPr>
              <w:spacing w:after="0"/>
              <w:rPr>
                <w:sz w:val="12"/>
                <w:szCs w:val="12"/>
                <w:color w:val="auto"/>
              </w:rPr>
            </w:pPr>
          </w:p>
        </w:tc>
        <w:tc>
          <w:tcPr>
            <w:tcW w:w="13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6"/>
              </w:rPr>
              <w:t>in</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100" w:type="dxa"/>
            <w:vAlign w:val="bottom"/>
          </w:tcPr>
          <w:p>
            <w:pPr>
              <w:spacing w:after="0"/>
              <w:rPr>
                <w:sz w:val="12"/>
                <w:szCs w:val="12"/>
                <w:color w:val="auto"/>
              </w:rPr>
            </w:pPr>
          </w:p>
        </w:tc>
        <w:tc>
          <w:tcPr>
            <w:tcW w:w="148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5"/>
              </w:rPr>
              <w:t>Issued</w:t>
            </w:r>
          </w:p>
        </w:tc>
        <w:tc>
          <w:tcPr>
            <w:tcW w:w="100" w:type="dxa"/>
            <w:vAlign w:val="bottom"/>
          </w:tcPr>
          <w:p>
            <w:pPr>
              <w:spacing w:after="0"/>
              <w:rPr>
                <w:sz w:val="12"/>
                <w:szCs w:val="12"/>
                <w:color w:val="auto"/>
              </w:rPr>
            </w:pPr>
          </w:p>
        </w:tc>
        <w:tc>
          <w:tcPr>
            <w:tcW w:w="138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4"/>
              </w:rPr>
              <w:t>Kind)</w:t>
            </w: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34"/>
        </w:trPr>
        <w:tc>
          <w:tcPr>
            <w:tcW w:w="410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1"/>
                <w:szCs w:val="11"/>
                <w:color w:val="auto"/>
              </w:rPr>
            </w:pPr>
          </w:p>
        </w:tc>
        <w:tc>
          <w:tcPr>
            <w:tcW w:w="148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93"/>
              </w:rPr>
              <w:t>During</w:t>
            </w:r>
          </w:p>
        </w:tc>
        <w:tc>
          <w:tcPr>
            <w:tcW w:w="100" w:type="dxa"/>
            <w:vAlign w:val="bottom"/>
          </w:tcPr>
          <w:p>
            <w:pPr>
              <w:spacing w:after="0"/>
              <w:rPr>
                <w:sz w:val="11"/>
                <w:szCs w:val="11"/>
                <w:color w:val="auto"/>
              </w:rPr>
            </w:pPr>
          </w:p>
        </w:tc>
        <w:tc>
          <w:tcPr>
            <w:tcW w:w="1380" w:type="dxa"/>
            <w:vAlign w:val="bottom"/>
            <w:gridSpan w:val="2"/>
          </w:tcPr>
          <w:p>
            <w:pPr>
              <w:jc w:val="center"/>
              <w:ind w:right="900"/>
              <w:spacing w:after="0" w:line="135" w:lineRule="exact"/>
              <w:rPr>
                <w:sz w:val="20"/>
                <w:szCs w:val="20"/>
                <w:color w:val="auto"/>
              </w:rPr>
            </w:pPr>
            <w:r>
              <w:rPr>
                <w:rFonts w:ascii="Arial" w:cs="Arial" w:eastAsia="Arial" w:hAnsi="Arial"/>
                <w:sz w:val="14"/>
                <w:szCs w:val="14"/>
                <w:b w:val="1"/>
                <w:bCs w:val="1"/>
                <w:color w:val="auto"/>
                <w:w w:val="88"/>
              </w:rPr>
              <w:t>During</w:t>
            </w:r>
          </w:p>
        </w:tc>
        <w:tc>
          <w:tcPr>
            <w:tcW w:w="1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49"/>
        </w:trPr>
        <w:tc>
          <w:tcPr>
            <w:tcW w:w="41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91"/>
              </w:rPr>
              <w:t>Period</w:t>
            </w:r>
          </w:p>
        </w:tc>
        <w:tc>
          <w:tcPr>
            <w:tcW w:w="100" w:type="dxa"/>
            <w:vAlign w:val="bottom"/>
          </w:tcPr>
          <w:p>
            <w:pPr>
              <w:spacing w:after="0"/>
              <w:rPr>
                <w:sz w:val="12"/>
                <w:szCs w:val="12"/>
                <w:color w:val="auto"/>
              </w:rPr>
            </w:pPr>
          </w:p>
        </w:tc>
        <w:tc>
          <w:tcPr>
            <w:tcW w:w="148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84"/>
              </w:rPr>
              <w:t>the Period</w:t>
            </w:r>
          </w:p>
        </w:tc>
        <w:tc>
          <w:tcPr>
            <w:tcW w:w="1480" w:type="dxa"/>
            <w:vAlign w:val="bottom"/>
            <w:gridSpan w:val="3"/>
          </w:tcPr>
          <w:p>
            <w:pPr>
              <w:jc w:val="center"/>
              <w:ind w:right="800"/>
              <w:spacing w:after="0" w:line="129" w:lineRule="exact"/>
              <w:rPr>
                <w:sz w:val="20"/>
                <w:szCs w:val="20"/>
                <w:color w:val="auto"/>
              </w:rPr>
            </w:pPr>
            <w:r>
              <w:rPr>
                <w:rFonts w:ascii="Arial" w:cs="Arial" w:eastAsia="Arial" w:hAnsi="Arial"/>
                <w:sz w:val="14"/>
                <w:szCs w:val="14"/>
                <w:b w:val="1"/>
                <w:bCs w:val="1"/>
                <w:color w:val="auto"/>
                <w:w w:val="87"/>
              </w:rPr>
              <w:t>the Period</w:t>
            </w:r>
          </w:p>
        </w:tc>
        <w:tc>
          <w:tcPr>
            <w:tcW w:w="100" w:type="dxa"/>
            <w:vAlign w:val="bottom"/>
          </w:tcPr>
          <w:p>
            <w:pPr>
              <w:spacing w:after="0"/>
              <w:rPr>
                <w:sz w:val="12"/>
                <w:szCs w:val="12"/>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Nine months Ended September 30, 2011</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78"/>
              </w:rPr>
              <w:t>71</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6"/>
                <w:szCs w:val="16"/>
                <w:color w:val="auto"/>
                <w:w w:val="77"/>
              </w:rPr>
              <w:t>(27)</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77"/>
              </w:rPr>
              <w:t>(38)</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Nine months Ended September 30, 2010</w:t>
            </w:r>
          </w:p>
        </w:tc>
        <w:tc>
          <w:tcPr>
            <w:tcW w:w="1340" w:type="dxa"/>
            <w:vAlign w:val="bottom"/>
            <w:gridSpan w:val="2"/>
          </w:tcPr>
          <w:p>
            <w:pPr>
              <w:ind w:left="122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ind w:left="44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3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On July 15, 2011, we filed a lawsuit against in the United States District Court, Central District of California (Universal Electronics Inc. v. Logitech, Inc., Logitech International S.A. and Logitech Europe S.A., SACV 11-1056-JVS(ANx)) alleging that the Logitech companies are infringing seventeen of our patents related to remote control technology. We have alleged that this complaint relates to multiple Logitech remote control products, including the Harmony H300, H650, H700, H900, One, H1100, Logitech Revue (for Google TV), Harmony remote apps for iOS and Android platforms, and other applications and/or programming for touch screen mobile devices. The Logitech companies have not yet answered our complaint.</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There are no other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or results of operations. Moreover, we believe that our products do not infringe any third parties’ patents or other intellectual property rights.</w:t>
      </w:r>
    </w:p>
    <w:p>
      <w:pPr>
        <w:spacing w:after="0" w:line="11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Compensation Committee awarded a discretionary cash bonus of $1.0 million to our Named Executive Officers, to be paid out quarterly during 2009 and 2010. The Compensation Committee made this decision after reviewing the economic environment and our relative financial and operating performance. The Compensation Committee believed this bonus was in alignment with our stockholders’ interests as well as our performance, alignment and retention objectives. Each participant’s earned award vested in eight equal quarterly installments beginning September 30, 2009 and ending December 31, 2010. Approximately $0.3 million and 0.1 million was paid and expensed, respectively, during the three and nine months ended September 30, 2010 to our executive management team. All amounts earned have been paid as of September 30, 2011 and December 31, 2010.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adopted a non-qualified deferred compensation plan for the benefit of a select group of highly compensated employees. For each plan year a participant may elect to defer compensation in fixed dollar amounts or percentages subject to the minimums and maximums established under the plan. Generally, an election to defer compensation is irrevocable for the entire plan year. A participant is always fully vested in their elective deferrals and may direct these funds into various investment options available under the plan. These investment options are utilized for measurement purposes only, and may not represent the actual investment made by us. In this respect, the participant is an unsecured creditor of ours. On September 30, 2011 and December 31, 2010, the amounts deferred under the plan were immaterial to our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subsidiary in India maintains a defined benefit pension plan (“India Plan”) for local employees, which is consistent with local statutes and practices. The India Plan was adequately funded as of September 30, 2011 based on its latest actuarial report. The India Plan has an independent external manager that advises us of the appropriate funding contribution requirements to which we comply. On September 30, 2011, approximately 30% of our 130 employees in India had qualified for eligibility. Generally, an individual must be employed by the company for a minimum of five years before becoming eligible. At the time of eligibility we are liable, on termination, resignation or retirement, to pay the employee an amount equal to 15 days salary for each year of service completed. The total amount of liability outstanding on September 30, 2011 and December 31, 2010 for the India Plan was not material. During the three and nine months ended September 30, 2011 and 2010, the net periodic benefit costs were also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Treasury Stock</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During the nine months ended September 30, 2011 and 2010, we repurchased 441,071 and 493,257 shares of our common stock at a cost of $9.5 million and $9.8 million, respectively. Repurchased shares are recorded as shares held in treasury at cost. We generally hold these shares for future use as our management and Board of Directors deem appropriate, including compensating our outside directors. During the nine months ended September 30, 2011 and 2010, we issued 22,500 and 22,083 shares, respectively, to outside directors for services performed (see Note 14).</w:t>
      </w:r>
    </w:p>
    <w:p>
      <w:pPr>
        <w:spacing w:after="0" w:line="11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February 11, 2010, our Board of Directors authorized management to repurchase up to 1,000,000 shares of our issued and outstanding common stock. As of September 30, 2011, we have repurchased 914,197 shares of our common stock under the February 11, 2010 authorization, leaving 85,803 shares available for repurchase. On October 26, 2011, our Board of Directors authorized management to repurchase an additional 1,000,000 shares of our issued and outstanding common stock. Repurchases may be made whenever we deem a repurchase is a good use of our cash and the price to be paid is at or below a threshold approved by our Board.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Comprehensive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are listed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tcPr>
          <w:p>
            <w:pPr>
              <w:spacing w:after="0"/>
              <w:rPr>
                <w:sz w:val="14"/>
                <w:szCs w:val="14"/>
                <w:color w:val="auto"/>
              </w:rPr>
            </w:pPr>
          </w:p>
        </w:tc>
        <w:tc>
          <w:tcPr>
            <w:tcW w:w="16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6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000" w:type="dxa"/>
            <w:vAlign w:val="bottom"/>
            <w:vMerge w:val="continue"/>
          </w:tcPr>
          <w:p>
            <w:pPr>
              <w:spacing w:after="0"/>
              <w:rPr>
                <w:sz w:val="12"/>
                <w:szCs w:val="12"/>
                <w:color w:val="auto"/>
              </w:rPr>
            </w:pPr>
          </w:p>
        </w:tc>
        <w:tc>
          <w:tcPr>
            <w:tcW w:w="56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$ 7,084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$4,702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$15,032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11,315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Foreign currency translations </w:t>
            </w:r>
            <w:r>
              <w:rPr>
                <w:rFonts w:ascii="Arial" w:cs="Arial" w:eastAsia="Arial" w:hAnsi="Arial"/>
                <w:sz w:val="11"/>
                <w:szCs w:val="11"/>
                <w:color w:val="auto"/>
              </w:rPr>
              <w:t>(1)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(2,076)</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3,850</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(1,631)</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$ 5,008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8,552</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17,149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9,684</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line="297" w:lineRule="auto"/>
        <w:tabs>
          <w:tab w:leader="none" w:pos="46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The foreign currency translation gain of $2.1 million for the nine months ended September 30, 2011 was due primarily to the weakening of the U.S. dollar against the Chinese Renminbi during the period. The foreign currency translation loss of $1.6 million for the nine months ended September 30, 2010 was due primarily to the strengthening of the U.S. dollar against the Euro. The U.S. dollar/ Chinese Renminbi spot rate was 0.157 and 0.152 on September 30, 2011 and December 31, 2010, respectively. The U.S. dollar/Euro spot rate was 1.36 and 1.43 on September 30, 2010 and December 31, 2009, respectively.</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See Note 2 under the caption </w:t>
      </w:r>
      <w:r>
        <w:rPr>
          <w:rFonts w:ascii="Arial" w:cs="Arial" w:eastAsia="Arial" w:hAnsi="Arial"/>
          <w:sz w:val="18"/>
          <w:szCs w:val="18"/>
          <w:i w:val="1"/>
          <w:iCs w:val="1"/>
          <w:color w:val="auto"/>
        </w:rPr>
        <w:t>Foreign Currency Translation and Foreign Currency Transactions</w:t>
      </w:r>
      <w:r>
        <w:rPr>
          <w:rFonts w:ascii="Arial" w:cs="Arial" w:eastAsia="Arial" w:hAnsi="Arial"/>
          <w:sz w:val="18"/>
          <w:szCs w:val="18"/>
          <w:color w:val="auto"/>
        </w:rPr>
        <w:t xml:space="preserve"> in our Annual Report on Form 10-K for further information regarding our accounting principles.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Business Segment and Foreign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We operate in a single operating and reportable segment.</w:t>
      </w:r>
    </w:p>
    <w:p>
      <w:pPr>
        <w:spacing w:after="0" w:line="14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Our chief operating decision maker, the Chief Executive Officer, reviews financial information presented on a consolidated basis, accompanied by disaggregated information about revenues for purpose of making operating decisions and assessing financial performance. Accordingly, we have a single reportable segment.</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sales by geographic area, based on customer billing location, were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56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9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37,246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$30,198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98,668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People’s Republic of China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30,290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5,853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83,076</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Argentina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4,673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Australia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583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Brazil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6,326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Canada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4,665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3,404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9,882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France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3,362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Germany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4,761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Israel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2,628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Italy</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1,667</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Japan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31,922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Malaysia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3,444</w:t>
            </w:r>
          </w:p>
        </w:tc>
        <w:tc>
          <w:tcPr>
            <w:tcW w:w="4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12,942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Netherlands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Portugal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920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1,463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Singapore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13,055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South Africa</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1,306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5,211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South Korea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6,160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Spain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2,925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16,515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880"/>
              <w:spacing w:after="0"/>
              <w:rPr>
                <w:sz w:val="20"/>
                <w:szCs w:val="20"/>
                <w:color w:val="auto"/>
              </w:rPr>
            </w:pPr>
            <w:r>
              <w:rPr>
                <w:rFonts w:ascii="Arial" w:cs="Arial" w:eastAsia="Arial" w:hAnsi="Arial"/>
                <w:sz w:val="18"/>
                <w:szCs w:val="18"/>
                <w:color w:val="auto"/>
              </w:rPr>
              <w:t>Thailand</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2,755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9,684</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United Kingdom</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16,567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20" w:type="dxa"/>
            <w:vAlign w:val="bottom"/>
          </w:tcPr>
          <w:p>
            <w:pPr>
              <w:ind w:left="880"/>
              <w:spacing w:after="0"/>
              <w:rPr>
                <w:sz w:val="20"/>
                <w:szCs w:val="20"/>
                <w:color w:val="auto"/>
              </w:rPr>
            </w:pPr>
            <w:r>
              <w:rPr>
                <w:rFonts w:ascii="Arial" w:cs="Arial" w:eastAsia="Arial" w:hAnsi="Arial"/>
                <w:sz w:val="18"/>
                <w:szCs w:val="18"/>
                <w:color w:val="auto"/>
              </w:rPr>
              <w:t>All 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6,444</w:t>
            </w:r>
          </w:p>
        </w:tc>
        <w:tc>
          <w:tcPr>
            <w:tcW w:w="4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17,271</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86,281</w:t>
            </w:r>
          </w:p>
        </w:tc>
        <w:tc>
          <w:tcPr>
            <w:tcW w:w="4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252,317</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139,647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tcPr>
          <w:p>
            <w:pPr>
              <w:spacing w:after="0"/>
              <w:rPr>
                <w:sz w:val="20"/>
                <w:szCs w:val="20"/>
                <w:color w:val="auto"/>
              </w:rPr>
            </w:pPr>
            <w:r>
              <w:rPr>
                <w:rFonts w:ascii="Arial" w:cs="Arial" w:eastAsia="Arial" w:hAnsi="Arial"/>
                <w:sz w:val="18"/>
                <w:szCs w:val="18"/>
                <w:color w:val="auto"/>
              </w:rPr>
              <w:t>Total net sales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123,527</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79,007</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350,985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229,275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Specific identification of the customer billing location was the basis used for attributing revenues from external customers to individual countries.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 information is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760" w:type="dxa"/>
            <w:vAlign w:val="bottom"/>
            <w:gridSpan w:val="3"/>
          </w:tcPr>
          <w:p>
            <w:pPr>
              <w:ind w:left="1940"/>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Long-lived tangible assets:</w:t>
            </w:r>
          </w:p>
        </w:tc>
        <w:tc>
          <w:tcPr>
            <w:tcW w:w="19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2120" w:type="dxa"/>
            <w:vAlign w:val="bottom"/>
            <w:gridSpan w:val="2"/>
          </w:tcPr>
          <w:p>
            <w:pPr>
              <w:ind w:left="19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3,995</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People’s Republic of China</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All other countries</w:t>
            </w:r>
          </w:p>
        </w:tc>
        <w:tc>
          <w:tcPr>
            <w:tcW w:w="1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85,572</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Stock-Based Compensation</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Stock-based compensation expense for each employee and director is presented in the same income statement caption as their cash compensation. Stock-based compensation expense by income statement caption for the three and nine months ended September 30, 2011 and 2010 is the following:</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560" w:type="dxa"/>
            <w:vAlign w:val="bottom"/>
            <w:tcBorders>
              <w:bottom w:val="single" w:sz="8" w:color="CCEEFF"/>
            </w:tcBorders>
            <w:vMerge w:val="continue"/>
          </w:tcPr>
          <w:p>
            <w:pPr>
              <w:spacing w:after="0"/>
              <w:rPr>
                <w:sz w:val="12"/>
                <w:szCs w:val="12"/>
                <w:color w:val="auto"/>
              </w:rPr>
            </w:pPr>
          </w:p>
        </w:tc>
        <w:tc>
          <w:tcPr>
            <w:tcW w:w="26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9"/>
              </w:rPr>
              <w:t>2011</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w w:val="99"/>
              </w:rPr>
              <w:t>Stock-based compensation expense before income taxes</w:t>
            </w:r>
          </w:p>
        </w:tc>
        <w:tc>
          <w:tcPr>
            <w:tcW w:w="2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60" w:type="dxa"/>
            <w:vAlign w:val="bottom"/>
            <w:vMerge w:val="continue"/>
          </w:tcPr>
          <w:p>
            <w:pPr>
              <w:spacing w:after="0"/>
              <w:rPr>
                <w:sz w:val="19"/>
                <w:szCs w:val="19"/>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1,195</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1,225</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3,280</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680" w:type="dxa"/>
            <w:vAlign w:val="bottom"/>
            <w:vMerge w:val="restart"/>
          </w:tcPr>
          <w:p>
            <w:pPr>
              <w:jc w:val="right"/>
              <w:ind w:right="1812"/>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459"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Selling, general and administrative expense includes pre-tax stock-based compensation related to stock option awards granted to outside directors of $0 and $0.1 million for the three months ended September 30, 2011 and 2010, respectively. During the nine months ended September 30, 2011 and 2010, pre-tax stock-based compensation related to options granted to directors was $0.1 million and $0.2 million, respectively.</w:t>
      </w:r>
    </w:p>
    <w:p>
      <w:pPr>
        <w:spacing w:after="0" w:line="10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Selling, general and administrative expense also includes stock-based compensation related to restricted stock awards granted to outside directors of $0.2 million and $0.1 million for the three months ended September 30, 2011 and 2010, respectively. During the nine months ended September 30, 2011 and 2010, stock-based compensation related to restricted stock awards granted to outside directors was $0.4 million and $0.4 million, respectively.</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income tax benefit from the recognition of stock-based compensation for the three months ended September 30, 2011 and 2010 was $0.4 million and $0.4 million, respectively. The income tax benefit from the recognition of stock-based compensation for the nine months ended September 30, 2011 and 2010 was $1.1 million and $1.3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During the nine months ended September 30, 2011 the Compensation Committee and Board of Directors granted 107,600 stock options to employees, including 92,600 to our Named Executive Officers, with an aggregate grant date fair value of $1.5 million under various stock incentive plans. The stock options granted to employees during 2011 consisted of the following: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amounts)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8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Grant</w:t>
            </w:r>
          </w:p>
        </w:tc>
        <w:tc>
          <w:tcPr>
            <w:tcW w:w="4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Date</w:t>
            </w:r>
          </w:p>
        </w:tc>
        <w:tc>
          <w:tcPr>
            <w:tcW w:w="4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620" w:type="dxa"/>
            <w:vAlign w:val="bottom"/>
            <w:gridSpan w:val="2"/>
            <w:vMerge w:val="continue"/>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Underlying</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center"/>
              <w:ind w:right="2"/>
              <w:spacing w:after="0" w:line="135" w:lineRule="exact"/>
              <w:rPr>
                <w:sz w:val="20"/>
                <w:szCs w:val="20"/>
                <w:color w:val="auto"/>
              </w:rPr>
            </w:pPr>
            <w:r>
              <w:rPr>
                <w:rFonts w:ascii="Arial" w:cs="Arial" w:eastAsia="Arial" w:hAnsi="Arial"/>
                <w:sz w:val="14"/>
                <w:szCs w:val="14"/>
                <w:b w:val="1"/>
                <w:bCs w:val="1"/>
                <w:color w:val="auto"/>
                <w:w w:val="93"/>
              </w:rPr>
              <w:t>Fair</w:t>
            </w:r>
          </w:p>
        </w:tc>
        <w:tc>
          <w:tcPr>
            <w:tcW w:w="4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Grant Date</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Options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ind w:right="2"/>
              <w:spacing w:after="0" w:line="129" w:lineRule="exact"/>
              <w:rPr>
                <w:sz w:val="20"/>
                <w:szCs w:val="20"/>
                <w:color w:val="auto"/>
              </w:rPr>
            </w:pPr>
            <w:r>
              <w:rPr>
                <w:rFonts w:ascii="Arial" w:cs="Arial" w:eastAsia="Arial" w:hAnsi="Arial"/>
                <w:sz w:val="14"/>
                <w:szCs w:val="14"/>
                <w:b w:val="1"/>
                <w:bCs w:val="1"/>
                <w:color w:val="auto"/>
                <w:w w:val="85"/>
              </w:rPr>
              <w:t>Value</w:t>
            </w:r>
          </w:p>
        </w:tc>
        <w:tc>
          <w:tcPr>
            <w:tcW w:w="420" w:type="dxa"/>
            <w:vAlign w:val="bottom"/>
          </w:tcPr>
          <w:p>
            <w:pPr>
              <w:spacing w:after="0"/>
              <w:rPr>
                <w:sz w:val="12"/>
                <w:szCs w:val="12"/>
                <w:color w:val="auto"/>
              </w:rPr>
            </w:pPr>
          </w:p>
        </w:tc>
        <w:tc>
          <w:tcPr>
            <w:tcW w:w="3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Vesting Period</w:t>
            </w: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January 26, 2011</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15,000</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192</w:t>
            </w:r>
          </w:p>
        </w:tc>
        <w:tc>
          <w:tcPr>
            <w:tcW w:w="420" w:type="dxa"/>
            <w:vAlign w:val="bottom"/>
            <w:shd w:val="clear" w:color="auto" w:fill="CCEEFF"/>
          </w:tcPr>
          <w:p>
            <w:pPr>
              <w:spacing w:after="0"/>
              <w:rPr>
                <w:sz w:val="17"/>
                <w:szCs w:val="17"/>
                <w:color w:val="auto"/>
              </w:rPr>
            </w:pPr>
          </w:p>
        </w:tc>
        <w:tc>
          <w:tcPr>
            <w:tcW w:w="39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4-Year Vesting Period (25% each year)</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April 6, 2011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92,600</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1,286</w:t>
            </w:r>
          </w:p>
        </w:tc>
        <w:tc>
          <w:tcPr>
            <w:tcW w:w="42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Arial" w:cs="Arial" w:eastAsia="Arial" w:hAnsi="Arial"/>
                <w:sz w:val="18"/>
                <w:szCs w:val="18"/>
                <w:color w:val="auto"/>
                <w:w w:val="87"/>
              </w:rPr>
              <w:t>3-Year Vesting Period (8.33% each quarter)</w:t>
            </w: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107,600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1,478</w:t>
            </w:r>
          </w:p>
        </w:tc>
        <w:tc>
          <w:tcPr>
            <w:tcW w:w="420" w:type="dxa"/>
            <w:vAlign w:val="bottom"/>
            <w:shd w:val="clear" w:color="auto" w:fill="CCEEFF"/>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During the nine months ended September 30, 2011 we recognized $0.2 million of pre-tax stock-based compensation expense related to our 2011 stock option grants.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we utilized in the Black-Scholes option pricing model and the resulting weighted average fair values of stock option grants were the following:</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92"/>
              </w:rPr>
              <w:t>Three Months Ended</w:t>
            </w:r>
          </w:p>
        </w:tc>
        <w:tc>
          <w:tcPr>
            <w:tcW w:w="17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4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0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4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96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Pr>
          <w:p>
            <w:pPr>
              <w:spacing w:after="0"/>
              <w:rPr>
                <w:sz w:val="12"/>
                <w:szCs w:val="12"/>
                <w:color w:val="auto"/>
              </w:rPr>
            </w:pPr>
          </w:p>
        </w:tc>
        <w:tc>
          <w:tcPr>
            <w:tcW w:w="50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4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 average fair value of grants</w:t>
            </w:r>
            <w:r>
              <w:rPr>
                <w:rFonts w:ascii="Arial" w:cs="Arial" w:eastAsia="Arial" w:hAnsi="Arial"/>
                <w:sz w:val="11"/>
                <w:szCs w:val="11"/>
                <w:color w:val="auto"/>
              </w:rPr>
              <w:t>(1)</w:t>
            </w:r>
          </w:p>
        </w:tc>
        <w:tc>
          <w:tcPr>
            <w:tcW w:w="2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92"/>
              </w:rPr>
              <w:t>$—</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$ 8.22</w:t>
            </w:r>
          </w:p>
        </w:tc>
        <w:tc>
          <w:tcPr>
            <w:tcW w:w="5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$13.74</w:t>
            </w:r>
          </w:p>
        </w:tc>
        <w:tc>
          <w:tcPr>
            <w:tcW w:w="5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$10.83</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40" w:type="dxa"/>
            <w:vAlign w:val="bottom"/>
          </w:tcPr>
          <w:p>
            <w:pPr>
              <w:spacing w:after="0"/>
              <w:rPr>
                <w:sz w:val="18"/>
                <w:szCs w:val="18"/>
                <w:color w:val="auto"/>
              </w:rPr>
            </w:pPr>
          </w:p>
        </w:tc>
        <w:tc>
          <w:tcPr>
            <w:tcW w:w="3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420"/>
              <w:spacing w:after="0"/>
              <w:rPr>
                <w:sz w:val="20"/>
                <w:szCs w:val="20"/>
                <w:color w:val="auto"/>
              </w:rPr>
            </w:pPr>
            <w:r>
              <w:rPr>
                <w:rFonts w:ascii="Arial" w:cs="Arial" w:eastAsia="Arial" w:hAnsi="Arial"/>
                <w:sz w:val="18"/>
                <w:szCs w:val="18"/>
                <w:color w:val="auto"/>
              </w:rPr>
              <w:t>1.80%</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2.29%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0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50.37%</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52.25%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50.07%</w:t>
            </w: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2040" w:type="dxa"/>
            <w:vAlign w:val="bottom"/>
          </w:tcPr>
          <w:p>
            <w:pPr>
              <w:spacing w:after="0"/>
              <w:rPr>
                <w:sz w:val="19"/>
                <w:szCs w:val="19"/>
                <w:color w:val="auto"/>
              </w:rPr>
            </w:pPr>
          </w:p>
        </w:tc>
        <w:tc>
          <w:tcPr>
            <w:tcW w:w="3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580"/>
              <w:spacing w:after="0"/>
              <w:rPr>
                <w:sz w:val="20"/>
                <w:szCs w:val="20"/>
                <w:color w:val="auto"/>
              </w:rPr>
            </w:pPr>
            <w:r>
              <w:rPr>
                <w:rFonts w:ascii="Arial" w:cs="Arial" w:eastAsia="Arial" w:hAnsi="Arial"/>
                <w:sz w:val="18"/>
                <w:szCs w:val="18"/>
                <w:color w:val="auto"/>
              </w:rPr>
              <w:t>4.95</w:t>
            </w:r>
          </w:p>
        </w:tc>
        <w:tc>
          <w:tcPr>
            <w:tcW w:w="500" w:type="dxa"/>
            <w:vAlign w:val="bottom"/>
          </w:tcPr>
          <w:p>
            <w:pPr>
              <w:jc w:val="right"/>
              <w:spacing w:after="0"/>
              <w:rPr>
                <w:sz w:val="20"/>
                <w:szCs w:val="20"/>
                <w:color w:val="auto"/>
              </w:rPr>
            </w:pPr>
            <w:r>
              <w:rPr>
                <w:rFonts w:ascii="Arial" w:cs="Arial" w:eastAsia="Arial" w:hAnsi="Arial"/>
                <w:sz w:val="18"/>
                <w:szCs w:val="18"/>
                <w:color w:val="auto"/>
              </w:rPr>
              <w:t>5.03</w:t>
            </w:r>
          </w:p>
        </w:tc>
        <w:tc>
          <w:tcPr>
            <w:tcW w:w="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620" w:right="2360" w:hanging="5612"/>
        <w:spacing w:after="0" w:line="387" w:lineRule="auto"/>
        <w:tabs>
          <w:tab w:leader="none" w:pos="448" w:val="left"/>
        </w:tabs>
        <w:numPr>
          <w:ilvl w:val="0"/>
          <w:numId w:val="12"/>
        </w:numPr>
        <w:rPr>
          <w:rFonts w:ascii="Arial" w:cs="Arial" w:eastAsia="Arial" w:hAnsi="Arial"/>
          <w:sz w:val="22"/>
          <w:szCs w:val="22"/>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 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during the nine months ended September 30, 2011 was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Average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Remaining</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Average</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Options</w:t>
            </w:r>
          </w:p>
        </w:tc>
        <w:tc>
          <w:tcPr>
            <w:tcW w:w="11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3"/>
              </w:rPr>
              <w:t>Exercise</w:t>
            </w:r>
          </w:p>
        </w:tc>
        <w:tc>
          <w:tcPr>
            <w:tcW w:w="13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4"/>
              </w:rPr>
              <w:t>(thousands)</w:t>
            </w:r>
          </w:p>
        </w:tc>
        <w:tc>
          <w:tcPr>
            <w:tcW w:w="120" w:type="dxa"/>
            <w:vAlign w:val="bottom"/>
          </w:tcPr>
          <w:p>
            <w:pPr>
              <w:spacing w:after="0"/>
              <w:rPr>
                <w:sz w:val="14"/>
                <w:szCs w:val="14"/>
                <w:color w:val="auto"/>
              </w:rPr>
            </w:pPr>
          </w:p>
        </w:tc>
        <w:tc>
          <w:tcPr>
            <w:tcW w:w="10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Price</w:t>
            </w:r>
          </w:p>
        </w:tc>
        <w:tc>
          <w:tcPr>
            <w:tcW w:w="13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(In years)</w:t>
            </w:r>
          </w:p>
        </w:tc>
        <w:tc>
          <w:tcPr>
            <w:tcW w:w="100" w:type="dxa"/>
            <w:vAlign w:val="bottom"/>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4"/>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on December 31, 2010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28.97</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Forfeited/cancelled/ expired</w:t>
            </w: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23.85</w:t>
            </w: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Outstanding on September 30, 2011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on September 30, 2011</w:t>
            </w: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19.51</w:t>
            </w:r>
          </w:p>
        </w:tc>
        <w:tc>
          <w:tcPr>
            <w:tcW w:w="580" w:type="dxa"/>
            <w:vAlign w:val="bottom"/>
          </w:tcPr>
          <w:p>
            <w:pPr>
              <w:spacing w:after="0" w:line="20" w:lineRule="exact"/>
              <w:rPr>
                <w:sz w:val="1"/>
                <w:szCs w:val="1"/>
                <w:color w:val="auto"/>
              </w:rPr>
            </w:pPr>
          </w:p>
        </w:tc>
        <w:tc>
          <w:tcPr>
            <w:tcW w:w="130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4.97</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4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1,515</w:t>
            </w:r>
          </w:p>
        </w:tc>
        <w:tc>
          <w:tcPr>
            <w:tcW w:w="6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Exercisable on September 30, 2011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aggregate intrinsic value in the table above represents the total pre-tax value that option holders would have received had all option holders exercised their options on September 30, 2011. The aggregate intrinsic value is the difference between the closing price of our common stock on the last trading day of the third quarter of 2011 and the option exercise price, multiplied by the number of in-the-money options. This amount will change based on the fair market value of our stock. The total intrinsic value of options exercised for the three months ended September 30, 2011 and 2010, was $0.04 million and $0, respectively. The total intrinsic value of options exercised for the nine months ended September 30, 2011 and 2010, was $0.8 million and $0.1 million, respectively.</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September 30, 2011, there was $2.6 million of unrecognized pre-tax stock-based compensation expense related to non-vested stock options which we expect to recognize over a weighted-average period of 2.2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During the nine months ended September 30, 2011 the Compensation Committee and Board of Directors granted 143,900 restricted stock awards to employees, including 43,900 to our Named Executive Officers, with an aggregate grant date fair value of $3.7 million under the 2006 and 2010 Stock Incentive Plans. The restricted stock awards consisted of the following: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amounts)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420" w:type="dxa"/>
            <w:vAlign w:val="bottom"/>
          </w:tcPr>
          <w:p>
            <w:pPr>
              <w:spacing w:after="0"/>
              <w:rPr>
                <w:sz w:val="14"/>
                <w:szCs w:val="14"/>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Grant</w:t>
            </w:r>
          </w:p>
        </w:tc>
        <w:tc>
          <w:tcPr>
            <w:tcW w:w="3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90"/>
              </w:rPr>
              <w:t>Restricted Stock</w:t>
            </w:r>
          </w:p>
        </w:tc>
        <w:tc>
          <w:tcPr>
            <w:tcW w:w="36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420" w:type="dxa"/>
            <w:vAlign w:val="bottom"/>
          </w:tcPr>
          <w:p>
            <w:pPr>
              <w:spacing w:after="0"/>
              <w:rPr>
                <w:sz w:val="12"/>
                <w:szCs w:val="12"/>
                <w:color w:val="auto"/>
              </w:rPr>
            </w:pPr>
          </w:p>
        </w:tc>
        <w:tc>
          <w:tcPr>
            <w:tcW w:w="9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Date</w:t>
            </w:r>
          </w:p>
        </w:tc>
        <w:tc>
          <w:tcPr>
            <w:tcW w:w="3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20" w:type="dxa"/>
            <w:vAlign w:val="bottom"/>
            <w:vMerge w:val="continue"/>
          </w:tcPr>
          <w:p>
            <w:pPr>
              <w:spacing w:after="0"/>
              <w:rPr>
                <w:sz w:val="11"/>
                <w:szCs w:val="11"/>
                <w:color w:val="auto"/>
              </w:rPr>
            </w:pPr>
          </w:p>
        </w:tc>
        <w:tc>
          <w:tcPr>
            <w:tcW w:w="36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Underlying</w:t>
            </w:r>
          </w:p>
        </w:tc>
        <w:tc>
          <w:tcPr>
            <w:tcW w:w="420" w:type="dxa"/>
            <w:vAlign w:val="bottom"/>
          </w:tcPr>
          <w:p>
            <w:pPr>
              <w:spacing w:after="0"/>
              <w:rPr>
                <w:sz w:val="11"/>
                <w:szCs w:val="11"/>
                <w:color w:val="auto"/>
              </w:rPr>
            </w:pPr>
          </w:p>
        </w:tc>
        <w:tc>
          <w:tcPr>
            <w:tcW w:w="90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3"/>
              </w:rPr>
              <w:t>Fair</w:t>
            </w:r>
          </w:p>
        </w:tc>
        <w:tc>
          <w:tcPr>
            <w:tcW w:w="3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Grant Date</w:t>
            </w:r>
          </w:p>
        </w:tc>
        <w:tc>
          <w:tcPr>
            <w:tcW w:w="3640" w:type="dxa"/>
            <w:vAlign w:val="bottom"/>
          </w:tcPr>
          <w:p>
            <w:pPr>
              <w:spacing w:after="0"/>
              <w:rPr>
                <w:sz w:val="12"/>
                <w:szCs w:val="12"/>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Options</w:t>
            </w:r>
          </w:p>
        </w:tc>
        <w:tc>
          <w:tcPr>
            <w:tcW w:w="420" w:type="dxa"/>
            <w:vAlign w:val="bottom"/>
          </w:tcPr>
          <w:p>
            <w:pPr>
              <w:spacing w:after="0"/>
              <w:rPr>
                <w:sz w:val="12"/>
                <w:szCs w:val="12"/>
                <w:color w:val="auto"/>
              </w:rPr>
            </w:pPr>
          </w:p>
        </w:tc>
        <w:tc>
          <w:tcPr>
            <w:tcW w:w="90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Value</w:t>
            </w:r>
          </w:p>
        </w:tc>
        <w:tc>
          <w:tcPr>
            <w:tcW w:w="3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Vesting Period</w:t>
            </w:r>
          </w:p>
        </w:tc>
        <w:tc>
          <w:tcPr>
            <w:tcW w:w="0" w:type="dxa"/>
            <w:vAlign w:val="bottom"/>
          </w:tcPr>
          <w:p>
            <w:pPr>
              <w:spacing w:after="0"/>
              <w:rPr>
                <w:sz w:val="1"/>
                <w:szCs w:val="1"/>
                <w:color w:val="auto"/>
              </w:rPr>
            </w:pPr>
          </w:p>
        </w:tc>
      </w:tr>
      <w:tr>
        <w:trPr>
          <w:trHeight w:val="20"/>
        </w:trPr>
        <w:tc>
          <w:tcPr>
            <w:tcW w:w="1020" w:type="dxa"/>
            <w:vAlign w:val="bottom"/>
            <w:tcBorders>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8"/>
              </w:rPr>
              <w:t>April 6, 2011</w:t>
            </w:r>
          </w:p>
        </w:tc>
        <w:tc>
          <w:tcPr>
            <w:tcW w:w="36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43,900</w:t>
            </w:r>
          </w:p>
        </w:tc>
        <w:tc>
          <w:tcPr>
            <w:tcW w:w="42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$1,284</w:t>
            </w:r>
          </w:p>
        </w:tc>
        <w:tc>
          <w:tcPr>
            <w:tcW w:w="400" w:type="dxa"/>
            <w:vAlign w:val="bottom"/>
            <w:shd w:val="clear" w:color="auto" w:fill="CCEEFF"/>
          </w:tcPr>
          <w:p>
            <w:pPr>
              <w:spacing w:after="0"/>
              <w:rPr>
                <w:sz w:val="17"/>
                <w:szCs w:val="17"/>
                <w:color w:val="auto"/>
              </w:rPr>
            </w:pPr>
          </w:p>
        </w:tc>
        <w:tc>
          <w:tcPr>
            <w:tcW w:w="38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7"/>
              </w:rPr>
              <w:t>3-Year Vesting Period (8.33% each quarter)</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w w:val="93"/>
              </w:rPr>
              <w:t>July 15, 2011</w:t>
            </w:r>
          </w:p>
        </w:tc>
        <w:tc>
          <w:tcPr>
            <w:tcW w:w="3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132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2,454</w:t>
            </w:r>
          </w:p>
        </w:tc>
        <w:tc>
          <w:tcPr>
            <w:tcW w:w="3860" w:type="dxa"/>
            <w:vAlign w:val="bottom"/>
          </w:tcPr>
          <w:p>
            <w:pPr>
              <w:jc w:val="center"/>
              <w:spacing w:after="0"/>
              <w:rPr>
                <w:sz w:val="20"/>
                <w:szCs w:val="20"/>
                <w:color w:val="auto"/>
              </w:rPr>
            </w:pPr>
            <w:r>
              <w:rPr>
                <w:rFonts w:ascii="Arial" w:cs="Arial" w:eastAsia="Arial" w:hAnsi="Arial"/>
                <w:sz w:val="18"/>
                <w:szCs w:val="18"/>
                <w:color w:val="auto"/>
                <w:w w:val="87"/>
              </w:rPr>
              <w:t>3-Year Vesting Period (8.33% each quarter)</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143,900</w:t>
            </w:r>
          </w:p>
        </w:tc>
        <w:tc>
          <w:tcPr>
            <w:tcW w:w="132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3,738</w:t>
            </w:r>
          </w:p>
        </w:tc>
        <w:tc>
          <w:tcPr>
            <w:tcW w:w="3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addition to the grants to employees, 30,000 shares of restricted stock with a grant date fair value of $0.8 million were granted to our outside directors on July 1, 2011 as a part of their annual compensation package. These shares are subject to a one-year vesting period (25% each quarter).</w:t>
      </w:r>
    </w:p>
    <w:p>
      <w:pPr>
        <w:spacing w:after="0" w:line="8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nine months ended September 30, 2011 we recognized $0.6 million of pre-tax stock-based compensation expense related to our 2011 restricted stock award grants.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Non-vested restricted stock award activity during the nine months ended September 30, 2011 (including restricted stock issued to directors as described in Note 11) was the following:</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Granted</w:t>
            </w:r>
          </w:p>
        </w:tc>
        <w:tc>
          <w:tcPr>
            <w:tcW w:w="110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Grant Date</w:t>
            </w: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100" w:type="dxa"/>
            <w:vAlign w:val="bottom"/>
            <w:gridSpan w:val="3"/>
          </w:tcPr>
          <w:p>
            <w:pPr>
              <w:jc w:val="center"/>
              <w:ind w:left="1539"/>
              <w:spacing w:after="0"/>
              <w:rPr>
                <w:sz w:val="20"/>
                <w:szCs w:val="20"/>
                <w:color w:val="auto"/>
              </w:rPr>
            </w:pPr>
            <w:r>
              <w:rPr>
                <w:rFonts w:ascii="Arial" w:cs="Arial" w:eastAsia="Arial" w:hAnsi="Arial"/>
                <w:sz w:val="14"/>
                <w:szCs w:val="14"/>
                <w:b w:val="1"/>
                <w:bCs w:val="1"/>
                <w:color w:val="auto"/>
                <w:w w:val="84"/>
              </w:rPr>
              <w:t>(thousands)</w:t>
            </w:r>
          </w:p>
        </w:tc>
        <w:tc>
          <w:tcPr>
            <w:tcW w:w="34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on December 31, 2010</w:t>
            </w:r>
          </w:p>
        </w:tc>
        <w:tc>
          <w:tcPr>
            <w:tcW w:w="20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Granted</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174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Forfeited</w:t>
            </w:r>
          </w:p>
        </w:tc>
        <w:tc>
          <w:tcPr>
            <w:tcW w:w="202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Non-vested on September 30, 2011</w:t>
            </w:r>
          </w:p>
        </w:tc>
        <w:tc>
          <w:tcPr>
            <w:tcW w:w="20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At September 30, 2011, we expect to recognize $5.2 million of unrecognized pre-tax stock-based compensation expense related to non-vested restricted stock awards over a weighted-average period of 2.2 years.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2 under the caption </w:t>
      </w:r>
      <w:r>
        <w:rPr>
          <w:rFonts w:ascii="Arial" w:cs="Arial" w:eastAsia="Arial" w:hAnsi="Arial"/>
          <w:sz w:val="16"/>
          <w:szCs w:val="16"/>
          <w:i w:val="1"/>
          <w:iCs w:val="1"/>
          <w:color w:val="auto"/>
        </w:rPr>
        <w:t>Stock-Based Compensation</w:t>
      </w:r>
      <w:r>
        <w:rPr>
          <w:rFonts w:ascii="Arial" w:cs="Arial" w:eastAsia="Arial" w:hAnsi="Arial"/>
          <w:sz w:val="16"/>
          <w:szCs w:val="16"/>
          <w:color w:val="auto"/>
        </w:rPr>
        <w:t xml:space="preserve"> in our Annual Report on Form 10-K for further information regarding our accounting principles.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Other (Expense) Income,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(expense) income, net for the three and nine months ended September 30, 2011 and 2010 are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0"/>
              </w:rPr>
              <w:t>Three Months Ended</w:t>
            </w:r>
          </w:p>
        </w:tc>
        <w:tc>
          <w:tcPr>
            <w:tcW w:w="80" w:type="dxa"/>
            <w:vAlign w:val="bottom"/>
          </w:tcPr>
          <w:p>
            <w:pPr>
              <w:spacing w:after="0"/>
              <w:rPr>
                <w:sz w:val="14"/>
                <w:szCs w:val="14"/>
                <w:color w:val="auto"/>
              </w:rPr>
            </w:pPr>
          </w:p>
        </w:tc>
        <w:tc>
          <w:tcPr>
            <w:tcW w:w="14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1"/>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8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w w:val="96"/>
              </w:rPr>
              <w:t>2011</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gain (loss) on foreign currency exchange contracts</w:t>
            </w:r>
            <w:r>
              <w:rPr>
                <w:rFonts w:ascii="Arial" w:cs="Arial" w:eastAsia="Arial" w:hAnsi="Arial"/>
                <w:sz w:val="11"/>
                <w:szCs w:val="11"/>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$(569)</w:t>
            </w:r>
          </w:p>
        </w:tc>
        <w:tc>
          <w:tcPr>
            <w:tcW w:w="4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194</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1"/>
              </w:rPr>
              <w:t>(113)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20" w:type="dxa"/>
            <w:vAlign w:val="bottom"/>
          </w:tcPr>
          <w:p>
            <w:pPr>
              <w:spacing w:after="0"/>
              <w:rPr>
                <w:sz w:val="20"/>
                <w:szCs w:val="20"/>
                <w:color w:val="auto"/>
              </w:rPr>
            </w:pPr>
            <w:r>
              <w:rPr>
                <w:rFonts w:ascii="Arial" w:cs="Arial" w:eastAsia="Arial" w:hAnsi="Arial"/>
                <w:sz w:val="18"/>
                <w:szCs w:val="18"/>
                <w:color w:val="auto"/>
              </w:rPr>
              <w:t>Net gain (loss)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20" w:type="dxa"/>
            <w:vAlign w:val="bottom"/>
          </w:tcPr>
          <w:p>
            <w:pPr>
              <w:spacing w:after="0"/>
              <w:rPr>
                <w:sz w:val="20"/>
                <w:szCs w:val="20"/>
                <w:color w:val="auto"/>
              </w:rPr>
            </w:pPr>
            <w:r>
              <w:rPr>
                <w:rFonts w:ascii="Arial" w:cs="Arial" w:eastAsia="Arial" w:hAnsi="Arial"/>
                <w:sz w:val="18"/>
                <w:szCs w:val="18"/>
                <w:color w:val="auto"/>
              </w:rPr>
              <w:t>on foreign currency exchange transactions</w:t>
            </w:r>
          </w:p>
        </w:tc>
        <w:tc>
          <w:tcPr>
            <w:tcW w:w="900" w:type="dxa"/>
            <w:vAlign w:val="bottom"/>
            <w:gridSpan w:val="4"/>
          </w:tcPr>
          <w:p>
            <w:pPr>
              <w:jc w:val="right"/>
              <w:ind w:right="48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(122)</w:t>
            </w:r>
          </w:p>
        </w:tc>
        <w:tc>
          <w:tcPr>
            <w:tcW w:w="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(1,008)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199</w:t>
            </w:r>
          </w:p>
        </w:tc>
        <w:tc>
          <w:tcPr>
            <w:tcW w:w="0" w:type="dxa"/>
            <w:vAlign w:val="bottom"/>
          </w:tcPr>
          <w:p>
            <w:pPr>
              <w:spacing w:after="0"/>
              <w:rPr>
                <w:sz w:val="1"/>
                <w:szCs w:val="1"/>
                <w:color w:val="auto"/>
              </w:rPr>
            </w:pPr>
          </w:p>
        </w:tc>
      </w:tr>
      <w:tr>
        <w:trPr>
          <w:trHeight w:val="218"/>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color w:val="auto"/>
              </w:rPr>
              <w:t>Other (expense) income, net</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20" w:type="dxa"/>
            <w:vAlign w:val="bottom"/>
            <w:vMerge w:val="continue"/>
          </w:tcPr>
          <w:p>
            <w:pPr>
              <w:spacing w:after="0"/>
              <w:rPr>
                <w:sz w:val="19"/>
                <w:szCs w:val="19"/>
                <w:color w:val="auto"/>
              </w:rPr>
            </w:pPr>
          </w:p>
        </w:tc>
        <w:tc>
          <w:tcPr>
            <w:tcW w:w="900" w:type="dxa"/>
            <w:vAlign w:val="bottom"/>
            <w:gridSpan w:val="4"/>
          </w:tcPr>
          <w:p>
            <w:pPr>
              <w:jc w:val="right"/>
              <w:ind w:right="4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40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22"/>
          <w:szCs w:val="22"/>
          <w:color w:val="auto"/>
          <w:vertAlign w:val="superscript"/>
        </w:rPr>
      </w:pPr>
      <w:r>
        <w:rPr>
          <w:rFonts w:ascii="Arial" w:cs="Arial" w:eastAsia="Arial" w:hAnsi="Arial"/>
          <w:sz w:val="18"/>
          <w:szCs w:val="18"/>
          <w:color w:val="auto"/>
        </w:rPr>
        <w:t>This represents the losses and gain incurred on foreign currency hedging derivatives (see Note 17 for further details).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which includes the dilutive effect of stock options and restricted stock grants. Dilutive potential common shares for all periods presented are computed utilizing the treasury stock method.</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the computation of diluted earnings per common share for the three months ended September 30, 2011 and 2010, we have excluded 631,000 and 735,126 stock options, respectively, with exercise prices greater than the average market price of the underlying common stock, because their inclusion would have been anti-dilutive. Furthermore, for the three months ended September 30, 2011 and 2010, we have excluded 225,416 and 196,305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computation of diluted earnings per common share for the nine months ended September 30, 2011 and 2010, we have excluded 498,040 and 560,574 stock options, respectively, with exercise prices greater than the average market price of the underlying common stock, because their inclusion would have been anti-dilutive. Furthermore, for the nine months ended September 30, 2011 and 2010, we have excluded 89,690 and 197,435 of unvested shares of restricted stock, respectively, whose combined unamortized fair value and excess tax benefits were greater in each of those periods than the average market price of the underlying common stock, as their effect would be anti-dilutive.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and nine months ended September 30, 2011 and 2010, are calculated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6"/>
              </w:rPr>
              <w:t>Nine months Ended</w:t>
            </w:r>
          </w:p>
        </w:tc>
        <w:tc>
          <w:tcPr>
            <w:tcW w:w="0" w:type="dxa"/>
            <w:vAlign w:val="bottom"/>
          </w:tcPr>
          <w:p>
            <w:pPr>
              <w:spacing w:after="0"/>
              <w:rPr>
                <w:sz w:val="1"/>
                <w:szCs w:val="1"/>
                <w:color w:val="auto"/>
              </w:rPr>
            </w:pPr>
          </w:p>
        </w:tc>
      </w:tr>
      <w:tr>
        <w:trPr>
          <w:trHeight w:val="161"/>
        </w:trPr>
        <w:tc>
          <w:tcPr>
            <w:tcW w:w="6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per-share amounts)</w:t>
            </w:r>
          </w:p>
        </w:tc>
        <w:tc>
          <w:tcPr>
            <w:tcW w:w="100" w:type="dxa"/>
            <w:vAlign w:val="bottom"/>
          </w:tcPr>
          <w:p>
            <w:pPr>
              <w:spacing w:after="0"/>
              <w:rPr>
                <w:sz w:val="14"/>
                <w:szCs w:val="14"/>
                <w:color w:val="auto"/>
              </w:rPr>
            </w:pPr>
          </w:p>
        </w:tc>
        <w:tc>
          <w:tcPr>
            <w:tcW w:w="1540" w:type="dxa"/>
            <w:vAlign w:val="bottom"/>
            <w:gridSpan w:val="4"/>
          </w:tcPr>
          <w:p>
            <w:pPr>
              <w:jc w:val="right"/>
              <w:ind w:right="314"/>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6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2011</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top w:val="single" w:sz="8" w:color="CCEEFF"/>
            </w:tcBorders>
            <w:shd w:val="clear" w:color="auto" w:fill="CCEEFF"/>
          </w:tcPr>
          <w:p>
            <w:pPr>
              <w:jc w:val="center"/>
              <w:ind w:right="292"/>
              <w:spacing w:after="0" w:line="196" w:lineRule="exact"/>
              <w:rPr>
                <w:sz w:val="20"/>
                <w:szCs w:val="20"/>
                <w:color w:val="auto"/>
              </w:rPr>
            </w:pPr>
            <w:r>
              <w:rPr>
                <w:rFonts w:ascii="Arial" w:cs="Arial" w:eastAsia="Arial" w:hAnsi="Arial"/>
                <w:sz w:val="18"/>
                <w:szCs w:val="18"/>
                <w:b w:val="1"/>
                <w:bCs w:val="1"/>
                <w:color w:val="auto"/>
                <w:w w:val="96"/>
              </w:rPr>
              <w:t>BASIC</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7,084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4,702</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15,032</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14,887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13,417</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14,963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40" w:type="dxa"/>
            <w:vAlign w:val="bottom"/>
            <w:shd w:val="clear" w:color="auto" w:fill="CCEEFF"/>
          </w:tcPr>
          <w:p>
            <w:pPr>
              <w:jc w:val="center"/>
              <w:ind w:right="312"/>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7,084</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4,702</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15,032</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for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14,887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13,417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Dilutive effect of stock options and restricted stock</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on a diluted basis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15,147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13,671</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15,312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0.47</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0.98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Derivatives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Measured at Fair Value on a Recurring Basis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exposed to market risks from foreign currency exchange rates, which may adversely affect our operating results and financial position. Our foreign currency exposures are primarily concentrated in the Brazilian Real, British Pound, Chinese Yuan Renminbi, Euro, Hong Kong dollar, Indian Rupee, and Singapore dollar. We periodically enter into foreign currency exchange contracts with terms normally lasting less than nine months to protect against the adverse effects that exchange rate fluctuations may have on our foreign currency 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12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gains and losses on both the derivatives and the foreign currency-denominated balances are recorded as foreign exchange transaction gains or losses and are classified in other (expense) income, net. Derivatives are recorded on the balance sheet at fair value. The estimated fair values of our derivative financial instruments represent the amount required to enter into offsetting contracts with similar remaining maturities based on quoted market prices.</w:t>
      </w:r>
    </w:p>
    <w:p>
      <w:pPr>
        <w:spacing w:after="0" w:line="107" w:lineRule="exact"/>
        <w:rPr>
          <w:sz w:val="20"/>
          <w:szCs w:val="20"/>
          <w:color w:val="auto"/>
        </w:rPr>
      </w:pPr>
    </w:p>
    <w:p>
      <w:pPr>
        <w:jc w:val="both"/>
        <w:ind w:right="120"/>
        <w:spacing w:after="0" w:line="370" w:lineRule="auto"/>
        <w:rPr>
          <w:sz w:val="20"/>
          <w:szCs w:val="20"/>
          <w:color w:val="auto"/>
        </w:rPr>
      </w:pPr>
      <w:r>
        <w:rPr>
          <w:rFonts w:ascii="Arial" w:cs="Arial" w:eastAsia="Arial" w:hAnsi="Arial"/>
          <w:sz w:val="15"/>
          <w:szCs w:val="15"/>
          <w:color w:val="auto"/>
        </w:rPr>
        <w:t xml:space="preserve">We have determined that the fair value of our derivatives is derived from level 2 inputs in the fair value hierarchy. See Note 2 under the captions </w:t>
      </w:r>
      <w:r>
        <w:rPr>
          <w:rFonts w:ascii="Arial" w:cs="Arial" w:eastAsia="Arial" w:hAnsi="Arial"/>
          <w:sz w:val="15"/>
          <w:szCs w:val="15"/>
          <w:i w:val="1"/>
          <w:iCs w:val="1"/>
          <w:color w:val="auto"/>
        </w:rPr>
        <w:t>Derivatives</w:t>
      </w:r>
      <w:r>
        <w:rPr>
          <w:rFonts w:ascii="Arial" w:cs="Arial" w:eastAsia="Arial" w:hAnsi="Arial"/>
          <w:sz w:val="15"/>
          <w:szCs w:val="15"/>
          <w:color w:val="auto"/>
        </w:rPr>
        <w:t xml:space="preserve"> and </w:t>
      </w:r>
      <w:r>
        <w:rPr>
          <w:rFonts w:ascii="Arial" w:cs="Arial" w:eastAsia="Arial" w:hAnsi="Arial"/>
          <w:sz w:val="15"/>
          <w:szCs w:val="15"/>
          <w:i w:val="1"/>
          <w:iCs w:val="1"/>
          <w:color w:val="auto"/>
        </w:rPr>
        <w:t xml:space="preserve">Fair-Value Measurements </w:t>
      </w:r>
      <w:r>
        <w:rPr>
          <w:rFonts w:ascii="Arial" w:cs="Arial" w:eastAsia="Arial" w:hAnsi="Arial"/>
          <w:sz w:val="15"/>
          <w:szCs w:val="15"/>
          <w:color w:val="auto"/>
        </w:rPr>
        <w:t>in our Annual Report on Form 10-K for further information concerning the accounting principles and valuation methodology utilized.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financial liabilities that were accounted for at fair value on a recurring basis on September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Fair Value Measurement Using</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720" w:type="dxa"/>
            <w:vAlign w:val="bottom"/>
          </w:tcPr>
          <w:p>
            <w:pPr>
              <w:spacing w:after="0"/>
              <w:rPr>
                <w:sz w:val="11"/>
                <w:szCs w:val="11"/>
                <w:color w:val="auto"/>
              </w:rPr>
            </w:pPr>
          </w:p>
        </w:tc>
        <w:tc>
          <w:tcPr>
            <w:tcW w:w="128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8"/>
              </w:rPr>
              <w:t>for Identical</w:t>
            </w:r>
          </w:p>
        </w:tc>
        <w:tc>
          <w:tcPr>
            <w:tcW w:w="72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12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34"/>
        </w:trPr>
        <w:tc>
          <w:tcPr>
            <w:tcW w:w="55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44"/>
              <w:spacing w:after="0" w:line="135" w:lineRule="exact"/>
              <w:rPr>
                <w:sz w:val="20"/>
                <w:szCs w:val="20"/>
                <w:color w:val="auto"/>
              </w:rPr>
            </w:pPr>
            <w:r>
              <w:rPr>
                <w:rFonts w:ascii="Arial" w:cs="Arial" w:eastAsia="Arial" w:hAnsi="Arial"/>
                <w:sz w:val="14"/>
                <w:szCs w:val="14"/>
                <w:b w:val="1"/>
                <w:bCs w:val="1"/>
                <w:color w:val="auto"/>
                <w:w w:val="89"/>
              </w:rPr>
              <w:t>Liabilities</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49"/>
        </w:trPr>
        <w:tc>
          <w:tcPr>
            <w:tcW w:w="5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15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 2011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4"/>
              <w:spacing w:after="0" w:line="129" w:lineRule="exact"/>
              <w:rPr>
                <w:sz w:val="20"/>
                <w:szCs w:val="20"/>
                <w:color w:val="auto"/>
              </w:rPr>
            </w:pPr>
            <w:r>
              <w:rPr>
                <w:rFonts w:ascii="Arial" w:cs="Arial" w:eastAsia="Arial" w:hAnsi="Arial"/>
                <w:sz w:val="14"/>
                <w:szCs w:val="14"/>
                <w:b w:val="1"/>
                <w:bCs w:val="1"/>
                <w:color w:val="auto"/>
                <w:w w:val="87"/>
              </w:rPr>
              <w:t>(Level 1)</w:t>
            </w:r>
          </w:p>
        </w:tc>
        <w:tc>
          <w:tcPr>
            <w:tcW w:w="720" w:type="dxa"/>
            <w:vAlign w:val="bottom"/>
          </w:tcPr>
          <w:p>
            <w:pPr>
              <w:spacing w:after="0"/>
              <w:rPr>
                <w:sz w:val="12"/>
                <w:szCs w:val="12"/>
                <w:color w:val="auto"/>
              </w:rPr>
            </w:pPr>
          </w:p>
        </w:tc>
        <w:tc>
          <w:tcPr>
            <w:tcW w:w="128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(Level 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0"/>
        </w:trPr>
        <w:tc>
          <w:tcPr>
            <w:tcW w:w="880" w:type="dxa"/>
            <w:vAlign w:val="bottom"/>
            <w:tcBorders>
              <w:top w:val="single" w:sz="8" w:color="auto"/>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Foreign currency exchange futures contracts</w:t>
            </w: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w w:val="77"/>
              </w:rPr>
              <w:t>(80)</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ind w:left="60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w w:val="70"/>
              </w:rPr>
              <w:t>(80)</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20"/>
              <w:spacing w:after="0"/>
              <w:rPr>
                <w:sz w:val="20"/>
                <w:szCs w:val="20"/>
                <w:color w:val="auto"/>
              </w:rPr>
            </w:pPr>
            <w:r>
              <w:rPr>
                <w:rFonts w:ascii="Arial" w:cs="Arial" w:eastAsia="Arial" w:hAnsi="Arial"/>
                <w:sz w:val="18"/>
                <w:szCs w:val="18"/>
                <w:color w:val="auto"/>
              </w:rPr>
              <w:t>(80)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held foreign currency exchange contracts which resulted in a net pre-tax loss of approximately $0.6 million and a net pre-tax gain of $0.2 million for the three months ended September 30, 2011 and 2010, respectively. We had a net pre-tax loss of $0.1 million for the nine months ended September 30, 2011 and 2010.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Contracts</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held one USD/Euro futures contract with a notional value of $7.5 million and a forward rate of $1.3566 USD/Euro on September 30, 2011. We held the Euro position on this contract, which settled on October 21, 2011. The loss on this contract as of September 30, 2011 was $80 thousand and was included in other accrued expenses. This contract was settled at a gain of $91 thousand resulting in a gain of $171 thousand during October 2011.</w:t>
      </w:r>
    </w:p>
    <w:p>
      <w:pPr>
        <w:spacing w:after="0" w:line="10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held one USD/Euro futures contract with a notional value of $4.0 million and a forward rate of $1.3073 USD/Euro at December 31, 2010. We held the Euro position on this contract, which settled on January 28, 2011. The gain on this contract as of December 31, 2010 was $87 thousand and is included in prepaid expenses and other current assets. This contract was settled at a gain of $198 thousand resulting in a gain of $111 thousand in January 2011.</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held one USD/Indian Rupee futures contract with a notional value of INR133.5 million and a forward rate of INR45.47 INR/USD at December 31, 2010. We held the USD position on this contract, which settled on January 28, 2011. The loss on this contract as of December 31, 2010 was $43 thousand and is included in other accrued expenses. This contract was settled at a gain of $10 thousand resulting in a gain of $53 thousand in January 2011.</w:t>
      </w:r>
    </w:p>
    <w:p>
      <w:pPr>
        <w:spacing w:after="0" w:line="10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We held one USD/Chinese Yuan Renminbi futures contract with a notional value of $1.0 million and a forward rate of CNY6.6819 CNY/USD at December 31, 2010. We held the USD position on this contract, which settled on January 24, 2011. The loss on this contract as of December 31, 2010 was $11 thousand and is included in other accrued expenses. This contract was settled at a loss of $14 thousand resulting in a loss of $3 thousand in January 2011.</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held one USD/Chinese Yuan Renminbi futures contract with a notional value of $1.0 million and a forward rate of CNY6.6681 CNY/USD at December 31, 2010. We held the USD position on this contract, which was scheduled to settle on February 24, 2011. The contract was terminated on January 21, 2011. The loss on this contract as of December 31, 2010 was $13 thousand and is included in other accrued expenses. This contract was settled on the termination date at a loss of $16 thousand resulting in a loss of $3 thousand in January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Business Combination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Enson Assets Limited</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November 3, 2010, our subsidiary, UEI Hong Kong Private Limited, entered into a stock purchase agreement with CG International Holdings Limited (“CG”) to acquire all of the issued shares in the capital of Enson Assets Limited (“Enson”) for total consideration of approximately $125.9 million. This transaction closed on November 4, 2010. The consideration consisted of $95.1 million in cash and 1,460,000 of newly issued shares of UEI common stock. A total of $5.0 million of the purchase price was held back at the closing to provide for any additional payments required by CG as a result of Enson’s failure to meet both a net asset target and an earnings target (see “</w:t>
      </w:r>
      <w:r>
        <w:rPr>
          <w:rFonts w:ascii="Arial" w:cs="Arial" w:eastAsia="Arial" w:hAnsi="Arial"/>
          <w:sz w:val="16"/>
          <w:szCs w:val="16"/>
          <w:i w:val="1"/>
          <w:iCs w:val="1"/>
          <w:color w:val="auto"/>
        </w:rPr>
        <w:t>Contingent Consideration”</w:t>
      </w:r>
      <w:r>
        <w:rPr>
          <w:rFonts w:ascii="Arial" w:cs="Arial" w:eastAsia="Arial" w:hAnsi="Arial"/>
          <w:sz w:val="16"/>
          <w:szCs w:val="16"/>
          <w:color w:val="auto"/>
        </w:rPr>
        <w:t xml:space="preserve"> below) and also to support indemnification claims that could be made by us within one year following the closing of this acquisition. We have included the $5.0 million that was held back in the purchase price allocation, since it is probable that we will owe the full amount to CG. The $5.0 million is included in our other accrued liabilities balance at September 30, 2011 and December 31, 2010 (see Note 9 for further details).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the consideration were the following:</w:t>
      </w:r>
    </w:p>
    <w:p>
      <w:pPr>
        <w:spacing w:after="0" w:line="207"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Source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-7620</wp:posOffset>
            </wp:positionV>
            <wp:extent cx="7372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Existing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Funds from new U.S. Bank Secured Term Loan (see Note 6)</w:t>
      </w:r>
    </w:p>
    <w:p>
      <w:pPr>
        <w:spacing w:after="0" w:line="15"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Funds from new U.S. Bank Secured Revolving Credit Line (see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-114935</wp:posOffset>
            </wp:positionV>
            <wp:extent cx="550545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Newly issued shares of Universal Electronics Inc.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38735</wp:posOffset>
            </wp:positionV>
            <wp:extent cx="550545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Asset Target on November 3,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Percentage of</w:t>
            </w:r>
          </w:p>
        </w:tc>
      </w:tr>
      <w:tr>
        <w:trPr>
          <w:trHeight w:val="161"/>
        </w:trPr>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6"/>
              </w:rPr>
              <w:t>Amount</w:t>
            </w:r>
          </w:p>
        </w:tc>
        <w:tc>
          <w:tcPr>
            <w:tcW w:w="6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Consideration</w:t>
            </w:r>
          </w:p>
        </w:tc>
        <w:tc>
          <w:tcPr>
            <w:tcW w:w="14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54,138</w:t>
            </w:r>
          </w:p>
        </w:tc>
        <w:tc>
          <w:tcPr>
            <w:tcW w:w="680" w:type="dxa"/>
            <w:vAlign w:val="bottom"/>
          </w:tcPr>
          <w:p>
            <w:pPr>
              <w:spacing w:after="0"/>
              <w:rPr>
                <w:sz w:val="17"/>
                <w:szCs w:val="17"/>
                <w:color w:val="auto"/>
              </w:rPr>
            </w:pPr>
          </w:p>
        </w:tc>
        <w:tc>
          <w:tcPr>
            <w:tcW w:w="9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43.0%</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30,762</w:t>
            </w:r>
          </w:p>
        </w:tc>
        <w:tc>
          <w:tcPr>
            <w:tcW w:w="6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40" w:type="dxa"/>
            <w:vAlign w:val="bottom"/>
          </w:tcPr>
          <w:p>
            <w:pPr>
              <w:spacing w:after="0"/>
              <w:rPr>
                <w:sz w:val="19"/>
                <w:szCs w:val="19"/>
                <w:color w:val="auto"/>
              </w:rPr>
            </w:pPr>
          </w:p>
        </w:tc>
      </w:tr>
      <w:tr>
        <w:trPr>
          <w:trHeight w:val="223"/>
        </w:trPr>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125,900</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842" w:lineRule="exact"/>
        <w:rPr>
          <w:sz w:val="20"/>
          <w:szCs w:val="20"/>
          <w:color w:val="auto"/>
        </w:rPr>
      </w:pPr>
    </w:p>
    <w:p>
      <w:pPr>
        <w:sectPr>
          <w:pgSz w:w="11900" w:h="16838" w:orient="portrait"/>
          <w:cols w:equalWidth="0" w:num="2">
            <w:col w:w="6940" w:space="720"/>
            <w:col w:w="3660"/>
          </w:cols>
          <w:pgMar w:left="240" w:top="459" w:right="339" w:bottom="1440" w:gutter="0" w:footer="0" w:header="0"/>
        </w:sectPr>
      </w:pPr>
    </w:p>
    <w:p>
      <w:pPr>
        <w:ind w:right="60"/>
        <w:spacing w:after="0" w:line="254" w:lineRule="auto"/>
        <w:rPr>
          <w:sz w:val="20"/>
          <w:szCs w:val="20"/>
          <w:color w:val="auto"/>
        </w:rPr>
      </w:pPr>
      <w:r>
        <w:rPr>
          <w:rFonts w:ascii="Arial" w:cs="Arial" w:eastAsia="Arial" w:hAnsi="Arial"/>
          <w:sz w:val="18"/>
          <w:szCs w:val="18"/>
          <w:color w:val="auto"/>
        </w:rPr>
        <w:t>To the extent that Enson’s net assets were less than $68.5 million on November 3, 2010, CG would have had to pay us the difference, plus interest. To the extent that the Enson net assets were greater than $68.5 million we would pay CG the difference, plus interest. This calculation was finalized during the first quarter of 2011 when the auditor issued their report on Enson’s November 3, 2010 Statement of Net Assets. On November 3, 2010, Enson’s net assets, as defined by the stock purchase agreement, were $68.6 million. As such, the total consideration and the goodwill recognized to acquire Enson increased $0.1 million from December 31, 2010 to September 30, 2011. The $0.1 million is included in our other accrued liabilities balance at September 30, 2011 and December 31, 2010 (see Note 9 for further details).</w:t>
      </w:r>
    </w:p>
    <w:p>
      <w:pPr>
        <w:spacing w:after="0" w:line="14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On May 5, 2011, we received a Dispute Notice from CG, pursuant to the Stock Purchase Agreement, outlining their disagreement with certain tax estimates included within Enson’s Statement of Net Assets on November 3, 2010. We responded by disagreeing with CG’s dispute and have not heard from CG regarding our response; however, depending on the ultimate resolution of this dispute, the total purchase consideration may increase by up to $1.5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Target for the Twelve Months Ending March 31, 2011</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the extent that Enson’s earnings for the twelve months ended March 31, 2011 are less than $16.2 million, CG will have to pay us an amount equal to the product of (a) the difference between Enson’s earnings and $16.2 million, multiplied by (b) one and one half, plus interest. CG is required to make this payment within five business days of the issuance of the auditor’s report on Enson’s accounts.</w:t>
      </w:r>
    </w:p>
    <w:p>
      <w:pPr>
        <w:spacing w:after="0" w:line="14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For the purposes of this calculation, Enson’s earnings are defined as Enson’s consolidated profit before tax for the twelve months ending March 31, 2011 excluding certain agreed upon adjustments, including without limitation, the following items: profit related to UEIC sales, investment income, other income, other expenses, other gains and losses, and interest expenses.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On the date of this filing, the auditors have not yet issued their report on Enson’s accounts; however, we do not anticipate that any amounts will be owed by CG.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Costs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recognized $0.7 million of total acquisition costs related to the Enson transaction in selling, general and administrative expenses during the quarter ended December 31, 2010. The acquisition costs consisted primarily of legal and investment banking services.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addition to the costs incurred to acquire Enson, during January 2011 our Compensation Committee approved a discretionary bonus of $0.4 million to be awarded to certain employees directly involved in the acquisition process. This discretionary bonus was ratified by our Board of Directors during February 2011, and was paid during March 2011. The entire amount was included in accrued compensation at December 31, 2010.</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459"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Purchase Price Allocation</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acquisition method of accounting, the acquisition date fair value of the consideration transferred is allocated to the net tangible and intangible assets acquired and liabilities assumed based on their estimated fair values on the acquisition date. Management’s preliminary purchase price allocation on November 4, 2010 (the Enson acquisition date) is the following:</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Weighted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4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Average</w:t>
            </w: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Preliminary</w:t>
            </w:r>
          </w:p>
        </w:tc>
      </w:tr>
      <w:tr>
        <w:trPr>
          <w:trHeight w:val="161"/>
        </w:trPr>
        <w:tc>
          <w:tcPr>
            <w:tcW w:w="46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2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Estimated Lives</w:t>
            </w:r>
          </w:p>
        </w:tc>
        <w:tc>
          <w:tcPr>
            <w:tcW w:w="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Fair Value</w:t>
            </w:r>
          </w:p>
        </w:tc>
      </w:tr>
      <w:tr>
        <w:trPr>
          <w:trHeight w:val="210"/>
        </w:trPr>
        <w:tc>
          <w:tcPr>
            <w:tcW w:w="4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&amp; cash equivalents</w:t>
            </w:r>
          </w:p>
        </w:tc>
        <w:tc>
          <w:tcPr>
            <w:tcW w:w="16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Inventories</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23,469</w:t>
            </w:r>
          </w:p>
        </w:tc>
        <w:tc>
          <w:tcPr>
            <w:tcW w:w="1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37,625</w:t>
            </w:r>
          </w:p>
        </w:tc>
        <w:tc>
          <w:tcPr>
            <w:tcW w:w="12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6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66,644</w:t>
            </w:r>
          </w:p>
        </w:tc>
        <w:tc>
          <w:tcPr>
            <w:tcW w:w="12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12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Interest bearing liabilities</w:t>
            </w:r>
          </w:p>
        </w:tc>
        <w:tc>
          <w:tcPr>
            <w:tcW w:w="1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(4,227)</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Non-interest bearing liabilities</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(67,879)</w:t>
            </w:r>
          </w:p>
        </w:tc>
      </w:tr>
      <w:tr>
        <w:trPr>
          <w:trHeight w:val="221"/>
        </w:trPr>
        <w:tc>
          <w:tcPr>
            <w:tcW w:w="4600" w:type="dxa"/>
            <w:vAlign w:val="bottom"/>
          </w:tcPr>
          <w:p>
            <w:pPr>
              <w:ind w:left="440"/>
              <w:spacing w:after="0"/>
              <w:rPr>
                <w:sz w:val="20"/>
                <w:szCs w:val="20"/>
                <w:color w:val="auto"/>
              </w:rPr>
            </w:pPr>
            <w:r>
              <w:rPr>
                <w:rFonts w:ascii="Arial" w:cs="Arial" w:eastAsia="Arial" w:hAnsi="Arial"/>
                <w:sz w:val="18"/>
                <w:szCs w:val="18"/>
                <w:color w:val="auto"/>
              </w:rPr>
              <w:t>Net tangible assets acquired</w:t>
            </w:r>
          </w:p>
        </w:tc>
        <w:tc>
          <w:tcPr>
            <w:tcW w:w="1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83,264</w:t>
            </w:r>
          </w:p>
        </w:tc>
        <w:tc>
          <w:tcPr>
            <w:tcW w:w="120" w:type="dxa"/>
            <w:vAlign w:val="bottom"/>
          </w:tcPr>
          <w:p>
            <w:pPr>
              <w:spacing w:after="0"/>
              <w:rPr>
                <w:sz w:val="19"/>
                <w:szCs w:val="19"/>
                <w:color w:val="auto"/>
              </w:rPr>
            </w:pPr>
          </w:p>
        </w:tc>
      </w:tr>
      <w:tr>
        <w:trPr>
          <w:trHeight w:val="218"/>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12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Trademark and trade name</w:t>
            </w:r>
          </w:p>
        </w:tc>
        <w:tc>
          <w:tcPr>
            <w:tcW w:w="1680" w:type="dxa"/>
            <w:vAlign w:val="bottom"/>
          </w:tcPr>
          <w:p>
            <w:pPr>
              <w:spacing w:after="0"/>
              <w:rPr>
                <w:sz w:val="18"/>
                <w:szCs w:val="18"/>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8"/>
                <w:szCs w:val="18"/>
                <w:color w:val="auto"/>
              </w:rPr>
              <w:t>10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17,336</w:t>
            </w:r>
          </w:p>
        </w:tc>
        <w:tc>
          <w:tcPr>
            <w:tcW w:w="120" w:type="dxa"/>
            <w:vAlign w:val="bottom"/>
            <w:shd w:val="clear" w:color="auto" w:fill="CCEEFF"/>
          </w:tcPr>
          <w:p>
            <w:pPr>
              <w:spacing w:after="0"/>
              <w:rPr>
                <w:sz w:val="18"/>
                <w:szCs w:val="18"/>
                <w:color w:val="auto"/>
              </w:rPr>
            </w:pPr>
          </w:p>
        </w:tc>
      </w:tr>
      <w:tr>
        <w:trPr>
          <w:trHeight w:val="222"/>
        </w:trPr>
        <w:tc>
          <w:tcPr>
            <w:tcW w:w="4600" w:type="dxa"/>
            <w:vAlign w:val="bottom"/>
          </w:tcPr>
          <w:p>
            <w:pPr>
              <w:ind w:left="440"/>
              <w:spacing w:after="0"/>
              <w:rPr>
                <w:sz w:val="20"/>
                <w:szCs w:val="20"/>
                <w:color w:val="auto"/>
              </w:rPr>
            </w:pPr>
            <w:r>
              <w:rPr>
                <w:rFonts w:ascii="Arial" w:cs="Arial" w:eastAsia="Arial" w:hAnsi="Arial"/>
                <w:sz w:val="18"/>
                <w:szCs w:val="18"/>
                <w:color w:val="auto"/>
              </w:rPr>
              <w:t>Total estimated purchase price</w:t>
            </w:r>
          </w:p>
        </w:tc>
        <w:tc>
          <w:tcPr>
            <w:tcW w:w="16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125,900</w:t>
            </w:r>
          </w:p>
        </w:tc>
        <w:tc>
          <w:tcPr>
            <w:tcW w:w="12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Management’s preliminary determination of the fair value of the tangible and intangible assets acquired and liabilities assumed are based on estimates and assumptions that are subject to change. During the measurement period, if information becomes available which would indicate adjustments are required to the purchase price allocation, such adjustments will be included in the purchase price allocation retrospectively. The measurement period can extend as long as one year from the acquisition date. We have made two adjustments to the preliminary purchase price allocation since December 31, 2010. We increased the purchase consideration and goodwill by $0.1 million as a result of the issuance of the auditor’s report on Enson’s November 3, 2010 Statement of Net Assets (see “</w:t>
      </w:r>
      <w:r>
        <w:rPr>
          <w:rFonts w:ascii="Arial" w:cs="Arial" w:eastAsia="Arial" w:hAnsi="Arial"/>
          <w:sz w:val="16"/>
          <w:szCs w:val="16"/>
          <w:i w:val="1"/>
          <w:iCs w:val="1"/>
          <w:color w:val="auto"/>
        </w:rPr>
        <w:t>Net</w:t>
      </w:r>
      <w:r>
        <w:rPr>
          <w:rFonts w:ascii="Arial" w:cs="Arial" w:eastAsia="Arial" w:hAnsi="Arial"/>
          <w:sz w:val="16"/>
          <w:szCs w:val="16"/>
          <w:color w:val="auto"/>
        </w:rPr>
        <w:t xml:space="preserve"> </w:t>
      </w:r>
      <w:r>
        <w:rPr>
          <w:rFonts w:ascii="Arial" w:cs="Arial" w:eastAsia="Arial" w:hAnsi="Arial"/>
          <w:sz w:val="16"/>
          <w:szCs w:val="16"/>
          <w:i w:val="1"/>
          <w:iCs w:val="1"/>
          <w:color w:val="auto"/>
        </w:rPr>
        <w:t>Asset Target on November 3, 2010</w:t>
      </w:r>
      <w:r>
        <w:rPr>
          <w:rFonts w:ascii="Arial" w:cs="Arial" w:eastAsia="Arial" w:hAnsi="Arial"/>
          <w:sz w:val="16"/>
          <w:szCs w:val="16"/>
          <w:color w:val="auto"/>
        </w:rPr>
        <w:t>” above), and we increased goodwill and decreased the deferred income taxes acquired by $0.4 million as a result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tax assets not expected to be realized. We are currently evaluating the results of the earnings target as defined in the stock purchase agreement; however, we do not believe this will result in an adjustment to the preliminary purchase price accounting. In addition, on May 5, 2011, we received a Dispute Notice from CG, pursuant to the Stock Purchase Agreement, outlining their disagreement with certain tax estimates included within Enson’s Statement of Net Assets on November 3, 2010. We responded by disagreeing with CG’s dispute and have not heard from CG regarding our response; however, depending on the ultimate resolution of this dispute, the total purchase consideration may increase by up to $1.5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Subject to Amortization</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Of the total estimated purchase price, $83.3 million has been allocated to net tangible assets acquired, $17.3 million has been allocated to goodwill, and $25.3 million has been allocated to identifiable intangible assets acquired. The identified intangible assets consist of $23.3 million assigned to customer relationships and $2.0 million assigned to trademark and trade name. UEI expects to amortize the fair value of Enson’s customer relationships on a straight-line basis over an estimated life of 10 years. UEI expects to amortize the value of Enson’s trademark and trade name on a straight-line basis over an estimated life of ten years. The customer relationships and trademark and trade name amortization will not be deductible for tax purposes.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Goodwill represents the excess of the purchase consideration over the estimated fair value of identifiable tangible and intangible assets acquired. Goodwill from this transaction of $17.3 million will not be amortized, but will be analyzed for impairment on at least an annual basis in accordance with U.S. GAAP. We review our goodwill for impairment annually on December 31 and whenever events or changes in circumstances indicate that an impairment loss may have occurred. Of the total goodwill recorded, none is expected to be deductible for tax purposes.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Results (Unaudited)</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unaudited pro forma financial information presents the combined results of our operations and the operations of the Enson acquisition as if this transaction occurred at the beginning of the period indicated.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Pro forma results were as follows for the three and nine months ended September 30, 2010:</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440" w:type="dxa"/>
            <w:vAlign w:val="bottom"/>
            <w:gridSpan w:val="3"/>
          </w:tcPr>
          <w:p>
            <w:pPr>
              <w:jc w:val="center"/>
              <w:ind w:left="1457"/>
              <w:spacing w:after="0"/>
              <w:rPr>
                <w:sz w:val="20"/>
                <w:szCs w:val="20"/>
                <w:color w:val="auto"/>
              </w:rPr>
            </w:pPr>
            <w:r>
              <w:rPr>
                <w:rFonts w:ascii="Arial" w:cs="Arial" w:eastAsia="Arial" w:hAnsi="Arial"/>
                <w:sz w:val="14"/>
                <w:szCs w:val="14"/>
                <w:b w:val="1"/>
                <w:bCs w:val="1"/>
                <w:color w:val="auto"/>
                <w:w w:val="89"/>
              </w:rPr>
              <w:t>Three Months</w:t>
            </w:r>
          </w:p>
        </w:tc>
        <w:tc>
          <w:tcPr>
            <w:tcW w:w="1000" w:type="dxa"/>
            <w:vAlign w:val="bottom"/>
          </w:tcPr>
          <w:p>
            <w:pPr>
              <w:spacing w:after="0"/>
              <w:rPr>
                <w:sz w:val="14"/>
                <w:szCs w:val="1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Nine months</w:t>
            </w:r>
          </w:p>
        </w:tc>
      </w:tr>
      <w:tr>
        <w:trPr>
          <w:trHeight w:val="149"/>
        </w:trPr>
        <w:tc>
          <w:tcPr>
            <w:tcW w:w="4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4"/>
              </w:rPr>
              <w:t>Ended</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1920" w:type="dxa"/>
            <w:vAlign w:val="bottom"/>
            <w:gridSpan w:val="4"/>
          </w:tcPr>
          <w:p>
            <w:pPr>
              <w:jc w:val="center"/>
              <w:ind w:left="817"/>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43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 except per share information)</w:t>
            </w:r>
          </w:p>
        </w:tc>
        <w:tc>
          <w:tcPr>
            <w:tcW w:w="15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2010</w:t>
            </w:r>
          </w:p>
        </w:tc>
        <w:tc>
          <w:tcPr>
            <w:tcW w:w="10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124,427</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339,065</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8,405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25,302</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per share:</w:t>
            </w:r>
          </w:p>
        </w:tc>
        <w:tc>
          <w:tcPr>
            <w:tcW w:w="1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440"/>
              <w:spacing w:after="0"/>
              <w:rPr>
                <w:sz w:val="20"/>
                <w:szCs w:val="20"/>
                <w:color w:val="auto"/>
              </w:rPr>
            </w:pPr>
            <w:r>
              <w:rPr>
                <w:rFonts w:ascii="Arial" w:cs="Arial" w:eastAsia="Arial" w:hAnsi="Arial"/>
                <w:sz w:val="18"/>
                <w:szCs w:val="18"/>
                <w:color w:val="auto"/>
              </w:rPr>
              <w:t>Basic</w:t>
            </w:r>
          </w:p>
        </w:tc>
        <w:tc>
          <w:tcPr>
            <w:tcW w:w="17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7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unaudited pro forma financial information is not intended to represent or be indicative of the consolidated results of operations that would have been achieved had the acquisition actually been completed as of the date presented, and should not be taken as a projection of the future consolidated results of our operations.</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Adjustments to reduce net income of $4.7 million and $5.2 million have been made to the combined results of operations for the three and nine months ended September 30, 2010. These adjustments reflect primarily acquisition costs, interest on the term loan and line of credit, amortization of acquired intangible assets, amortization and depreciation of the fair value adjustments to prepaid land and property, plant, and equipment, and the elimination of profit related to intercompany sales. All adjustments have been made net of their related tax effects.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following discussion should be read in conjunction with the Consolidated Financial Statements and the related notes that appear elsewhere in this document.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develop and manufacture a broad line of pre-programmed universal wireless control products, audio-video accessories, and software that are marketed to enhance home entertainment systems. Our customers operate in the consumer electronics market and include OEMs, subscription broadcasters, international retailers, custom installers, North American retailers, private labels, and companies in the computing industry. We also sell integrated circuits, on which our software, and intellectual property, including our IR code database is embedded, to OEMs that manufacture wireless control devices, cable converters or satellite receivers for resale in their products. We believe that our universal remote control IR code database contains device codes that are capable of controlling virtually all IR controlled devices worldwide.</w:t>
      </w:r>
    </w:p>
    <w:p>
      <w:pPr>
        <w:spacing w:after="0" w:line="14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Beginning in 1986 and continuing today, we have compiled an extensive IR code database, or library, that covers over 585,986 individual device functions and over 4,437 individual consumer electronic equipment brand names. Our library of IR codes is regularly updated with new IR codes used in newly introduced video and audio devices. All such IR codes are captured from the original manufacturer’s remote control devices or manufacturer’s specifications to ensure the accuracy and integrity of the database. We have also developed patented technologies that provide the capability to easily upgrade the memory of the wireless control device by adding IR codes from the library that were not originally included.</w:t>
      </w:r>
    </w:p>
    <w:p>
      <w:pPr>
        <w:spacing w:after="0" w:line="1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operate as one business segment. We have twenty-four subsidiaries located in Argentina, Cayman Islands, France, Germany, Hong Kong (6), India, Italy, the Netherlands, Singapore, Spain, Brazil, British Virgin Islands (3), People’s Republic of China (4) and the United Kingdom.</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Overall, the struggling global economy continues to place downward pressure on the sale of products destined for the retail channel. Despite UEI continuing to gain market share in the retail and OEM channels, sales are less than we expected in 2011. The subscription broadcast channel, primarily in North America, has performed well in 2011; however, its growth has slowed down compared to prior years when we were the beneficiary of the analog to digital upgrade cycle as well as the proliferation of high definition televisions. We expect to grow in the future as we are very well positioned globally in the OEM, subscription broadcast and retail channels.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nine months ended September 30, 2011:</w:t>
      </w:r>
    </w:p>
    <w:p>
      <w:pPr>
        <w:spacing w:after="0" w:line="90" w:lineRule="exact"/>
        <w:rPr>
          <w:sz w:val="20"/>
          <w:szCs w:val="20"/>
          <w:color w:val="auto"/>
        </w:rPr>
      </w:pPr>
    </w:p>
    <w:p>
      <w:pPr>
        <w:jc w:val="both"/>
        <w:ind w:left="900" w:right="26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net sales grew 53.1% from $229.3 million during the nine months ended September 30, 2010 to $351.0 million during the nine months ended September 30, 2011, due primarily to the acquisition of Enson in November 2010, which added $117.2 million in revenue during the nine months ended September 30, 2011.</w:t>
      </w:r>
    </w:p>
    <w:p>
      <w:pPr>
        <w:spacing w:after="0" w:line="59" w:lineRule="exact"/>
        <w:rPr>
          <w:rFonts w:ascii="Arial" w:cs="Arial" w:eastAsia="Arial" w:hAnsi="Arial"/>
          <w:sz w:val="18"/>
          <w:szCs w:val="18"/>
          <w:color w:val="auto"/>
        </w:rPr>
      </w:pPr>
    </w:p>
    <w:p>
      <w:pPr>
        <w:ind w:left="900" w:right="20" w:hanging="325"/>
        <w:spacing w:after="0" w:line="289"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operating income during the first nine months of 2011 increased 22.6% to $20.3 million from $16.6 million during the first nine months of 2010. Our operating margin percentage decreased from 7.2% for the first nine months of 2010 to 5.9% for the first nine months of 2011 due primarily to the decrease in our gross margin percentage from 32.8% during the first nine months of 2010 to 27.6% during the first nine months of 2011. The decrease in our gross margin rate was due primarily to sales mix, as a higher percentage of our total sales was comprised of our lower-margin Business category. This shift in sales composition was expected as a result of our acquisition of Enson, which sells exclusively within our Business category. Partially offsetting the decrease in our gross margin percentage was an improvement in operating expenses. Operating expenses as a percentage of revenue decreased from 25.6% during the nine months ended September 30, 2010 to 21.7% of revenue during the nine months ended September 30, 2011.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business objectives for 2011 include the following:</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with attractive gross margins in order to improve profitability.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our share with existing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to integrate Enson;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the utilization of Enson’s factories by becoming less dependent on third party contract manufacturers;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place more operations, logistics, quality, program management, engineering, sales, and marketing personnel in the Asia region.</w:t>
      </w:r>
    </w:p>
    <w:p>
      <w:pPr>
        <w:spacing w:after="0" w:line="17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accrued compensation and stock-based compensation expense. Actual results may differ from these judgments and estimates, and they may be adjusted as more information becomes available. Any adjustment may be significant.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and nine months ended September 30, 2011 to the items that we disclosed as our critical accounting policies and estimates in Item 7, “Management’s Discussion and Analysis of Financial Condition and Results of Operations” contained in our Annual Report on Form 10-K for our fiscal year ended December 31,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See Note 1 contained in the “Notes to the Consolidated Financial Statements” for a discussion of new and recently adopted accounting pronouncements.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results of operations as a percentage of net sales for the three and nine months ended September 30, 2011 and 2010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46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w w:val="98"/>
              </w:rPr>
              <w:t>Three Months Ended September 30,</w:t>
            </w:r>
          </w:p>
        </w:tc>
        <w:tc>
          <w:tcPr>
            <w:tcW w:w="27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108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10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100%</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18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 of sales</w:t>
            </w:r>
          </w:p>
        </w:tc>
        <w:tc>
          <w:tcPr>
            <w:tcW w:w="760" w:type="dxa"/>
            <w:vAlign w:val="bottom"/>
          </w:tcPr>
          <w:p>
            <w:pPr>
              <w:jc w:val="right"/>
              <w:spacing w:after="0"/>
              <w:rPr>
                <w:sz w:val="20"/>
                <w:szCs w:val="20"/>
                <w:color w:val="auto"/>
              </w:rPr>
            </w:pPr>
            <w:r>
              <w:rPr>
                <w:rFonts w:ascii="Arial" w:cs="Arial" w:eastAsia="Arial" w:hAnsi="Arial"/>
                <w:sz w:val="18"/>
                <w:szCs w:val="18"/>
                <w:color w:val="auto"/>
              </w:rPr>
              <w:t>72.3</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67.4</w:t>
            </w:r>
          </w:p>
        </w:tc>
        <w:tc>
          <w:tcPr>
            <w:tcW w:w="820" w:type="dxa"/>
            <w:vAlign w:val="bottom"/>
          </w:tcPr>
          <w:p>
            <w:pPr>
              <w:spacing w:after="0"/>
              <w:rPr>
                <w:sz w:val="18"/>
                <w:szCs w:val="18"/>
                <w:color w:val="auto"/>
              </w:rPr>
            </w:pPr>
          </w:p>
        </w:tc>
        <w:tc>
          <w:tcPr>
            <w:tcW w:w="1800" w:type="dxa"/>
            <w:vAlign w:val="bottom"/>
            <w:gridSpan w:val="2"/>
          </w:tcPr>
          <w:p>
            <w:pPr>
              <w:jc w:val="right"/>
              <w:ind w:right="1060"/>
              <w:spacing w:after="0"/>
              <w:rPr>
                <w:sz w:val="20"/>
                <w:szCs w:val="20"/>
                <w:color w:val="auto"/>
              </w:rPr>
            </w:pPr>
            <w:r>
              <w:rPr>
                <w:rFonts w:ascii="Arial" w:cs="Arial" w:eastAsia="Arial" w:hAnsi="Arial"/>
                <w:sz w:val="18"/>
                <w:szCs w:val="18"/>
                <w:color w:val="auto"/>
              </w:rPr>
              <w:t>72.4</w:t>
            </w:r>
          </w:p>
        </w:tc>
        <w:tc>
          <w:tcPr>
            <w:tcW w:w="760" w:type="dxa"/>
            <w:vAlign w:val="bottom"/>
          </w:tcPr>
          <w:p>
            <w:pPr>
              <w:jc w:val="right"/>
              <w:spacing w:after="0"/>
              <w:rPr>
                <w:sz w:val="20"/>
                <w:szCs w:val="20"/>
                <w:color w:val="auto"/>
              </w:rPr>
            </w:pPr>
            <w:r>
              <w:rPr>
                <w:rFonts w:ascii="Arial" w:cs="Arial" w:eastAsia="Arial" w:hAnsi="Arial"/>
                <w:sz w:val="18"/>
                <w:szCs w:val="18"/>
                <w:color w:val="auto"/>
              </w:rPr>
              <w:t>67.2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820" w:type="dxa"/>
            <w:vAlign w:val="bottom"/>
          </w:tcPr>
          <w:p>
            <w:pPr>
              <w:spacing w:after="0"/>
              <w:rPr>
                <w:sz w:val="18"/>
                <w:szCs w:val="18"/>
                <w:color w:val="auto"/>
              </w:rPr>
            </w:pPr>
          </w:p>
        </w:tc>
        <w:tc>
          <w:tcPr>
            <w:tcW w:w="1800" w:type="dxa"/>
            <w:vAlign w:val="bottom"/>
            <w:gridSpan w:val="2"/>
          </w:tcPr>
          <w:p>
            <w:pPr>
              <w:jc w:val="right"/>
              <w:ind w:right="1060"/>
              <w:spacing w:after="0"/>
              <w:rPr>
                <w:sz w:val="20"/>
                <w:szCs w:val="20"/>
                <w:color w:val="auto"/>
              </w:rPr>
            </w:pPr>
            <w:r>
              <w:rPr>
                <w:rFonts w:ascii="Arial" w:cs="Arial" w:eastAsia="Arial" w:hAnsi="Arial"/>
                <w:sz w:val="18"/>
                <w:szCs w:val="18"/>
                <w:color w:val="auto"/>
              </w:rPr>
              <w:t>2.6</w:t>
            </w: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7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gridSpan w:val="2"/>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w:t>
            </w:r>
          </w:p>
        </w:tc>
        <w:tc>
          <w:tcPr>
            <w:tcW w:w="820" w:type="dxa"/>
            <w:vAlign w:val="bottom"/>
          </w:tcPr>
          <w:p>
            <w:pPr>
              <w:spacing w:after="0"/>
              <w:rPr>
                <w:sz w:val="19"/>
                <w:szCs w:val="19"/>
                <w:color w:val="auto"/>
              </w:rPr>
            </w:pPr>
          </w:p>
        </w:tc>
        <w:tc>
          <w:tcPr>
            <w:tcW w:w="1800" w:type="dxa"/>
            <w:vAlign w:val="bottom"/>
            <w:gridSpan w:val="2"/>
          </w:tcPr>
          <w:p>
            <w:pPr>
              <w:jc w:val="right"/>
              <w:ind w:right="1060"/>
              <w:spacing w:after="0"/>
              <w:rPr>
                <w:sz w:val="20"/>
                <w:szCs w:val="20"/>
                <w:color w:val="auto"/>
              </w:rPr>
            </w:pPr>
            <w:r>
              <w:rPr>
                <w:rFonts w:ascii="Arial" w:cs="Arial" w:eastAsia="Arial" w:hAnsi="Arial"/>
                <w:sz w:val="18"/>
                <w:szCs w:val="18"/>
                <w:color w:val="auto"/>
              </w:rPr>
              <w:t>21.7</w:t>
            </w:r>
          </w:p>
        </w:tc>
        <w:tc>
          <w:tcPr>
            <w:tcW w:w="760" w:type="dxa"/>
            <w:vAlign w:val="bottom"/>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5.9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(expense) income, net</w:t>
            </w:r>
          </w:p>
        </w:tc>
        <w:tc>
          <w:tcPr>
            <w:tcW w:w="1840" w:type="dxa"/>
            <w:vAlign w:val="bottom"/>
            <w:gridSpan w:val="2"/>
          </w:tcPr>
          <w:p>
            <w:pPr>
              <w:jc w:val="right"/>
              <w:ind w:right="1020"/>
              <w:spacing w:after="0"/>
              <w:rPr>
                <w:sz w:val="20"/>
                <w:szCs w:val="20"/>
                <w:color w:val="auto"/>
              </w:rPr>
            </w:pPr>
            <w:r>
              <w:rPr>
                <w:rFonts w:ascii="Arial" w:cs="Arial" w:eastAsia="Arial" w:hAnsi="Arial"/>
                <w:sz w:val="18"/>
                <w:szCs w:val="18"/>
                <w:color w:val="auto"/>
              </w:rPr>
              <w:t>(0.0)</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(0.0)</w:t>
            </w:r>
          </w:p>
        </w:tc>
        <w:tc>
          <w:tcPr>
            <w:tcW w:w="1800" w:type="dxa"/>
            <w:vAlign w:val="bottom"/>
            <w:gridSpan w:val="2"/>
          </w:tcPr>
          <w:p>
            <w:pPr>
              <w:jc w:val="right"/>
              <w:ind w:right="1000"/>
              <w:spacing w:after="0"/>
              <w:rPr>
                <w:sz w:val="20"/>
                <w:szCs w:val="20"/>
                <w:color w:val="auto"/>
              </w:rPr>
            </w:pPr>
            <w:r>
              <w:rPr>
                <w:rFonts w:ascii="Arial" w:cs="Arial" w:eastAsia="Arial" w:hAnsi="Arial"/>
                <w:sz w:val="18"/>
                <w:szCs w:val="18"/>
                <w:color w:val="auto"/>
              </w:rPr>
              <w:t>(0.1)</w:t>
            </w:r>
          </w:p>
        </w:tc>
        <w:tc>
          <w:tcPr>
            <w:tcW w:w="76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8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(0.2)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Income before provision for income taxes</w:t>
            </w:r>
          </w:p>
        </w:tc>
        <w:tc>
          <w:tcPr>
            <w:tcW w:w="7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80" w:type="dxa"/>
            <w:vAlign w:val="bottom"/>
            <w:gridSpan w:val="2"/>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820" w:type="dxa"/>
            <w:vAlign w:val="bottom"/>
          </w:tcPr>
          <w:p>
            <w:pPr>
              <w:spacing w:after="0"/>
              <w:rPr>
                <w:sz w:val="19"/>
                <w:szCs w:val="19"/>
                <w:color w:val="auto"/>
              </w:rPr>
            </w:pPr>
          </w:p>
        </w:tc>
        <w:tc>
          <w:tcPr>
            <w:tcW w:w="1800" w:type="dxa"/>
            <w:vAlign w:val="bottom"/>
            <w:gridSpan w:val="2"/>
          </w:tcPr>
          <w:p>
            <w:pPr>
              <w:jc w:val="right"/>
              <w:ind w:right="1060"/>
              <w:spacing w:after="0"/>
              <w:rPr>
                <w:sz w:val="20"/>
                <w:szCs w:val="20"/>
                <w:color w:val="auto"/>
              </w:rPr>
            </w:pPr>
            <w:r>
              <w:rPr>
                <w:rFonts w:ascii="Arial" w:cs="Arial" w:eastAsia="Arial" w:hAnsi="Arial"/>
                <w:sz w:val="18"/>
                <w:szCs w:val="18"/>
                <w:color w:val="auto"/>
              </w:rPr>
              <w:t>5.6</w:t>
            </w:r>
          </w:p>
        </w:tc>
        <w:tc>
          <w:tcPr>
            <w:tcW w:w="76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8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(1.6)</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w:t>
            </w:r>
          </w:p>
        </w:tc>
        <w:tc>
          <w:tcPr>
            <w:tcW w:w="18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7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80" w:type="dxa"/>
            <w:vAlign w:val="bottom"/>
            <w:gridSpan w:val="2"/>
            <w:vMerge w:val="continue"/>
          </w:tcPr>
          <w:p>
            <w:pPr>
              <w:spacing w:after="0"/>
              <w:rPr>
                <w:sz w:val="19"/>
                <w:szCs w:val="19"/>
                <w:color w:val="auto"/>
              </w:rPr>
            </w:pPr>
          </w:p>
        </w:tc>
        <w:tc>
          <w:tcPr>
            <w:tcW w:w="1840" w:type="dxa"/>
            <w:vAlign w:val="bottom"/>
            <w:gridSpan w:val="2"/>
          </w:tcPr>
          <w:p>
            <w:pPr>
              <w:jc w:val="right"/>
              <w:ind w:right="920"/>
              <w:spacing w:after="0"/>
              <w:rPr>
                <w:sz w:val="20"/>
                <w:szCs w:val="20"/>
                <w:color w:val="auto"/>
              </w:rPr>
            </w:pPr>
            <w:r>
              <w:rPr>
                <w:rFonts w:ascii="Arial" w:cs="Arial" w:eastAsia="Arial" w:hAnsi="Arial"/>
                <w:sz w:val="18"/>
                <w:szCs w:val="18"/>
                <w:color w:val="auto"/>
              </w:rPr>
              <w:t>5.8%</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6.0%</w:t>
            </w:r>
          </w:p>
        </w:tc>
        <w:tc>
          <w:tcPr>
            <w:tcW w:w="1800" w:type="dxa"/>
            <w:vAlign w:val="bottom"/>
            <w:gridSpan w:val="2"/>
          </w:tcPr>
          <w:p>
            <w:pPr>
              <w:jc w:val="right"/>
              <w:ind w:right="900"/>
              <w:spacing w:after="0"/>
              <w:rPr>
                <w:sz w:val="20"/>
                <w:szCs w:val="20"/>
                <w:color w:val="auto"/>
              </w:rPr>
            </w:pPr>
            <w:r>
              <w:rPr>
                <w:rFonts w:ascii="Arial" w:cs="Arial" w:eastAsia="Arial" w:hAnsi="Arial"/>
                <w:sz w:val="18"/>
                <w:szCs w:val="18"/>
                <w:color w:val="auto"/>
              </w:rPr>
              <w:t>4.4%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2011 versus Three Months Ended September 30,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three months ended September 30, 2011 and 2010 were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88"/>
              </w:rPr>
              <w:t>Three Months Ended September 30,</w:t>
            </w: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2010</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6"/>
              </w:rPr>
              <w:t>(millions)</w:t>
            </w:r>
          </w:p>
        </w:tc>
        <w:tc>
          <w:tcPr>
            <w:tcW w:w="16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 of total</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w w:val="86"/>
              </w:rPr>
              <w:t>(millions)</w:t>
            </w:r>
          </w:p>
        </w:tc>
        <w:tc>
          <w:tcPr>
            <w:tcW w:w="52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Business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111.3</w:t>
            </w:r>
          </w:p>
        </w:tc>
        <w:tc>
          <w:tcPr>
            <w:tcW w:w="44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90.1%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8"/>
                <w:szCs w:val="18"/>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123.5</w:t>
            </w:r>
          </w:p>
        </w:tc>
        <w:tc>
          <w:tcPr>
            <w:tcW w:w="440" w:type="dxa"/>
            <w:vAlign w:val="bottom"/>
          </w:tcPr>
          <w:p>
            <w:pPr>
              <w:spacing w:after="0"/>
              <w:rPr>
                <w:sz w:val="19"/>
                <w:szCs w:val="19"/>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79.</w:t>
            </w:r>
            <w:r>
              <w:rPr>
                <w:rFonts w:ascii="Arial" w:cs="Arial" w:eastAsia="Arial" w:hAnsi="Arial"/>
                <w:sz w:val="18"/>
                <w:szCs w:val="18"/>
                <w:u w:val="single" w:color="auto"/>
                <w:color w:val="auto"/>
              </w:rPr>
              <w:t>0</w:t>
            </w:r>
          </w:p>
        </w:tc>
        <w:tc>
          <w:tcPr>
            <w:tcW w:w="8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for the third quarter of 2011 were $123.5 million, an increase of 56.3% compared to $79.0 million for the third quarter of 2010. Net income for the third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2011 was $7.1 million or $0.47 per diluted share compared to $4.7 million or $0.34 per diluted share for the third quarter of 2010.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9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i w:val="1"/>
          <w:iCs w:val="1"/>
          <w:color w:val="auto"/>
        </w:rPr>
        <w:t xml:space="preserve">Net sales in our Business lines </w:t>
      </w:r>
      <w:r>
        <w:rPr>
          <w:rFonts w:ascii="Arial" w:cs="Arial" w:eastAsia="Arial" w:hAnsi="Arial"/>
          <w:sz w:val="16"/>
          <w:szCs w:val="16"/>
          <w:color w:val="auto"/>
        </w:rPr>
        <w:t>(subscription broadcasting, OEM, and computing companies) were approximately 90% of net sales in the third quarter of 2011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approximately 84% in the third quarter of 2010. Net sales in our Business lines for the three months ended September 30, 2011 increased by approximately 68% to $111.3 million from $66.2 million in the three months ended September 30, 2010. This increase in net sales resulted primarily from our November 2010 acquisition of Enson, which contributed $38.6 million of sales during the three months ended September 30, 2011.</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i w:val="1"/>
          <w:iCs w:val="1"/>
          <w:color w:val="auto"/>
        </w:rPr>
        <w:t xml:space="preserve">Net sales in our Consumer lines </w:t>
      </w:r>
      <w:r>
        <w:rPr>
          <w:rFonts w:ascii="Arial" w:cs="Arial" w:eastAsia="Arial" w:hAnsi="Arial"/>
          <w:sz w:val="16"/>
          <w:szCs w:val="16"/>
          <w:color w:val="auto"/>
        </w:rPr>
        <w:t>(</w:t>
      </w:r>
      <w:r>
        <w:rPr>
          <w:rFonts w:ascii="Arial" w:cs="Arial" w:eastAsia="Arial" w:hAnsi="Arial"/>
          <w:sz w:val="16"/>
          <w:szCs w:val="16"/>
          <w:i w:val="1"/>
          <w:iCs w:val="1"/>
          <w:color w:val="auto"/>
        </w:rPr>
        <w:t>One For All</w:t>
      </w:r>
      <w:r>
        <w:rPr>
          <w:rFonts w:ascii="Arial" w:cs="Arial" w:eastAsia="Arial" w:hAnsi="Arial"/>
          <w:sz w:val="10"/>
          <w:szCs w:val="10"/>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retail, private label and custom installers) were approximately 10% of net sales for the third quarter of 2011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approximately 16% in the third quarter of 2010. Net sales in our Consumer lines during the third quarter of 2011 decreased by $0.6 million or 5% to $12.2 million from $12.8 million during the same period in 2010. Net sales for the third quarter of 2011 in our Consumer lines were positively impacted by the strengthening of the British Pound and Euro compared to the U.S. dollar, which resulted in an increase in net sales of approximately $0.5 million. Net of the favorable currency effect, Consumer sales decreased by $1.1 million, due primarily to a struggling global economy. International retail sales decreased by $0.2 million compared to the third quarter of 2010. Net sales in North American retail decreased by $0.4 million, or 30%, from $1.3 million in the third quarter of</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2010 to $0.9 million during the third quarter of 2011. Additionally, our custom installer sales decreased by $0.6 million, from $0.7 million during the third quarter of 2010 to $0.1 million during the third quarter of 2011.</w:t>
      </w:r>
    </w:p>
    <w:p>
      <w:pPr>
        <w:spacing w:after="0" w:line="138"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for the third quarter of 2011 was $34.2 million compared to $25.7 million during the third quarter of 2010. Gross profit as a percent of sales</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to 27.7% during the third quarter of 2011 from 32.6% during the third quarter of 2010, due primarily to Business category sales comprising a higher percentage of total sales. This shift in sales composition was expected as a result of our acquisition of Enson, which sells exclusively within the Business category. Our Business category sales, on average, yield a lower gross margin compared to our Consumer category sales. This sales mix change resulted in a 3.8% decrease in our gross margin rate. In addition, royalty income decreased which adversely affected our gross margin rate by 0.9%.</w:t>
      </w:r>
    </w:p>
    <w:p>
      <w:pPr>
        <w:spacing w:after="0" w:line="116" w:lineRule="exact"/>
        <w:rPr>
          <w:sz w:val="20"/>
          <w:szCs w:val="20"/>
          <w:color w:val="auto"/>
        </w:rPr>
      </w:pPr>
    </w:p>
    <w:p>
      <w:pPr>
        <w:spacing w:after="0" w:line="370" w:lineRule="auto"/>
        <w:rPr>
          <w:sz w:val="20"/>
          <w:szCs w:val="20"/>
          <w:color w:val="auto"/>
        </w:rPr>
      </w:pPr>
      <w:r>
        <w:rPr>
          <w:rFonts w:ascii="Arial" w:cs="Arial" w:eastAsia="Arial" w:hAnsi="Arial"/>
          <w:sz w:val="15"/>
          <w:szCs w:val="15"/>
          <w:i w:val="1"/>
          <w:iCs w:val="1"/>
          <w:color w:val="auto"/>
        </w:rPr>
        <w:t xml:space="preserve">Research and development expenses </w:t>
      </w:r>
      <w:r>
        <w:rPr>
          <w:rFonts w:ascii="Arial" w:cs="Arial" w:eastAsia="Arial" w:hAnsi="Arial"/>
          <w:sz w:val="15"/>
          <w:szCs w:val="15"/>
          <w:color w:val="auto"/>
        </w:rPr>
        <w:t>increased 7% from $2.7 million during the third quarter of 2010 to $2.9 million during the third quarter of 2011. The increase</w:t>
      </w:r>
      <w:r>
        <w:rPr>
          <w:rFonts w:ascii="Arial" w:cs="Arial" w:eastAsia="Arial" w:hAnsi="Arial"/>
          <w:sz w:val="15"/>
          <w:szCs w:val="15"/>
          <w:i w:val="1"/>
          <w:iCs w:val="1"/>
          <w:color w:val="auto"/>
        </w:rPr>
        <w:t xml:space="preserve"> </w:t>
      </w:r>
      <w:r>
        <w:rPr>
          <w:rFonts w:ascii="Arial" w:cs="Arial" w:eastAsia="Arial" w:hAnsi="Arial"/>
          <w:sz w:val="15"/>
          <w:szCs w:val="15"/>
          <w:color w:val="auto"/>
        </w:rPr>
        <w:t>is primarily due to additional labor dedicated to general research &amp; development activities in an effort to continue to develop new products and technologies.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Selling, general and administrative (SG&amp;A) expenses </w:t>
      </w:r>
      <w:r>
        <w:rPr>
          <w:rFonts w:ascii="Arial" w:cs="Arial" w:eastAsia="Arial" w:hAnsi="Arial"/>
          <w:sz w:val="16"/>
          <w:szCs w:val="16"/>
          <w:color w:val="auto"/>
        </w:rPr>
        <w:t>increased 33% from $16.5 million during the third quarter of 2010 to $21.9 million during the third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2011. The strengthening of the Euro compared to the U.S. dollar resulted in an increase of $0.6 million. Net of this unfavorable currency effect, expenses increased by $4.8 million. SG&amp;A expenses for the third quarter of 2011 include $4.6 million of operating expenses from the Enson acquisition, including $0.6 million of intangibles’ amortization as a result of the aforementioned acquisition. Also contributing to the increase in SG&amp;A expenses is increased payroll of $0.4 million as well as an increase in professional services of $0.4 million. Partially offsetting these increases is a $0.6 million decrease in the amount of employee bonus incurred in the third quarter of 2011 compared to the third quarter of 2010.</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interest </w:t>
      </w:r>
      <w:r>
        <w:rPr>
          <w:rFonts w:ascii="Arial" w:cs="Arial" w:eastAsia="Arial" w:hAnsi="Arial"/>
          <w:sz w:val="16"/>
          <w:szCs w:val="16"/>
          <w:color w:val="auto"/>
        </w:rPr>
        <w:t>during the third quarter of 2011 was $56 thousand of expense compared to $1 thousand of expense during the third quarter of 2010.</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Net other </w:t>
      </w:r>
      <w:r>
        <w:rPr>
          <w:rFonts w:ascii="Arial" w:cs="Arial" w:eastAsia="Arial" w:hAnsi="Arial"/>
          <w:sz w:val="18"/>
          <w:szCs w:val="18"/>
          <w:color w:val="auto"/>
        </w:rPr>
        <w:t>during the third quarter of 2011 was $0.4 million of expense compared to $40 thousand of income during the third quarter of 2010, which was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foreign exchange losses.</w:t>
      </w:r>
    </w:p>
    <w:p>
      <w:pPr>
        <w:spacing w:after="0" w:line="132"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was $2.0 million during the third quarter of 2011 compared to $1.9 million during the third quarter of 2010. Our effective tax rate was 21.8%</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third quarter of 2011 compared to 28.8% for the third quarter of 2010. The decline in our effective tax rate is due primarily to earning a higher percentage of income in lower tax rate jurisdictions, largely as a result of our acquisition of Enson during November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2011 versus Nine Months Ended September 30,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by our Business and Consumer lines for the nine months ended September 30, 2011 and 2010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88"/>
              </w:rPr>
              <w:t>Nine months Ended September 30,</w:t>
            </w: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86"/>
              </w:rPr>
              <w:t>(millions)</w:t>
            </w:r>
          </w:p>
        </w:tc>
        <w:tc>
          <w:tcPr>
            <w:tcW w:w="14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 of total</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(millions)</w:t>
            </w:r>
          </w:p>
        </w:tc>
        <w:tc>
          <w:tcPr>
            <w:tcW w:w="600" w:type="dxa"/>
            <w:vAlign w:val="bottom"/>
          </w:tcPr>
          <w:p>
            <w:pPr>
              <w:spacing w:after="0"/>
              <w:rPr>
                <w:sz w:val="12"/>
                <w:szCs w:val="12"/>
                <w:color w:val="auto"/>
              </w:rPr>
            </w:pP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2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440"/>
              <w:spacing w:after="0"/>
              <w:rPr>
                <w:sz w:val="20"/>
                <w:szCs w:val="20"/>
                <w:color w:val="auto"/>
              </w:rPr>
            </w:pPr>
            <w:r>
              <w:rPr>
                <w:rFonts w:ascii="Arial" w:cs="Arial" w:eastAsia="Arial" w:hAnsi="Arial"/>
                <w:sz w:val="18"/>
                <w:szCs w:val="18"/>
                <w:color w:val="auto"/>
              </w:rPr>
              <w:t>Business</w:t>
            </w:r>
          </w:p>
        </w:tc>
        <w:tc>
          <w:tcPr>
            <w:tcW w:w="2860" w:type="dxa"/>
            <w:vAlign w:val="bottom"/>
            <w:gridSpan w:val="2"/>
          </w:tcPr>
          <w:p>
            <w:pPr>
              <w:ind w:left="27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317.7</w:t>
            </w:r>
          </w:p>
        </w:tc>
        <w:tc>
          <w:tcPr>
            <w:tcW w:w="460" w:type="dxa"/>
            <w:vAlign w:val="bottom"/>
          </w:tcPr>
          <w:p>
            <w:pPr>
              <w:spacing w:after="0"/>
              <w:rPr>
                <w:sz w:val="18"/>
                <w:szCs w:val="18"/>
                <w:color w:val="auto"/>
              </w:rPr>
            </w:pP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90.5%</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193.8</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Consumer</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Total net sales</w:t>
            </w:r>
          </w:p>
        </w:tc>
        <w:tc>
          <w:tcPr>
            <w:tcW w:w="2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160" w:type="dxa"/>
            <w:vAlign w:val="bottom"/>
            <w:vMerge w:val="continue"/>
          </w:tcPr>
          <w:p>
            <w:pPr>
              <w:spacing w:after="0"/>
              <w:rPr>
                <w:sz w:val="19"/>
                <w:szCs w:val="19"/>
                <w:color w:val="auto"/>
              </w:rPr>
            </w:pPr>
          </w:p>
        </w:tc>
        <w:tc>
          <w:tcPr>
            <w:tcW w:w="27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351.0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229.3</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760" w:type="dxa"/>
            <w:vAlign w:val="bottom"/>
            <w:vMerge w:val="restart"/>
          </w:tcPr>
          <w:p>
            <w:pPr>
              <w:jc w:val="right"/>
              <w:ind w:right="492"/>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during the nine months ended September 30, 2011 were $351.0 million; an increase of 53.1% compared to $229.3 million during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2010. Net income for the nine months ended September 30, 2011 was $15.0 million or $0.98 per diluted share compared to $11.3 million or $0.81 per diluted share for the nine months ended September 30,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w:t>
      </w:r>
    </w:p>
    <w:p>
      <w:pPr>
        <w:spacing w:after="0" w:line="90" w:lineRule="exact"/>
        <w:rPr>
          <w:sz w:val="20"/>
          <w:szCs w:val="20"/>
          <w:color w:val="auto"/>
        </w:rPr>
      </w:pPr>
    </w:p>
    <w:p>
      <w:pPr>
        <w:jc w:val="both"/>
        <w:spacing w:after="0" w:line="323" w:lineRule="auto"/>
        <w:rPr>
          <w:sz w:val="20"/>
          <w:szCs w:val="20"/>
          <w:color w:val="auto"/>
        </w:rPr>
      </w:pPr>
      <w:r>
        <w:rPr>
          <w:rFonts w:ascii="Arial" w:cs="Arial" w:eastAsia="Arial" w:hAnsi="Arial"/>
          <w:sz w:val="15"/>
          <w:szCs w:val="15"/>
          <w:i w:val="1"/>
          <w:iCs w:val="1"/>
          <w:color w:val="auto"/>
        </w:rPr>
        <w:t xml:space="preserve">Net sales in our Business lines </w:t>
      </w:r>
      <w:r>
        <w:rPr>
          <w:rFonts w:ascii="Arial" w:cs="Arial" w:eastAsia="Arial" w:hAnsi="Arial"/>
          <w:sz w:val="15"/>
          <w:szCs w:val="15"/>
          <w:color w:val="auto"/>
        </w:rPr>
        <w:t>(subscription broadcasting, OEM and computing companies) were approximately 90.5% of net sales during the nine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30, 2011 compared to approximately 84.5% during the nine months ended September 30, 2010. Net sales in our Business lines during the nine months ended September 30, 2011 increased by 64% to $317.7 million from $193.8 million during the nine months ended September 30, 2010. This increase in net sales resulted primarily from our November 2010 acquisition of Enson, which contributed $117.2 million of sales during the nine months ended September 30, 2011.</w:t>
      </w:r>
    </w:p>
    <w:p>
      <w:pPr>
        <w:spacing w:after="0" w:line="98"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i w:val="1"/>
          <w:iCs w:val="1"/>
          <w:color w:val="auto"/>
        </w:rPr>
        <w:t xml:space="preserve">Net sales in our Consumer lines </w:t>
      </w:r>
      <w:r>
        <w:rPr>
          <w:rFonts w:ascii="Arial" w:cs="Arial" w:eastAsia="Arial" w:hAnsi="Arial"/>
          <w:sz w:val="15"/>
          <w:szCs w:val="15"/>
          <w:color w:val="auto"/>
        </w:rPr>
        <w:t>(One For All</w:t>
      </w:r>
      <w:r>
        <w:rPr>
          <w:rFonts w:ascii="Arial" w:cs="Arial" w:eastAsia="Arial" w:hAnsi="Arial"/>
          <w:sz w:val="10"/>
          <w:szCs w:val="10"/>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retail, private label and custom installers) were approximately 9.5% of net sales during the nine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30, 2011 compared to approximately 15.5% during the nine months ended September 30, 2010. Net sales in our Consumer lines decreased by 6% to $33.3 million during the nine months ended September 30, 2011 from $35.5 million during the same period in the prior year. This decrease in Consumer category sales is due primarily to a struggling global economy. North American retail sales decreased by $1.5 million compared to the first nine months of 2010. CEDIA sales decreased by $2.0 million from $2.5 million in the first nine months of 2010 to $0.5 million in the same period in 2011. Partially offsetting these decreases was the strengthening of the Euro and the British Pound compared to the U.S. dollar which resulted in an increase in net sales of approximately $1.4 million.</w:t>
      </w:r>
    </w:p>
    <w:p>
      <w:pPr>
        <w:spacing w:after="0" w:line="10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for the nine months ended September 30, 2011 was $96.7 million compared to $75.2 million for the nine months ended September 30, 2010. Gross</w:t>
      </w:r>
      <w:r>
        <w:rPr>
          <w:rFonts w:ascii="Arial" w:cs="Arial" w:eastAsia="Arial" w:hAnsi="Arial"/>
          <w:sz w:val="18"/>
          <w:szCs w:val="18"/>
          <w:i w:val="1"/>
          <w:iCs w:val="1"/>
          <w:color w:val="auto"/>
        </w:rPr>
        <w:t xml:space="preserve"> </w:t>
      </w:r>
      <w:r>
        <w:rPr>
          <w:rFonts w:ascii="Arial" w:cs="Arial" w:eastAsia="Arial" w:hAnsi="Arial"/>
          <w:sz w:val="18"/>
          <w:szCs w:val="18"/>
          <w:color w:val="auto"/>
        </w:rPr>
        <w:t>profit as a percentage of sales for the nine months ended September 30, 2011 decreased to 27.6% from 32.8% during the same period in the prior year, due primarily to Business category sales comprising a higher percentage of total sales. This shift in sales composition was expected as a result of our acquisition of Enson, which sells exclusively within the Business category. Our Business category sales, on average, yield a lower gross margin compared to our Consumer category sales. This sales mix change resulted in a 4.2% decrease in our gross margin rate. In addition, royalty income decreased which adversely affected our gross margin rate by 1.1%.</w:t>
      </w:r>
    </w:p>
    <w:p>
      <w:pPr>
        <w:spacing w:after="0" w:line="14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increased 17% from $7.9 million during the nine months ended September 30, 2010 to $9.3 million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2011 due to additional investments in product development.</w:t>
      </w:r>
    </w:p>
    <w:p>
      <w:pPr>
        <w:spacing w:after="0" w:line="132"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i w:val="1"/>
          <w:iCs w:val="1"/>
          <w:color w:val="auto"/>
        </w:rPr>
        <w:t xml:space="preserve">Selling, general and administrative (SG&amp;A) expenses </w:t>
      </w:r>
      <w:r>
        <w:rPr>
          <w:rFonts w:ascii="Arial" w:cs="Arial" w:eastAsia="Arial" w:hAnsi="Arial"/>
          <w:sz w:val="15"/>
          <w:szCs w:val="15"/>
          <w:color w:val="auto"/>
        </w:rPr>
        <w:t>increased 32.4% from $50.7 million during the nine months ended September 30, 2010 to $67.1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during the nine months ended September 30, 2011. SG&amp;A expenses for the nine months ended September 30, 2011 include $13.4 million of operating expenses from the Enson acquisition, including $1.9 million of intangibles’ amortization. The strengthening of the Euro compared to the US dollar resulted in an increase in SG&amp;A expenses of $1.3 million. The remaining increase in SG&amp;A expenses is due to wage increases in 2011 as well as an increase in professional services relating to the integration of Enson, our expansion into foreign markets such as Brazil and the implementation of our new ERP system. Partially offsetting the increases in the SG&amp;A expense is the decrease in the amount of employee bonus incurred in the third quarter of 2011 compared to the third quarter of 2010.</w:t>
      </w:r>
    </w:p>
    <w:p>
      <w:pPr>
        <w:spacing w:after="0" w:line="10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i w:val="1"/>
          <w:iCs w:val="1"/>
          <w:color w:val="auto"/>
        </w:rPr>
        <w:t xml:space="preserve">Net interest </w:t>
      </w:r>
      <w:r>
        <w:rPr>
          <w:rFonts w:ascii="Arial" w:cs="Arial" w:eastAsia="Arial" w:hAnsi="Arial"/>
          <w:sz w:val="18"/>
          <w:szCs w:val="18"/>
          <w:color w:val="auto"/>
        </w:rPr>
        <w:t>during the nine months ended September 30, 2011 and 2010, was $0.2 million of net interest expense and $0.1 million of net interest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 xml:space="preserve">Net other </w:t>
      </w:r>
      <w:r>
        <w:rPr>
          <w:rFonts w:ascii="Arial" w:cs="Arial" w:eastAsia="Arial" w:hAnsi="Arial"/>
          <w:sz w:val="18"/>
          <w:szCs w:val="18"/>
          <w:color w:val="auto"/>
        </w:rPr>
        <w:t>during the nine months ended September 30, 2011, was an expense of $0.8 million compared to income of $62 thousand during the same period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This decrease was driven by foreign exchange losses.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was $4.3 million during the nine months ended September 30, 2011 compared to $5.4 million during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2010. Our effective tax rate was 22.2% for the nine months ended September 30, 2011 compared to 32.4% for the same period in the prior year. The decline in our effective tax rate is due primarily to earning a higher percentage of income in lower tax rate jurisdictions, largely as a result of our acquisition of Enson during November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980" w:type="dxa"/>
            <w:vAlign w:val="bottom"/>
            <w:gridSpan w:val="3"/>
          </w:tcPr>
          <w:p>
            <w:pPr>
              <w:ind w:left="20"/>
              <w:spacing w:after="0"/>
              <w:rPr>
                <w:sz w:val="20"/>
                <w:szCs w:val="20"/>
                <w:color w:val="auto"/>
              </w:rPr>
            </w:pPr>
            <w:r>
              <w:rPr>
                <w:rFonts w:ascii="Arial" w:cs="Arial" w:eastAsia="Arial" w:hAnsi="Arial"/>
                <w:sz w:val="14"/>
                <w:szCs w:val="14"/>
                <w:b w:val="1"/>
                <w:bCs w:val="1"/>
                <w:color w:val="auto"/>
              </w:rPr>
              <w:t>Increase/(Decrease)</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Nine months ended</w:t>
            </w:r>
          </w:p>
        </w:tc>
      </w:tr>
      <w:tr>
        <w:trPr>
          <w:trHeight w:val="161"/>
        </w:trPr>
        <w:tc>
          <w:tcPr>
            <w:tcW w:w="4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2011</w:t>
            </w:r>
          </w:p>
        </w:tc>
        <w:tc>
          <w:tcPr>
            <w:tcW w:w="240" w:type="dxa"/>
            <w:vAlign w:val="bottom"/>
          </w:tcPr>
          <w:p>
            <w:pPr>
              <w:spacing w:after="0"/>
              <w:rPr>
                <w:sz w:val="14"/>
                <w:szCs w:val="14"/>
                <w:color w:val="auto"/>
              </w:rPr>
            </w:pPr>
          </w:p>
        </w:tc>
        <w:tc>
          <w:tcPr>
            <w:tcW w:w="17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in cash</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2010</w:t>
            </w:r>
          </w:p>
        </w:tc>
      </w:tr>
      <w:tr>
        <w:trPr>
          <w:trHeight w:val="210"/>
        </w:trPr>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11,802</w:t>
            </w:r>
          </w:p>
        </w:tc>
        <w:tc>
          <w:tcPr>
            <w:tcW w:w="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8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340" w:type="dxa"/>
            <w:vAlign w:val="bottom"/>
          </w:tcPr>
          <w:p>
            <w:pPr>
              <w:spacing w:after="0"/>
              <w:rPr>
                <w:sz w:val="18"/>
                <w:szCs w:val="18"/>
                <w:color w:val="auto"/>
              </w:rPr>
            </w:pPr>
          </w:p>
        </w:tc>
        <w:tc>
          <w:tcPr>
            <w:tcW w:w="1620" w:type="dxa"/>
            <w:vAlign w:val="bottom"/>
            <w:gridSpan w:val="2"/>
          </w:tcPr>
          <w:p>
            <w:pPr>
              <w:jc w:val="right"/>
              <w:ind w:right="780"/>
              <w:spacing w:after="0"/>
              <w:rPr>
                <w:sz w:val="20"/>
                <w:szCs w:val="20"/>
                <w:color w:val="auto"/>
              </w:rPr>
            </w:pPr>
            <w:r>
              <w:rPr>
                <w:rFonts w:ascii="Arial" w:cs="Arial" w:eastAsia="Arial" w:hAnsi="Arial"/>
                <w:sz w:val="18"/>
                <w:szCs w:val="18"/>
                <w:color w:val="auto"/>
              </w:rPr>
              <w:t>(10,954)</w:t>
            </w:r>
          </w:p>
        </w:tc>
        <w:tc>
          <w:tcPr>
            <w:tcW w:w="240" w:type="dxa"/>
            <w:vAlign w:val="bottom"/>
          </w:tcPr>
          <w:p>
            <w:pPr>
              <w:spacing w:after="0"/>
              <w:rPr>
                <w:sz w:val="18"/>
                <w:szCs w:val="18"/>
                <w:color w:val="auto"/>
              </w:rPr>
            </w:pP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(5,154)</w:t>
            </w: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(5,800)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(24,309)</w:t>
            </w:r>
          </w:p>
        </w:tc>
        <w:tc>
          <w:tcPr>
            <w:tcW w:w="2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(14,862)</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(9,447)</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1,212</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2,165</w:t>
            </w: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(953)</w:t>
            </w:r>
          </w:p>
        </w:tc>
      </w:tr>
      <w:tr>
        <w:trPr>
          <w:trHeight w:val="358"/>
        </w:trPr>
        <w:tc>
          <w:tcPr>
            <w:tcW w:w="4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2011</w:t>
            </w:r>
          </w:p>
        </w:tc>
        <w:tc>
          <w:tcPr>
            <w:tcW w:w="1980" w:type="dxa"/>
            <w:vAlign w:val="bottom"/>
            <w:gridSpan w:val="3"/>
          </w:tcPr>
          <w:p>
            <w:pPr>
              <w:ind w:left="20"/>
              <w:spacing w:after="0"/>
              <w:rPr>
                <w:sz w:val="20"/>
                <w:szCs w:val="20"/>
                <w:color w:val="auto"/>
              </w:rPr>
            </w:pPr>
            <w:r>
              <w:rPr>
                <w:rFonts w:ascii="Arial" w:cs="Arial" w:eastAsia="Arial" w:hAnsi="Arial"/>
                <w:sz w:val="14"/>
                <w:szCs w:val="14"/>
                <w:b w:val="1"/>
                <w:bCs w:val="1"/>
                <w:color w:val="auto"/>
              </w:rPr>
              <w:t>Increase/(Decrease)</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December 31, 2010</w:t>
            </w:r>
          </w:p>
        </w:tc>
      </w:tr>
      <w:tr>
        <w:trPr>
          <w:trHeight w:val="210"/>
        </w:trPr>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(22,249)</w:t>
            </w:r>
          </w:p>
        </w:tc>
        <w:tc>
          <w:tcPr>
            <w:tcW w:w="8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Working capital</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79,446</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jc w:val="right"/>
              <w:ind w:right="840"/>
              <w:spacing w:after="0"/>
              <w:rPr>
                <w:sz w:val="20"/>
                <w:szCs w:val="20"/>
                <w:color w:val="auto"/>
              </w:rPr>
            </w:pPr>
            <w:r>
              <w:rPr>
                <w:rFonts w:ascii="Arial" w:cs="Arial" w:eastAsia="Arial" w:hAnsi="Arial"/>
                <w:sz w:val="18"/>
                <w:szCs w:val="18"/>
                <w:color w:val="auto"/>
              </w:rPr>
              <w:t>13,843</w:t>
            </w: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65,603</w:t>
            </w:r>
          </w:p>
        </w:tc>
      </w:tr>
    </w:tbl>
    <w:p>
      <w:pPr>
        <w:spacing w:after="0" w:line="14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increased by $1.2 million from $10.6 million during the first nine months of 2010 to $11.8 million during the first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of 2011. Comparing cash flows from operations for the nine months ended September 30, 2011 to the nine months ended September 30, 2010, cash flows improved by $10.7 million as a result of improved vendor management. Depreciation and amortization increased by $8.2 million due primarily to our acquisition of Enson in the fourth quarter of 2010. In addition, net income increased by $3.7 million. Partially offsetting these improvements in cash flows from operations is an additional cash outflow of $15.4 million in 2011 due to increased inventories. In the second quarter of 2011, we altered our shipping terms with a significant customer that results in us holding title to inventories until the shipments are received by this particular customer. We also increased our safety stock on certain products including chips. In addition, accounts receivable increased by $2.8 million for the nine months ended September 30, 2011 versus a decrease in accounts receivable of $4.5 million for the nine months ended September 30, 2011 resulting in a net change of $7.3 million.</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increased by $5.2 million from cash outflows of $5.8 million during the first nine months of 2010 to cash outflows of $11.0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first nine months of 2011. The increase in cash used for investing activities was primarily driven by cash outflows to purchase property, plant, and equipment, which were $10.1 million for the nine months ended September 30, 2011, compared to $4.4 million during the nine months ended September 30, 2010. The increase in cash used to purchase equipment, furniture and fixtures was primarily driven by our capacity expansion within the People’s Republic of China and Brazil.</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cash used for financing activities </w:t>
      </w:r>
      <w:r>
        <w:rPr>
          <w:rFonts w:ascii="Arial" w:cs="Arial" w:eastAsia="Arial" w:hAnsi="Arial"/>
          <w:sz w:val="16"/>
          <w:szCs w:val="16"/>
          <w:color w:val="auto"/>
        </w:rPr>
        <w:t>increased by $14.9 million from cash outflows of $9.4 million during the first nine months of 2010 to cash outflows of</w:t>
      </w:r>
    </w:p>
    <w:p>
      <w:pPr>
        <w:spacing w:after="0" w:line="38" w:lineRule="exact"/>
        <w:rPr>
          <w:sz w:val="20"/>
          <w:szCs w:val="20"/>
          <w:color w:val="auto"/>
        </w:rPr>
      </w:pPr>
    </w:p>
    <w:p>
      <w:pPr>
        <w:ind w:right="180"/>
        <w:spacing w:after="0" w:line="320" w:lineRule="auto"/>
        <w:rPr>
          <w:sz w:val="20"/>
          <w:szCs w:val="20"/>
          <w:color w:val="auto"/>
        </w:rPr>
      </w:pPr>
      <w:r>
        <w:rPr>
          <w:rFonts w:ascii="Arial" w:cs="Arial" w:eastAsia="Arial" w:hAnsi="Arial"/>
          <w:sz w:val="15"/>
          <w:szCs w:val="15"/>
          <w:color w:val="auto"/>
        </w:rPr>
        <w:t>$24.3 million during the first nine months of 2011. The increase in cash used for financing activities was driven primarily by our repayment of $16.6 million on our term loan with U.S. Bank, offset partially by a $1.1 million increase in proceeds from stock option exercised during the nine months ended September 30, 2011 compared to the nine months ended September 30, 2010. The increase in cash used for financing was further offset by a $0.3 million decrease in the cash used to repurchase shares of our common stock during the nine months ended September 30, 2011 compared to the nine months ended September 30, 2010.</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first nine months of 2011 we repurchased 441,071 shares of our common stock for $9.5 million compared to our repurchase of 493,257 shares of our common stock for $9.8 million during the first nine months of 2010. We hold repurchased shares as treasury stock, and they are available for reissue. Presently, except for using a small number of these treasury shares to compensate our outside board members, we have no plans to distribute these shares. However, we may change these plans if necessary to fulfill our on-going business objectives.</w:t>
      </w:r>
    </w:p>
    <w:p>
      <w:pPr>
        <w:spacing w:after="0" w:line="14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On February 11, 2010, our Board of Directors authorized management to repurchase up to 1,000,000 shares of our issued and outstanding common stock. As of September 30, 2011, we have repurchased 914,197 shares of our common stock under the February 11, 2010 authorization, leaving 85,803 shares available for repurchase. 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October 26, 2011, our Board of Directors authorized management to repurchase an additional 1,000,000 shares of our issued and outstanding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Repurchases may be made whenever we deem a repurchase is a good use of our cash and the price to be paid is at or below a threshold approved by our Board.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On September 30, 2011, our contractual obligations were $7.0 million compared to $4.3 million reported in our Annual Report on Form 10-K on December 31, 2010. The following table summarizes our contractual obligations on September 30, 2011 and the effect these obligations are expected to have on our liquidity and cash flow in future periods.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2"/>
              </w:rPr>
              <w:t>Less than</w:t>
            </w:r>
          </w:p>
        </w:tc>
        <w:tc>
          <w:tcPr>
            <w:tcW w:w="800" w:type="dxa"/>
            <w:vAlign w:val="bottom"/>
            <w:gridSpan w:val="2"/>
          </w:tcPr>
          <w:p>
            <w:pPr>
              <w:jc w:val="center"/>
              <w:ind w:left="219"/>
              <w:spacing w:after="0" w:line="129" w:lineRule="exact"/>
              <w:rPr>
                <w:sz w:val="20"/>
                <w:szCs w:val="20"/>
                <w:color w:val="auto"/>
              </w:rPr>
            </w:pPr>
            <w:r>
              <w:rPr>
                <w:rFonts w:ascii="Arial" w:cs="Arial" w:eastAsia="Arial" w:hAnsi="Arial"/>
                <w:sz w:val="14"/>
                <w:szCs w:val="14"/>
                <w:b w:val="1"/>
                <w:bCs w:val="1"/>
                <w:color w:val="auto"/>
                <w:w w:val="88"/>
              </w:rPr>
              <w:t>1-3</w:t>
            </w:r>
          </w:p>
        </w:tc>
        <w:tc>
          <w:tcPr>
            <w:tcW w:w="780" w:type="dxa"/>
            <w:vAlign w:val="bottom"/>
            <w:gridSpan w:val="2"/>
          </w:tcPr>
          <w:p>
            <w:pPr>
              <w:jc w:val="center"/>
              <w:ind w:left="199"/>
              <w:spacing w:after="0" w:line="129" w:lineRule="exact"/>
              <w:rPr>
                <w:sz w:val="20"/>
                <w:szCs w:val="20"/>
                <w:color w:val="auto"/>
              </w:rPr>
            </w:pPr>
            <w:r>
              <w:rPr>
                <w:rFonts w:ascii="Arial" w:cs="Arial" w:eastAsia="Arial" w:hAnsi="Arial"/>
                <w:sz w:val="14"/>
                <w:szCs w:val="14"/>
                <w:b w:val="1"/>
                <w:bCs w:val="1"/>
                <w:color w:val="auto"/>
                <w:w w:val="88"/>
              </w:rPr>
              <w:t>4-5</w:t>
            </w:r>
          </w:p>
        </w:tc>
        <w:tc>
          <w:tcPr>
            <w:tcW w:w="30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After</w:t>
            </w:r>
          </w:p>
        </w:tc>
        <w:tc>
          <w:tcPr>
            <w:tcW w:w="100" w:type="dxa"/>
            <w:vAlign w:val="bottom"/>
          </w:tcPr>
          <w:p>
            <w:pPr>
              <w:spacing w:after="0"/>
              <w:rPr>
                <w:sz w:val="11"/>
                <w:szCs w:val="11"/>
                <w:color w:val="auto"/>
              </w:rPr>
            </w:pPr>
          </w:p>
        </w:tc>
      </w:tr>
      <w:tr>
        <w:trPr>
          <w:trHeight w:val="161"/>
        </w:trPr>
        <w:tc>
          <w:tcPr>
            <w:tcW w:w="76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jc w:val="right"/>
              <w:ind w:right="22"/>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300" w:type="dxa"/>
            <w:vAlign w:val="bottom"/>
          </w:tcPr>
          <w:p>
            <w:pPr>
              <w:spacing w:after="0"/>
              <w:rPr>
                <w:sz w:val="14"/>
                <w:szCs w:val="14"/>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5 years</w:t>
            </w:r>
          </w:p>
        </w:tc>
      </w:tr>
      <w:tr>
        <w:trPr>
          <w:trHeight w:val="196"/>
        </w:trPr>
        <w:tc>
          <w:tcPr>
            <w:tcW w:w="7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660" w:type="dxa"/>
            <w:vAlign w:val="bottom"/>
          </w:tcPr>
          <w:p>
            <w:pPr>
              <w:ind w:left="440"/>
              <w:spacing w:after="0"/>
              <w:rPr>
                <w:sz w:val="20"/>
                <w:szCs w:val="20"/>
                <w:color w:val="auto"/>
              </w:rPr>
            </w:pPr>
            <w:r>
              <w:rPr>
                <w:rFonts w:ascii="Arial" w:cs="Arial" w:eastAsia="Arial" w:hAnsi="Arial"/>
                <w:sz w:val="18"/>
                <w:szCs w:val="18"/>
                <w:color w:val="auto"/>
              </w:rPr>
              <w:t>Operating lease obligations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$6,330</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$ 2,174</w:t>
            </w:r>
          </w:p>
        </w:tc>
        <w:tc>
          <w:tcPr>
            <w:tcW w:w="800" w:type="dxa"/>
            <w:vAlign w:val="bottom"/>
            <w:gridSpan w:val="2"/>
          </w:tcPr>
          <w:p>
            <w:pPr>
              <w:jc w:val="center"/>
              <w:ind w:left="219"/>
              <w:spacing w:after="0"/>
              <w:rPr>
                <w:sz w:val="20"/>
                <w:szCs w:val="20"/>
                <w:color w:val="auto"/>
              </w:rPr>
            </w:pPr>
            <w:r>
              <w:rPr>
                <w:rFonts w:ascii="Arial" w:cs="Arial" w:eastAsia="Arial" w:hAnsi="Arial"/>
                <w:sz w:val="18"/>
                <w:szCs w:val="18"/>
                <w:color w:val="auto"/>
                <w:w w:val="90"/>
              </w:rPr>
              <w:t>$2,924</w:t>
            </w:r>
          </w:p>
        </w:tc>
        <w:tc>
          <w:tcPr>
            <w:tcW w:w="780" w:type="dxa"/>
            <w:vAlign w:val="bottom"/>
            <w:gridSpan w:val="2"/>
          </w:tcPr>
          <w:p>
            <w:pPr>
              <w:jc w:val="center"/>
              <w:ind w:left="219"/>
              <w:spacing w:after="0"/>
              <w:rPr>
                <w:sz w:val="20"/>
                <w:szCs w:val="20"/>
                <w:color w:val="auto"/>
              </w:rPr>
            </w:pPr>
            <w:r>
              <w:rPr>
                <w:rFonts w:ascii="Arial" w:cs="Arial" w:eastAsia="Arial" w:hAnsi="Arial"/>
                <w:sz w:val="18"/>
                <w:szCs w:val="18"/>
                <w:color w:val="auto"/>
                <w:w w:val="87"/>
              </w:rPr>
              <w:t>$1,232</w:t>
            </w:r>
          </w:p>
        </w:tc>
        <w:tc>
          <w:tcPr>
            <w:tcW w:w="3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r>
      <w:tr>
        <w:trPr>
          <w:trHeight w:val="216"/>
        </w:trPr>
        <w:tc>
          <w:tcPr>
            <w:tcW w:w="7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1"/>
                <w:szCs w:val="11"/>
                <w:color w:val="auto"/>
              </w:rPr>
              <w:t>(1)</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6,987</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$ 2,831</w:t>
            </w:r>
          </w:p>
        </w:tc>
        <w:tc>
          <w:tcPr>
            <w:tcW w:w="800" w:type="dxa"/>
            <w:vAlign w:val="bottom"/>
            <w:gridSpan w:val="2"/>
          </w:tcPr>
          <w:p>
            <w:pPr>
              <w:jc w:val="center"/>
              <w:ind w:left="219"/>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2,924</w:t>
            </w:r>
          </w:p>
        </w:tc>
        <w:tc>
          <w:tcPr>
            <w:tcW w:w="780" w:type="dxa"/>
            <w:vAlign w:val="bottom"/>
            <w:gridSpan w:val="2"/>
          </w:tcPr>
          <w:p>
            <w:pPr>
              <w:jc w:val="center"/>
              <w:ind w:left="219"/>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1,232</w:t>
            </w:r>
          </w:p>
        </w:tc>
        <w:tc>
          <w:tcPr>
            <w:tcW w:w="3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w:t>
            </w:r>
          </w:p>
        </w:tc>
      </w:tr>
      <w:tr>
        <w:trPr>
          <w:trHeight w:val="20"/>
        </w:trPr>
        <w:tc>
          <w:tcPr>
            <w:tcW w:w="7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22"/>
          <w:szCs w:val="22"/>
          <w:color w:val="auto"/>
          <w:vertAlign w:val="superscript"/>
        </w:rPr>
      </w:pPr>
      <w:r>
        <w:rPr>
          <w:rFonts w:ascii="Arial" w:cs="Arial" w:eastAsia="Arial" w:hAnsi="Arial"/>
          <w:sz w:val="18"/>
          <w:szCs w:val="18"/>
          <w:color w:val="auto"/>
        </w:rPr>
        <w:t>Purchase obligations include contractual payments to purchase tooling assets.</w:t>
      </w:r>
    </w:p>
    <w:p>
      <w:pPr>
        <w:spacing w:after="0" w:line="15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entered into three operating lease agreements during the nine months ended September 2011 for our office and warehouse space in Hong Kong (People’s Republic of China), San Mateo (U.S.), and Manaus (Brazil). Some of these leases are subject to rent escalations. For these leases, we recognize rent expense for the total contractual obligation utilizing the straight-line method over the lease term, ranging from 36 to 60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We believe our current cash balances and anticipated cash flow generated from operations are sufficient to cover cash outlays expected for at least the next twelve months.</w:t>
      </w:r>
    </w:p>
    <w:p>
      <w:pPr>
        <w:spacing w:after="0" w:line="14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We are able to supplement this near-term liquidity, if necessary, with a credit line facility made available by U.S. Bank. Our liquidity is subject to various risks including the market risks identified in the section entitled “Qualitative and Quantitative Disclosures about Market Risk” in Item 3.</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8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gridSpan w:val="3"/>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2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2011</w:t>
            </w:r>
          </w:p>
        </w:tc>
        <w:tc>
          <w:tcPr>
            <w:tcW w:w="15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2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7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54,249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Total debt</w:t>
            </w: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18,400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Available borrowing resources</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33,766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On September 30, 2011, we had an outstanding balance of $18.4 million related to our U.S. Bank 1-year term loan facility. Our term loan, along with our line of credit and available cash, was utilized to finance the acquisition of Enson and to pay related transaction costs, fees, and expenses. Amounts paid or prepaid on the term loan may not be re-borrowed. The minimum principal payments for the term loan are $2.2 million each quarter. The next principal and interest payment was made on October 5 of 2011. On October 31, 2011, we extended the maturity date of this term loan to November 1, 2012.</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three months ended September 30, 2011, the maximum drawing on our line of credit was $2.2 million and the average principal outstanding was $0.6 million. We had a single drawing of $2.2 million during September 2011. The interest rate was constant at 3.25% during the 23 calendar days the $2.2 million was outstanding. The drawing was utilized to supplement our cash flows from operations in the U.S. as we repurchased $6.0 million of our common stock in the open market during the three months ended September 30, 2011.</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cash balances are held in numerous locations throughout the world, including substantial amounts held outside of the United States. The majority of our cash is held outside of the United States and may be repatriated to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On September 30, 2011, we had approximately $6.3 million, $6.1 million, $18.7 million, $13 thousand and $0.9 million of cash and cash equivalents in the United States, Europe, Asia, Cayman Islands, and South America, respectively. On December 31, 2010, we had approximately $6.5 million, $15.0 million, $27.8 million, $4.0 million, and $0.9 million of cash and cash equivalents in the United States, Europe, Asia, Cayman Islands and South America,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For further information regarding our credit facilities, see “ITEM 3. QUANTITATIVE AND QUALITATIVE DISCLOSURES ABOUT MARKET RISK.”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Other than the contractual obligations disclosed above, we do not participate in any off 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9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2010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statements. Therefore, forward-looking statements should not be relied upon as a prediction of actual future results.</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While we believe that the forward-looking statements made in this report are based on reasonable assumptions, the actual outcome of such statements is subject to a number of risks and uncertainties, including the following:</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failure of our markets or customers to grow and expand in the manner we anticipate;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attract and retain quality workforce at adequate levels in all regions of the world, particularly Asia;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that product mix ordered and required by our customers have on our 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that product ordering patterns by our customers have on our manufacturing capacities;</w:t>
      </w:r>
    </w:p>
    <w:p>
      <w:pPr>
        <w:spacing w:after="0" w:line="90" w:lineRule="exact"/>
        <w:rPr>
          <w:rFonts w:ascii="Arial" w:cs="Arial" w:eastAsia="Arial" w:hAnsi="Arial"/>
          <w:sz w:val="18"/>
          <w:szCs w:val="18"/>
          <w:color w:val="auto"/>
        </w:rPr>
      </w:pPr>
    </w:p>
    <w:p>
      <w:pPr>
        <w:ind w:left="900" w:right="320" w:hanging="325"/>
        <w:spacing w:after="0" w:line="306"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effects of natural or other events beyond our control, including the effects of the global economic struggles, earthquakes, Tsunamis, wars or terrorist activities may have on us, the economy or our customers, including most particularly the effects of the recent earthquake and subsequent Tsunami on Japan, its economy, and our vendors and customers doing business and/or residing in Japan;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6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growth of, acceptance of and the demand for our products and technologies in various markets and geographical regions, including cable, satellite, consumer electronics, retail, digital media/technology, CEDIA, interactive TV, and cellular industries not materializing or growing as we believed;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to successfully integrate the operations of Enson and its subsidiaries, into our pre-existing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of Enson to perform in accordance with our expectations;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obtain orders or maintain our order volume with new and existing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add profitable complementary products which are accepted by the marketplace;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continue selling our products or licensing our technologies at higher or profitable margins;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continue to maintain our operating costs at acceptable levels through our cost containment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possible dilutive effect our stock incentive programs may have on our earnings per share and stock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inability to continue to obtain adequate quantities of component parts or secure adequate factory production capacity on a timely basis;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successfully integrate any strategic business transaction;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factors listed from time to time in our press releases and filings with the Securities and Exchange Commission.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are exposed to interest rate risk related to our term loan and revolving credit line with U.S. Bank. We may draw either U.S. dollars or foreign currencies from our credit facilities. Our market risk exposures in connection with the debt are primarily U.S. dollar LIBOR-based floating interest.</w:t>
      </w:r>
    </w:p>
    <w:p>
      <w:pPr>
        <w:spacing w:after="0" w:line="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September 30, 2011, we had an outstanding balance of $18.4 million related to our U.S. Bank 1-year term loan facility. The term loan maturity date is November 1, 2012, after extending the term for an additional 12-months effective October 31, 2011. Under the U.S. Bank term loan, we may elect to pay interest based on the bank’s prime rate or LIBOR plus a fixed margin of 1.5%. The applicable LIBOR (1, 3, 6, or 12-month LIBOR) corresponds with the loan period we select. On September 30, 2011, the 1-month LIBOR plus the fixed margin was approximately 1.73% and the bank’s prime rate was 3.25%. If a LIBOR rate loan is prepaid prior to the completion of the loan period, we must pay the bank the difference between the interest the bank would have earned had prepayment not occurred and the interest the bank actually earned.</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U.S. Bank secured revolving credit line, we may elect to pay interest based on the bank’s prime rate or LIBOR plus a fixed margin of 1.8%. The applicable LIBOR (1, 3, 6, or 12-month LIBOR) corresponds with the loan period we select. At September 30, 2011, the 12-month LIBOR plus the fixed margin was 2.63% and the bank’s prime rate was 3.25%. If a LIBOR rate loan is prepaid prior to the completion of the loan period, we must pay the bank the difference between the interest the bank would have earned had prepayment not occurred and the interest the bank actually earned. We may prepay prime rate loans in whole or in part at any time without a premium or penalty.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At September 30, 2011, we had wholly owned subsidiaries in the People’s Republic of China, Argentina, Brazil, Cayman Islands, France, Germany, Hong Kong, India, Italy, the Netherlands,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for the three and nine months ended September 30, 2011 were the Euro, British Pound and Chinese Yuan Renminbi. For most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1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sensitivity of earnings and cash flows to the variability in exchange rates is assessed by applying an approximate range of potential rate fluctuations to our assets, obligations and projected results of operations denominated in foreign currency with all other variables held constant. The analysis covers all of our foreign currency contracts offset by the underlying exposures. Based on our overall foreign currency rate exposure at September 30, 2011, we believe that movements in foreign currency rates may have a material affect on our financial position. We estimate that if the exchange rates for the Euro, British Pound, Chinese Yuan Renminbi, Indian Rupee, and Singapore dollar relative to the U.S. dollar fluctuate 10% from September 30, 2011, net income and total cash flows in the fourth quarter of 2011 will fluctuate by approximately $2.9 million and $2.9 million,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 There were no changes in our internal control over financial reporting that occurred during the most recent fiscal quarter that have materially affected, or are reasonably likely to materially affect, our internal control over financial reporting.</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management has excluded Enson from its assessment of internal control over financial reporting as of September 30, 2011 because they were acquired during the fourth quarter of 2010. Enson is a subsidiary whose total assets and total net sales represent 58% and 33%, respectively, of the related consolidated financial statement amounts as of and for the nine months ended September 30, 2011.</w:t>
      </w:r>
    </w:p>
    <w:p>
      <w:pPr>
        <w:spacing w:after="0" w:line="140"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Prior to the acquisition, Enson was a private company and was not subject to Securities and Exchange Commission’s Rules on Management’s Report on Internal Control Over Financial Reporting and Certification of Disclosure in Exchange Act Periodic Reports. As a result, it was not possible to conduct an assessment of Enson’s internal control over financial reporting in the period between the acquisition date and the date of management’s assessment. In accordance with SEC guidance, we have excluded Enson from the scope of management’s report on internal control over financial reporting. The period in which management may omit an assessment of an acquired business’s internal control over financial reporting from its assessment of the internal control may not extend beyond one year from the date of acquisition, nor may such assessment be omitted from more than one annual management report on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information set forth above under Note 10 — Commitments and Contingencies — Litigation contained in the “Notes to the Consolidated Financial Statements”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on pages 12 through 22 of the Company’s 2010 Annual Report on Form 10-K incorporated herein by reference. These factors may cause our actual results to differ materially from those stated in forward-looking statements contained in this document and elsewhere.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September 30, 2011, we did not sell any equity securities that were not registered under the Securities Act of 1933.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On February 11, 2010, our Board of Directors authorized management to repurchase up to 1,000,000 shares of our issued and outstanding common stock. As of September 30, 2011, we have repurchased 914,197 shares of our common stock under the February 11, 2010 authorization, leaving 85,803 shares available for repurchase. On October 26, 2011, our Board of Directors authorized management to repurchase an additional 1,000,000 shares of our issued and outstanding common stock. Repurchases may be made whenever we deem a repurchase is a good use of our cash and the price to be paid is at or below a threshold approved by our Board. Repurchase information for the third quarter of 2011 is set forth by month in the following table: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Purchased as Part</w:t>
            </w:r>
          </w:p>
        </w:tc>
        <w:tc>
          <w:tcPr>
            <w:tcW w:w="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Maximum Number of</w:t>
            </w:r>
          </w:p>
        </w:tc>
      </w:tr>
      <w:tr>
        <w:trPr>
          <w:trHeight w:val="149"/>
        </w:trPr>
        <w:tc>
          <w:tcPr>
            <w:tcW w:w="4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Publicly</w:t>
            </w:r>
          </w:p>
        </w:tc>
        <w:tc>
          <w:tcPr>
            <w:tcW w:w="66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that May Yet</w:t>
            </w:r>
          </w:p>
        </w:tc>
      </w:tr>
      <w:tr>
        <w:trPr>
          <w:trHeight w:val="149"/>
        </w:trPr>
        <w:tc>
          <w:tcPr>
            <w:tcW w:w="40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640" w:type="dxa"/>
            <w:vAlign w:val="bottom"/>
          </w:tcPr>
          <w:p>
            <w:pPr>
              <w:spacing w:after="0"/>
              <w:rPr>
                <w:sz w:val="12"/>
                <w:szCs w:val="12"/>
                <w:color w:val="auto"/>
              </w:rPr>
            </w:pPr>
          </w:p>
        </w:tc>
        <w:tc>
          <w:tcPr>
            <w:tcW w:w="126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Average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Announced</w:t>
            </w:r>
          </w:p>
        </w:tc>
        <w:tc>
          <w:tcPr>
            <w:tcW w:w="66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Be Purchased</w:t>
            </w:r>
          </w:p>
        </w:tc>
      </w:tr>
      <w:tr>
        <w:trPr>
          <w:trHeight w:val="134"/>
        </w:trPr>
        <w:tc>
          <w:tcPr>
            <w:tcW w:w="40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1"/>
              </w:rPr>
              <w:t>of Shares</w:t>
            </w:r>
          </w:p>
        </w:tc>
        <w:tc>
          <w:tcPr>
            <w:tcW w:w="640" w:type="dxa"/>
            <w:vAlign w:val="bottom"/>
          </w:tcPr>
          <w:p>
            <w:pPr>
              <w:spacing w:after="0"/>
              <w:rPr>
                <w:sz w:val="11"/>
                <w:szCs w:val="11"/>
                <w:color w:val="auto"/>
              </w:rPr>
            </w:pPr>
          </w:p>
        </w:tc>
        <w:tc>
          <w:tcPr>
            <w:tcW w:w="1260" w:type="dxa"/>
            <w:vAlign w:val="bottom"/>
            <w:gridSpan w:val="3"/>
          </w:tcPr>
          <w:p>
            <w:pPr>
              <w:jc w:val="right"/>
              <w:ind w:right="660"/>
              <w:spacing w:after="0" w:line="135" w:lineRule="exact"/>
              <w:rPr>
                <w:sz w:val="20"/>
                <w:szCs w:val="20"/>
                <w:color w:val="auto"/>
              </w:rPr>
            </w:pPr>
            <w:r>
              <w:rPr>
                <w:rFonts w:ascii="Arial" w:cs="Arial" w:eastAsia="Arial" w:hAnsi="Arial"/>
                <w:sz w:val="14"/>
                <w:szCs w:val="14"/>
                <w:b w:val="1"/>
                <w:bCs w:val="1"/>
                <w:color w:val="auto"/>
                <w:w w:val="85"/>
              </w:rPr>
              <w:t>Price Paid</w:t>
            </w: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Plans or</w:t>
            </w:r>
          </w:p>
        </w:tc>
        <w:tc>
          <w:tcPr>
            <w:tcW w:w="660" w:type="dxa"/>
            <w:vAlign w:val="bottom"/>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Under the Plans or</w:t>
            </w:r>
          </w:p>
        </w:tc>
      </w:tr>
      <w:tr>
        <w:trPr>
          <w:trHeight w:val="182"/>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52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640" w:type="dxa"/>
            <w:vAlign w:val="bottom"/>
          </w:tcPr>
          <w:p>
            <w:pPr>
              <w:spacing w:after="0"/>
              <w:rPr>
                <w:sz w:val="15"/>
                <w:szCs w:val="15"/>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6"/>
              </w:rPr>
              <w:t>per Share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Programs</w:t>
            </w:r>
          </w:p>
        </w:tc>
        <w:tc>
          <w:tcPr>
            <w:tcW w:w="660" w:type="dxa"/>
            <w:vAlign w:val="bottom"/>
          </w:tcPr>
          <w:p>
            <w:pPr>
              <w:spacing w:after="0"/>
              <w:rPr>
                <w:sz w:val="15"/>
                <w:szCs w:val="15"/>
                <w:color w:val="auto"/>
              </w:rPr>
            </w:pPr>
          </w:p>
        </w:tc>
        <w:tc>
          <w:tcPr>
            <w:tcW w:w="136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w w:val="98"/>
              </w:rPr>
              <w:t>Programs</w:t>
            </w:r>
            <w:r>
              <w:rPr>
                <w:rFonts w:ascii="Arial" w:cs="Arial" w:eastAsia="Arial" w:hAnsi="Arial"/>
                <w:sz w:val="18"/>
                <w:szCs w:val="18"/>
                <w:b w:val="1"/>
                <w:bCs w:val="1"/>
                <w:color w:val="auto"/>
                <w:w w:val="98"/>
                <w:vertAlign w:val="superscript"/>
              </w:rPr>
              <w:t>(1)</w:t>
            </w:r>
          </w:p>
        </w:tc>
      </w:tr>
      <w:tr>
        <w:trPr>
          <w:trHeight w:val="203"/>
        </w:trPr>
        <w:tc>
          <w:tcPr>
            <w:tcW w:w="5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July 1, 2011 — July 31, 2011</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45,686</w:t>
            </w: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24.69</w:t>
            </w:r>
          </w:p>
        </w:tc>
        <w:tc>
          <w:tcPr>
            <w:tcW w:w="6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45,686</w:t>
            </w:r>
          </w:p>
        </w:tc>
        <w:tc>
          <w:tcPr>
            <w:tcW w:w="6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343,998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August 1, 2011 — August 31, 2011</w:t>
            </w:r>
          </w:p>
        </w:tc>
        <w:tc>
          <w:tcPr>
            <w:tcW w:w="800" w:type="dxa"/>
            <w:vAlign w:val="bottom"/>
          </w:tcPr>
          <w:p>
            <w:pPr>
              <w:jc w:val="right"/>
              <w:spacing w:after="0"/>
              <w:rPr>
                <w:sz w:val="20"/>
                <w:szCs w:val="20"/>
                <w:color w:val="auto"/>
              </w:rPr>
            </w:pPr>
            <w:r>
              <w:rPr>
                <w:rFonts w:ascii="Arial" w:cs="Arial" w:eastAsia="Arial" w:hAnsi="Arial"/>
                <w:sz w:val="18"/>
                <w:szCs w:val="18"/>
                <w:color w:val="auto"/>
              </w:rPr>
              <w:t>162,039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19.17</w:t>
            </w:r>
          </w:p>
        </w:tc>
        <w:tc>
          <w:tcPr>
            <w:tcW w:w="1080" w:type="dxa"/>
            <w:vAlign w:val="bottom"/>
          </w:tcPr>
          <w:p>
            <w:pPr>
              <w:jc w:val="right"/>
              <w:spacing w:after="0"/>
              <w:rPr>
                <w:sz w:val="20"/>
                <w:szCs w:val="20"/>
                <w:color w:val="auto"/>
              </w:rPr>
            </w:pPr>
            <w:r>
              <w:rPr>
                <w:rFonts w:ascii="Arial" w:cs="Arial" w:eastAsia="Arial" w:hAnsi="Arial"/>
                <w:sz w:val="18"/>
                <w:szCs w:val="18"/>
                <w:color w:val="auto"/>
              </w:rPr>
              <w:t>162,039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181,959</w:t>
            </w:r>
          </w:p>
        </w:tc>
        <w:tc>
          <w:tcPr>
            <w:tcW w:w="10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2011 — September 30, 2011</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96,156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18.49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96,156</w:t>
            </w:r>
          </w:p>
        </w:tc>
        <w:tc>
          <w:tcPr>
            <w:tcW w:w="66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85,803</w:t>
            </w:r>
          </w:p>
        </w:tc>
        <w:tc>
          <w:tcPr>
            <w:tcW w:w="100" w:type="dxa"/>
            <w:vAlign w:val="bottom"/>
            <w:shd w:val="clear" w:color="auto" w:fill="CCEEFF"/>
          </w:tcPr>
          <w:p>
            <w:pPr>
              <w:spacing w:after="0"/>
              <w:rPr>
                <w:sz w:val="18"/>
                <w:szCs w:val="18"/>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Total Third Quarter 2011</w:t>
            </w:r>
          </w:p>
        </w:tc>
        <w:tc>
          <w:tcPr>
            <w:tcW w:w="800" w:type="dxa"/>
            <w:vAlign w:val="bottom"/>
          </w:tcPr>
          <w:p>
            <w:pPr>
              <w:jc w:val="right"/>
              <w:spacing w:after="0"/>
              <w:rPr>
                <w:sz w:val="20"/>
                <w:szCs w:val="20"/>
                <w:color w:val="auto"/>
              </w:rPr>
            </w:pPr>
            <w:r>
              <w:rPr>
                <w:rFonts w:ascii="Arial" w:cs="Arial" w:eastAsia="Arial" w:hAnsi="Arial"/>
                <w:sz w:val="18"/>
                <w:szCs w:val="18"/>
                <w:color w:val="auto"/>
              </w:rPr>
              <w:t>303,881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19.78</w:t>
            </w:r>
          </w:p>
        </w:tc>
        <w:tc>
          <w:tcPr>
            <w:tcW w:w="1080" w:type="dxa"/>
            <w:vAlign w:val="bottom"/>
          </w:tcPr>
          <w:p>
            <w:pPr>
              <w:jc w:val="right"/>
              <w:spacing w:after="0"/>
              <w:rPr>
                <w:sz w:val="20"/>
                <w:szCs w:val="20"/>
                <w:color w:val="auto"/>
              </w:rPr>
            </w:pPr>
            <w:r>
              <w:rPr>
                <w:rFonts w:ascii="Arial" w:cs="Arial" w:eastAsia="Arial" w:hAnsi="Arial"/>
                <w:sz w:val="18"/>
                <w:szCs w:val="18"/>
                <w:color w:val="auto"/>
              </w:rPr>
              <w:t>303,881</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85,803</w:t>
            </w:r>
          </w:p>
        </w:tc>
        <w:tc>
          <w:tcPr>
            <w:tcW w:w="10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40" w:hanging="452"/>
        <w:spacing w:after="0" w:line="228" w:lineRule="auto"/>
        <w:tabs>
          <w:tab w:leader="none" w:pos="460" w:val="left"/>
        </w:tabs>
        <w:numPr>
          <w:ilvl w:val="0"/>
          <w:numId w:val="19"/>
        </w:numPr>
        <w:rPr>
          <w:rFonts w:ascii="Arial" w:cs="Arial" w:eastAsia="Arial" w:hAnsi="Arial"/>
          <w:sz w:val="22"/>
          <w:szCs w:val="22"/>
          <w:color w:val="auto"/>
          <w:vertAlign w:val="superscript"/>
        </w:rPr>
      </w:pPr>
      <w:r>
        <w:rPr>
          <w:rFonts w:ascii="Arial" w:cs="Arial" w:eastAsia="Arial" w:hAnsi="Arial"/>
          <w:sz w:val="18"/>
          <w:szCs w:val="18"/>
          <w:color w:val="auto"/>
        </w:rPr>
        <w:t>On October 26, 2011, our Board of Directors authorized management to repurchase an additional 1,000,000 shares of our issued and outstanding common stock.</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31.1</w:t>
            </w:r>
          </w:p>
        </w:tc>
        <w:tc>
          <w:tcPr>
            <w:tcW w:w="10420" w:type="dxa"/>
            <w:vAlign w:val="bottom"/>
          </w:tcPr>
          <w:p>
            <w:pPr>
              <w:ind w:left="480"/>
              <w:spacing w:after="0"/>
              <w:rPr>
                <w:sz w:val="20"/>
                <w:szCs w:val="20"/>
                <w:color w:val="auto"/>
              </w:rPr>
            </w:pPr>
            <w:r>
              <w:rPr>
                <w:rFonts w:ascii="Arial" w:cs="Arial" w:eastAsia="Arial" w:hAnsi="Arial"/>
                <w:sz w:val="18"/>
                <w:szCs w:val="18"/>
                <w:color w:val="auto"/>
                <w:w w:val="98"/>
              </w:rPr>
              <w:t>Rule 13a-14(a) Certifications of Paul D. Arling, Chief Executive Officer (principal executive officer) of Universal Electronics Inc.</w:t>
            </w:r>
          </w:p>
        </w:tc>
      </w:tr>
      <w:tr>
        <w:trPr>
          <w:trHeight w:val="318"/>
        </w:trPr>
        <w:tc>
          <w:tcPr>
            <w:tcW w:w="800" w:type="dxa"/>
            <w:vAlign w:val="bottom"/>
          </w:tcPr>
          <w:p>
            <w:pPr>
              <w:jc w:val="right"/>
              <w:ind w:right="412"/>
              <w:spacing w:after="0"/>
              <w:rPr>
                <w:sz w:val="20"/>
                <w:szCs w:val="20"/>
                <w:color w:val="auto"/>
              </w:rPr>
            </w:pPr>
            <w:r>
              <w:rPr>
                <w:rFonts w:ascii="Arial" w:cs="Arial" w:eastAsia="Arial" w:hAnsi="Arial"/>
                <w:sz w:val="18"/>
                <w:szCs w:val="18"/>
                <w:color w:val="auto"/>
                <w:w w:val="79"/>
              </w:rPr>
              <w:t>31.2</w:t>
            </w:r>
          </w:p>
        </w:tc>
        <w:tc>
          <w:tcPr>
            <w:tcW w:w="10420" w:type="dxa"/>
            <w:vAlign w:val="bottom"/>
          </w:tcPr>
          <w:p>
            <w:pPr>
              <w:ind w:left="480"/>
              <w:spacing w:after="0"/>
              <w:rPr>
                <w:sz w:val="20"/>
                <w:szCs w:val="20"/>
                <w:color w:val="auto"/>
              </w:rPr>
            </w:pPr>
            <w:r>
              <w:rPr>
                <w:rFonts w:ascii="Arial" w:cs="Arial" w:eastAsia="Arial" w:hAnsi="Arial"/>
                <w:sz w:val="18"/>
                <w:szCs w:val="18"/>
                <w:color w:val="auto"/>
                <w:w w:val="91"/>
              </w:rPr>
              <w:t>Rule 13a-14(a) Certifications of Bryan M. Hackworth, Chief Financial Officer (principal financial officer and principal accounting officer) of</w:t>
            </w:r>
          </w:p>
        </w:tc>
      </w:tr>
      <w:tr>
        <w:trPr>
          <w:trHeight w:val="222"/>
        </w:trPr>
        <w:tc>
          <w:tcPr>
            <w:tcW w:w="800" w:type="dxa"/>
            <w:vAlign w:val="bottom"/>
          </w:tcPr>
          <w:p>
            <w:pPr>
              <w:spacing w:after="0"/>
              <w:rPr>
                <w:sz w:val="19"/>
                <w:szCs w:val="19"/>
                <w:color w:val="auto"/>
              </w:rPr>
            </w:pPr>
          </w:p>
        </w:tc>
        <w:tc>
          <w:tcPr>
            <w:tcW w:w="10420" w:type="dxa"/>
            <w:vAlign w:val="bottom"/>
          </w:tcPr>
          <w:p>
            <w:pPr>
              <w:ind w:left="480"/>
              <w:spacing w:after="0"/>
              <w:rPr>
                <w:sz w:val="20"/>
                <w:szCs w:val="20"/>
                <w:color w:val="auto"/>
              </w:rPr>
            </w:pPr>
            <w:r>
              <w:rPr>
                <w:rFonts w:ascii="Arial" w:cs="Arial" w:eastAsia="Arial" w:hAnsi="Arial"/>
                <w:sz w:val="18"/>
                <w:szCs w:val="18"/>
                <w:color w:val="auto"/>
              </w:rPr>
              <w:t>Universal Electronics Inc.</w:t>
            </w:r>
          </w:p>
        </w:tc>
      </w:tr>
    </w:tbl>
    <w:p>
      <w:pPr>
        <w:spacing w:after="0" w:line="102" w:lineRule="exact"/>
        <w:rPr>
          <w:sz w:val="20"/>
          <w:szCs w:val="20"/>
          <w:color w:val="auto"/>
        </w:rPr>
      </w:pPr>
    </w:p>
    <w:p>
      <w:pPr>
        <w:jc w:val="both"/>
        <w:ind w:left="1380" w:right="100" w:hanging="1284"/>
        <w:spacing w:after="0" w:line="259" w:lineRule="auto"/>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ectPr>
          <w:pgSz w:w="11900" w:h="16838" w:orient="portrait"/>
          <w:cols w:equalWidth="0" w:num="1">
            <w:col w:w="11360"/>
          </w:cols>
          <w:pgMar w:left="240" w:top="459" w:right="29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40" w:lineRule="exact"/>
        <w:rPr>
          <w:sz w:val="20"/>
          <w:szCs w:val="20"/>
          <w:color w:val="auto"/>
        </w:rPr>
      </w:pPr>
    </w:p>
    <w:p>
      <w:pPr>
        <w:sectPr>
          <w:pgSz w:w="11900" w:h="16838" w:orient="portrait"/>
          <w:cols w:equalWidth="0" w:num="2">
            <w:col w:w="780" w:space="600"/>
            <w:col w:w="998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40" w:lineRule="exact"/>
        <w:rPr>
          <w:sz w:val="20"/>
          <w:szCs w:val="20"/>
          <w:color w:val="auto"/>
        </w:rPr>
      </w:pPr>
    </w:p>
    <w:p>
      <w:pPr>
        <w:sectPr>
          <w:pgSz w:w="11900" w:h="16838" w:orient="portrait"/>
          <w:cols w:equalWidth="0" w:num="2">
            <w:col w:w="840" w:space="540"/>
            <w:col w:w="998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40" w:lineRule="exact"/>
        <w:rPr>
          <w:sz w:val="20"/>
          <w:szCs w:val="20"/>
          <w:color w:val="auto"/>
        </w:rPr>
      </w:pPr>
    </w:p>
    <w:p>
      <w:pPr>
        <w:sectPr>
          <w:pgSz w:w="11900" w:h="16838" w:orient="portrait"/>
          <w:cols w:equalWidth="0" w:num="2">
            <w:col w:w="840" w:space="540"/>
            <w:col w:w="9980"/>
          </w:cols>
          <w:pgMar w:left="240" w:top="459" w:right="29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39" w:lineRule="exact"/>
        <w:rPr>
          <w:sz w:val="20"/>
          <w:szCs w:val="20"/>
          <w:color w:val="auto"/>
        </w:rPr>
      </w:pPr>
    </w:p>
    <w:p>
      <w:pPr>
        <w:sectPr>
          <w:pgSz w:w="11900" w:h="16838" w:orient="portrait"/>
          <w:cols w:equalWidth="0" w:num="2">
            <w:col w:w="840" w:space="540"/>
            <w:col w:w="998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81" w:lineRule="exact"/>
        <w:rPr>
          <w:sz w:val="20"/>
          <w:szCs w:val="20"/>
          <w:color w:val="auto"/>
        </w:rPr>
      </w:pPr>
    </w:p>
    <w:p>
      <w:pPr>
        <w:sectPr>
          <w:pgSz w:w="11900" w:h="16838" w:orient="portrait"/>
          <w:cols w:equalWidth="0" w:num="2">
            <w:col w:w="820" w:space="560"/>
            <w:col w:w="9980"/>
          </w:cols>
          <w:pgMar w:left="240" w:top="459" w:right="299" w:bottom="1440" w:gutter="0" w:footer="0" w:header="0"/>
          <w:type w:val="continuous"/>
        </w:sectPr>
      </w:pPr>
    </w:p>
    <w:p>
      <w:pPr>
        <w:ind w:left="46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November 8, 2011</w:t>
      </w:r>
      <w:r>
        <w:rPr>
          <w:sz w:val="20"/>
          <w:szCs w:val="20"/>
          <w:color w:val="auto"/>
        </w:rPr>
        <w:tab/>
      </w:r>
      <w:r>
        <w:rPr>
          <w:rFonts w:ascii="Arial" w:cs="Arial" w:eastAsia="Arial" w:hAnsi="Arial"/>
          <w:sz w:val="16"/>
          <w:szCs w:val="16"/>
          <w:color w:val="auto"/>
        </w:rPr>
        <w:t>Universal Electronics Inc.</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Bryan M. Hackworth</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15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40"/>
          </w:cols>
          <w:pgMar w:left="240" w:top="459" w:right="7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228"/>
        </w:trPr>
        <w:tc>
          <w:tcPr>
            <w:tcW w:w="680" w:type="dxa"/>
            <w:vAlign w:val="bottom"/>
          </w:tcPr>
          <w:p>
            <w:pPr>
              <w:spacing w:after="0"/>
              <w:rPr>
                <w:sz w:val="19"/>
                <w:szCs w:val="19"/>
                <w:color w:val="auto"/>
              </w:rPr>
            </w:pPr>
          </w:p>
        </w:tc>
        <w:tc>
          <w:tcPr>
            <w:tcW w:w="10560" w:type="dxa"/>
            <w:vAlign w:val="bottom"/>
            <w:gridSpan w:val="3"/>
          </w:tcPr>
          <w:p>
            <w:pPr>
              <w:ind w:left="428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Exhibit No</w:t>
            </w:r>
          </w:p>
        </w:tc>
        <w:tc>
          <w:tcPr>
            <w:tcW w:w="530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560" w:type="dxa"/>
            <w:vAlign w:val="bottom"/>
          </w:tcPr>
          <w:p>
            <w:pPr>
              <w:spacing w:after="0"/>
              <w:rPr>
                <w:sz w:val="24"/>
                <w:szCs w:val="24"/>
                <w:color w:val="auto"/>
              </w:rPr>
            </w:pPr>
          </w:p>
        </w:tc>
      </w:tr>
      <w:tr>
        <w:trPr>
          <w:trHeight w:val="316"/>
        </w:trPr>
        <w:tc>
          <w:tcPr>
            <w:tcW w:w="680" w:type="dxa"/>
            <w:vAlign w:val="bottom"/>
          </w:tcPr>
          <w:p>
            <w:pPr>
              <w:ind w:left="20"/>
              <w:spacing w:after="0"/>
              <w:rPr>
                <w:sz w:val="20"/>
                <w:szCs w:val="20"/>
                <w:color w:val="auto"/>
              </w:rPr>
            </w:pPr>
            <w:r>
              <w:rPr>
                <w:rFonts w:ascii="Arial" w:cs="Arial" w:eastAsia="Arial" w:hAnsi="Arial"/>
                <w:sz w:val="18"/>
                <w:szCs w:val="18"/>
                <w:color w:val="auto"/>
              </w:rPr>
              <w:t>31.1</w:t>
            </w:r>
          </w:p>
        </w:tc>
        <w:tc>
          <w:tcPr>
            <w:tcW w:w="10560" w:type="dxa"/>
            <w:vAlign w:val="bottom"/>
            <w:gridSpan w:val="3"/>
          </w:tcPr>
          <w:p>
            <w:pPr>
              <w:ind w:left="620"/>
              <w:spacing w:after="0"/>
              <w:rPr>
                <w:sz w:val="20"/>
                <w:szCs w:val="20"/>
                <w:color w:val="auto"/>
              </w:rPr>
            </w:pPr>
            <w:r>
              <w:rPr>
                <w:rFonts w:ascii="Arial" w:cs="Arial" w:eastAsia="Arial" w:hAnsi="Arial"/>
                <w:sz w:val="18"/>
                <w:szCs w:val="18"/>
                <w:color w:val="auto"/>
                <w:w w:val="98"/>
              </w:rPr>
              <w:t>Rule 13a-14(a) Certifications of Paul D. Arling, Chief Executive Officer (principal executive officer) of Universal Electronics Inc.</w:t>
            </w:r>
          </w:p>
        </w:tc>
      </w:tr>
      <w:tr>
        <w:trPr>
          <w:trHeight w:val="318"/>
        </w:trPr>
        <w:tc>
          <w:tcPr>
            <w:tcW w:w="680" w:type="dxa"/>
            <w:vAlign w:val="bottom"/>
          </w:tcPr>
          <w:p>
            <w:pPr>
              <w:ind w:left="20"/>
              <w:spacing w:after="0"/>
              <w:rPr>
                <w:sz w:val="20"/>
                <w:szCs w:val="20"/>
                <w:color w:val="auto"/>
              </w:rPr>
            </w:pPr>
            <w:r>
              <w:rPr>
                <w:rFonts w:ascii="Arial" w:cs="Arial" w:eastAsia="Arial" w:hAnsi="Arial"/>
                <w:sz w:val="18"/>
                <w:szCs w:val="18"/>
                <w:color w:val="auto"/>
              </w:rPr>
              <w:t>31.2</w:t>
            </w:r>
          </w:p>
        </w:tc>
        <w:tc>
          <w:tcPr>
            <w:tcW w:w="10560" w:type="dxa"/>
            <w:vAlign w:val="bottom"/>
            <w:gridSpan w:val="3"/>
          </w:tcPr>
          <w:p>
            <w:pPr>
              <w:ind w:left="620"/>
              <w:spacing w:after="0"/>
              <w:rPr>
                <w:sz w:val="20"/>
                <w:szCs w:val="20"/>
                <w:color w:val="auto"/>
              </w:rPr>
            </w:pPr>
            <w:r>
              <w:rPr>
                <w:rFonts w:ascii="Arial" w:cs="Arial" w:eastAsia="Arial" w:hAnsi="Arial"/>
                <w:sz w:val="18"/>
                <w:szCs w:val="18"/>
                <w:color w:val="auto"/>
                <w:w w:val="91"/>
              </w:rPr>
              <w:t>Rule 13a-14(a) Certifications of Bryan M. Hackworth, Chief Financial Officer (principal financial officer and principal accounting officer) of</w:t>
            </w:r>
          </w:p>
        </w:tc>
      </w:tr>
      <w:tr>
        <w:trPr>
          <w:trHeight w:val="222"/>
        </w:trPr>
        <w:tc>
          <w:tcPr>
            <w:tcW w:w="680" w:type="dxa"/>
            <w:vAlign w:val="bottom"/>
          </w:tcPr>
          <w:p>
            <w:pPr>
              <w:spacing w:after="0"/>
              <w:rPr>
                <w:sz w:val="19"/>
                <w:szCs w:val="19"/>
                <w:color w:val="auto"/>
              </w:rPr>
            </w:pPr>
          </w:p>
        </w:tc>
        <w:tc>
          <w:tcPr>
            <w:tcW w:w="10560" w:type="dxa"/>
            <w:vAlign w:val="bottom"/>
            <w:gridSpan w:val="3"/>
          </w:tcPr>
          <w:p>
            <w:pPr>
              <w:ind w:left="620"/>
              <w:spacing w:after="0"/>
              <w:rPr>
                <w:sz w:val="20"/>
                <w:szCs w:val="20"/>
                <w:color w:val="auto"/>
              </w:rPr>
            </w:pPr>
            <w:r>
              <w:rPr>
                <w:rFonts w:ascii="Arial" w:cs="Arial" w:eastAsia="Arial" w:hAnsi="Arial"/>
                <w:sz w:val="18"/>
                <w:szCs w:val="18"/>
                <w:color w:val="auto"/>
              </w:rPr>
              <w:t>Universal Electronics Inc.</w:t>
            </w:r>
          </w:p>
        </w:tc>
      </w:tr>
    </w:tbl>
    <w:p>
      <w:pPr>
        <w:spacing w:after="0" w:line="102" w:lineRule="exact"/>
        <w:rPr>
          <w:sz w:val="20"/>
          <w:szCs w:val="20"/>
          <w:color w:val="auto"/>
        </w:rPr>
      </w:pPr>
    </w:p>
    <w:p>
      <w:pPr>
        <w:jc w:val="both"/>
        <w:ind w:left="1380" w:right="100" w:hanging="1284"/>
        <w:spacing w:after="0" w:line="259" w:lineRule="auto"/>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ectPr>
          <w:pgSz w:w="11900" w:h="16838" w:orient="portrait"/>
          <w:cols w:equalWidth="0" w:num="1">
            <w:col w:w="11360"/>
          </w:cols>
          <w:pgMar w:left="240" w:top="459" w:right="299" w:bottom="1440" w:gutter="0" w:footer="0" w:header="0"/>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40" w:lineRule="exact"/>
        <w:rPr>
          <w:sz w:val="20"/>
          <w:szCs w:val="20"/>
          <w:color w:val="auto"/>
        </w:rPr>
      </w:pPr>
    </w:p>
    <w:p>
      <w:pPr>
        <w:sectPr>
          <w:pgSz w:w="11900" w:h="16838" w:orient="portrait"/>
          <w:cols w:equalWidth="0" w:num="2">
            <w:col w:w="780" w:space="600"/>
            <w:col w:w="998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40" w:lineRule="exact"/>
        <w:rPr>
          <w:sz w:val="20"/>
          <w:szCs w:val="20"/>
          <w:color w:val="auto"/>
        </w:rPr>
      </w:pPr>
    </w:p>
    <w:p>
      <w:pPr>
        <w:sectPr>
          <w:pgSz w:w="11900" w:h="16838" w:orient="portrait"/>
          <w:cols w:equalWidth="0" w:num="2">
            <w:col w:w="840" w:space="540"/>
            <w:col w:w="998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40" w:lineRule="exact"/>
        <w:rPr>
          <w:sz w:val="20"/>
          <w:szCs w:val="20"/>
          <w:color w:val="auto"/>
        </w:rPr>
      </w:pPr>
    </w:p>
    <w:p>
      <w:pPr>
        <w:sectPr>
          <w:pgSz w:w="11900" w:h="16838" w:orient="portrait"/>
          <w:cols w:equalWidth="0" w:num="2">
            <w:col w:w="840" w:space="540"/>
            <w:col w:w="9980"/>
          </w:cols>
          <w:pgMar w:left="240" w:top="459" w:right="29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39" w:lineRule="exact"/>
        <w:rPr>
          <w:sz w:val="20"/>
          <w:szCs w:val="20"/>
          <w:color w:val="auto"/>
        </w:rPr>
      </w:pPr>
    </w:p>
    <w:p>
      <w:pPr>
        <w:sectPr>
          <w:pgSz w:w="11900" w:h="16838" w:orient="portrait"/>
          <w:cols w:equalWidth="0" w:num="2">
            <w:col w:w="840" w:space="540"/>
            <w:col w:w="998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81" w:lineRule="exact"/>
        <w:rPr>
          <w:sz w:val="20"/>
          <w:szCs w:val="20"/>
          <w:color w:val="auto"/>
        </w:rPr>
      </w:pPr>
    </w:p>
    <w:p>
      <w:pPr>
        <w:sectPr>
          <w:pgSz w:w="11900" w:h="16838" w:orient="portrait"/>
          <w:cols w:equalWidth="0" w:num="2">
            <w:col w:w="820" w:space="560"/>
            <w:col w:w="9980"/>
          </w:cols>
          <w:pgMar w:left="240" w:top="459" w:right="299" w:bottom="1440" w:gutter="0" w:footer="0" w:header="0"/>
          <w:type w:val="continuous"/>
        </w:sectPr>
      </w:pPr>
    </w:p>
    <w:p>
      <w:pPr>
        <w:ind w:left="460" w:hanging="452"/>
        <w:spacing w:after="0" w:line="259"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 13a-14(a) 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9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420" w:firstLine="443"/>
        <w:spacing w:after="0" w:line="259" w:lineRule="auto"/>
        <w:tabs>
          <w:tab w:leader="none" w:pos="107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900" w:firstLine="443"/>
        <w:spacing w:after="0" w:line="332" w:lineRule="auto"/>
        <w:tabs>
          <w:tab w:leader="none" w:pos="1078"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00" w:firstLine="443"/>
        <w:spacing w:after="0" w:line="332" w:lineRule="auto"/>
        <w:tabs>
          <w:tab w:leader="none" w:pos="1088"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4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07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0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Paul D. Arling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420" w:firstLine="443"/>
        <w:spacing w:after="0" w:line="259" w:lineRule="auto"/>
        <w:tabs>
          <w:tab w:leader="none" w:pos="10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900" w:firstLine="443"/>
        <w:spacing w:after="0" w:line="332" w:lineRule="auto"/>
        <w:tabs>
          <w:tab w:leader="none" w:pos="1078"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00" w:firstLine="443"/>
        <w:spacing w:after="0" w:line="332" w:lineRule="auto"/>
        <w:tabs>
          <w:tab w:leader="none" w:pos="1088"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 w:lineRule="exact"/>
        <w:rPr>
          <w:rFonts w:ascii="Arial" w:cs="Arial" w:eastAsia="Arial" w:hAnsi="Arial"/>
          <w:sz w:val="16"/>
          <w:szCs w:val="16"/>
          <w:color w:val="auto"/>
        </w:rPr>
      </w:pPr>
    </w:p>
    <w:p>
      <w:pPr>
        <w:ind w:left="460" w:right="64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0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08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Bryan M. Hackworth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each of the undersigned officers of Universal Electronics Inc. (the “Company”), hereby certifies that the (i) Company’s Form 10-Q for the fiscal quarter ended September 30, 2011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Dated: November 8, 2011</w:t>
            </w: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Paul D. Arling</w:t>
            </w:r>
          </w:p>
        </w:tc>
      </w:tr>
      <w:tr>
        <w:trPr>
          <w:trHeight w:val="221"/>
        </w:trPr>
        <w:tc>
          <w:tcPr>
            <w:tcW w:w="36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4"/>
        </w:trPr>
        <w:tc>
          <w:tcPr>
            <w:tcW w:w="3660" w:type="dxa"/>
            <w:vAlign w:val="bottom"/>
          </w:tcPr>
          <w:p>
            <w:pPr>
              <w:spacing w:after="0"/>
              <w:rPr>
                <w:sz w:val="24"/>
                <w:szCs w:val="24"/>
                <w:color w:val="auto"/>
              </w:rPr>
            </w:pPr>
          </w:p>
        </w:tc>
        <w:tc>
          <w:tcPr>
            <w:tcW w:w="2400" w:type="dxa"/>
            <w:vAlign w:val="bottom"/>
          </w:tcPr>
          <w:p>
            <w:pPr>
              <w:ind w:left="18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21"/>
        </w:trPr>
        <w:tc>
          <w:tcPr>
            <w:tcW w:w="36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5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32"/>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32"/>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2019-12-10T04:26:01Z</dcterms:created>
  <dcterms:modified xsi:type="dcterms:W3CDTF">2019-12-10T04:26:01Z</dcterms:modified>
</cp:coreProperties>
</file>