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20"/>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2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25" w:lineRule="exact"/>
        <w:rPr>
          <w:sz w:val="24"/>
          <w:szCs w:val="24"/>
          <w:color w:val="auto"/>
        </w:rPr>
      </w:pPr>
    </w:p>
    <w:p>
      <w:pPr>
        <w:ind w:left="680" w:right="10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6"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2022</w:t>
      </w:r>
    </w:p>
    <w:p>
      <w:pPr>
        <w:spacing w:after="0" w:line="58"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2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9" w:lineRule="exact"/>
        <w:rPr>
          <w:sz w:val="24"/>
          <w:szCs w:val="24"/>
          <w:color w:val="auto"/>
        </w:rPr>
      </w:pPr>
    </w:p>
    <w:p>
      <w:pPr>
        <w:ind w:left="3720"/>
        <w:spacing w:after="0"/>
        <w:tabs>
          <w:tab w:leader="none" w:pos="714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1"/>
          <w:szCs w:val="21"/>
          <w:b w:val="1"/>
          <w:bCs w:val="1"/>
          <w:color w:val="auto"/>
        </w:rPr>
        <w:t>to</w:t>
      </w:r>
    </w:p>
    <w:p>
      <w:pPr>
        <w:spacing w:after="0" w:line="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Commission File Number: 0-21044</w:t>
      </w:r>
    </w:p>
    <w:p>
      <w:pPr>
        <w:spacing w:after="0" w:line="3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UNIVERSAL ELECTRONICS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6" w:lineRule="exact"/>
        <w:rPr>
          <w:sz w:val="24"/>
          <w:szCs w:val="24"/>
          <w:color w:val="auto"/>
        </w:rPr>
      </w:pPr>
    </w:p>
    <w:tbl>
      <w:tblPr>
        <w:tblLayout w:type="fixed"/>
        <w:tblInd w:w="2300" w:type="dxa"/>
        <w:tblCellMar>
          <w:top w:w="0" w:type="dxa"/>
          <w:left w:w="0" w:type="dxa"/>
          <w:bottom w:w="0" w:type="dxa"/>
          <w:right w:w="0" w:type="dxa"/>
        </w:tblCellMar>
      </w:tblPr>
      <w:tr>
        <w:trPr>
          <w:trHeight w:val="261"/>
        </w:trPr>
        <w:tc>
          <w:tcPr>
            <w:tcW w:w="3600" w:type="dxa"/>
            <w:vAlign w:val="bottom"/>
          </w:tcPr>
          <w:p>
            <w:pPr>
              <w:jc w:val="center"/>
              <w:ind w:right="1067"/>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2600" w:type="dxa"/>
            <w:vAlign w:val="bottom"/>
          </w:tcPr>
          <w:p>
            <w:pPr>
              <w:jc w:val="center"/>
              <w:ind w:left="1087"/>
              <w:spacing w:after="0"/>
              <w:rPr>
                <w:sz w:val="20"/>
                <w:szCs w:val="20"/>
                <w:color w:val="auto"/>
              </w:rPr>
            </w:pPr>
            <w:r>
              <w:rPr>
                <w:rFonts w:ascii="Times New Roman" w:cs="Times New Roman" w:eastAsia="Times New Roman" w:hAnsi="Times New Roman"/>
                <w:sz w:val="20"/>
                <w:szCs w:val="20"/>
                <w:b w:val="1"/>
                <w:bCs w:val="1"/>
                <w:color w:val="auto"/>
                <w:w w:val="97"/>
              </w:rPr>
              <w:t>33-0204817</w:t>
            </w:r>
          </w:p>
        </w:tc>
      </w:tr>
      <w:tr>
        <w:trPr>
          <w:trHeight w:val="184"/>
        </w:trPr>
        <w:tc>
          <w:tcPr>
            <w:tcW w:w="3600" w:type="dxa"/>
            <w:vAlign w:val="bottom"/>
          </w:tcPr>
          <w:p>
            <w:pPr>
              <w:jc w:val="center"/>
              <w:ind w:right="1087"/>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600" w:type="dxa"/>
            <w:vAlign w:val="bottom"/>
          </w:tcPr>
          <w:p>
            <w:pPr>
              <w:jc w:val="center"/>
              <w:ind w:left="1087"/>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00" w:type="dxa"/>
            <w:vAlign w:val="bottom"/>
          </w:tcPr>
          <w:p>
            <w:pPr>
              <w:jc w:val="center"/>
              <w:ind w:right="1087"/>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2600" w:type="dxa"/>
            <w:vAlign w:val="bottom"/>
          </w:tcPr>
          <w:p>
            <w:pPr>
              <w:jc w:val="center"/>
              <w:ind w:left="1087"/>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30"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left="20" w:right="160"/>
        <w:spacing w:after="0" w:line="21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12,681,758 shares of Common Stock, par value $0.01 per share, of the registrant were outstanding on November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7"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580" w:type="dxa"/>
            <w:vAlign w:val="bottom"/>
            <w:gridSpan w:val="5"/>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r>
      <w:tr>
        <w:trPr>
          <w:trHeight w:val="209"/>
        </w:trPr>
        <w:tc>
          <w:tcPr>
            <w:tcW w:w="2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w w:val="96"/>
              </w:rPr>
              <w:t>PART I. FINANCIAL INFORMATION</w:t>
            </w:r>
          </w:p>
        </w:tc>
        <w:tc>
          <w:tcPr>
            <w:tcW w:w="5620" w:type="dxa"/>
            <w:vAlign w:val="bottom"/>
            <w:gridSpan w:val="8"/>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1. Consolidated Financial Statements (Unaudited)</w:t>
            </w:r>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80" w:type="dxa"/>
            <w:vAlign w:val="bottom"/>
            <w:gridSpan w:val="6"/>
          </w:tcPr>
          <w:p>
            <w:pPr>
              <w:spacing w:after="0"/>
              <w:rPr>
                <w:sz w:val="18"/>
                <w:szCs w:val="18"/>
                <w:color w:val="auto"/>
              </w:rPr>
            </w:pPr>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Comprehensive Income (Loss) Statements</w:t>
            </w:r>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Consolidated Statements of Cash Flows</w:t>
            </w:r>
          </w:p>
        </w:tc>
        <w:tc>
          <w:tcPr>
            <w:tcW w:w="700" w:type="dxa"/>
            <w:vAlign w:val="bottom"/>
            <w:gridSpan w:val="2"/>
          </w:tcPr>
          <w:p>
            <w:pPr>
              <w:spacing w:after="0"/>
              <w:rPr>
                <w:sz w:val="18"/>
                <w:szCs w:val="18"/>
                <w:color w:val="auto"/>
              </w:rPr>
            </w:pPr>
          </w:p>
        </w:tc>
        <w:tc>
          <w:tcPr>
            <w:tcW w:w="4920" w:type="dxa"/>
            <w:vAlign w:val="bottom"/>
            <w:gridSpan w:val="6"/>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280" w:type="dxa"/>
            <w:vAlign w:val="bottom"/>
            <w:gridSpan w:val="7"/>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164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3720" w:type="dxa"/>
            <w:vAlign w:val="bottom"/>
            <w:gridSpan w:val="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860" w:type="dxa"/>
            <w:vAlign w:val="bottom"/>
            <w:gridSpan w:val="9"/>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740" w:type="dxa"/>
            <w:vAlign w:val="bottom"/>
            <w:gridSpan w:val="1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040" w:type="dxa"/>
            <w:vAlign w:val="bottom"/>
            <w:gridSpan w:val="1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3740" w:type="dxa"/>
            <w:vAlign w:val="bottom"/>
            <w:gridSpan w:val="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80" w:type="dxa"/>
            <w:vAlign w:val="bottom"/>
            <w:gridSpan w:val="14"/>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44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Term deposit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129,215</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134,469</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receivable</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337,146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74,647</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48,463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20,169</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7,729</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510,348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80,211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92,707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Line of credit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sales discounts, rebates and royalties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9,286</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30,840</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216,787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 payable</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234,399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$0.01 par value, 5,000,000 shares authorized; none issued or outstanding</w:t>
            </w: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4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$0.01 par value, 50,000,000 shares authorized; 24,893,271 and 24,678,942 shares issued on</w:t>
            </w: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September 30, 2022 and December 31, 2021, respectively</w:t>
            </w: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314,094</w:t>
            </w:r>
          </w:p>
        </w:tc>
        <w:tc>
          <w:tcPr>
            <w:tcW w:w="0" w:type="dxa"/>
            <w:vAlign w:val="bottom"/>
          </w:tcPr>
          <w:p>
            <w:pPr>
              <w:spacing w:after="0"/>
              <w:rPr>
                <w:sz w:val="1"/>
                <w:szCs w:val="1"/>
                <w:color w:val="auto"/>
              </w:rPr>
            </w:pPr>
          </w:p>
        </w:tc>
      </w:tr>
      <w:tr>
        <w:trPr>
          <w:trHeight w:val="162"/>
        </w:trPr>
        <w:tc>
          <w:tcPr>
            <w:tcW w:w="74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Treasury stock, at cost, 12,219,233 and 11,861,198 shares on September 30, 2022 and December 31, 2021,</w:t>
            </w: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(366,456)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(355,159)</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(13,524)</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337,603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330,291</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267,660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275,949</w:t>
            </w:r>
          </w:p>
        </w:tc>
        <w:tc>
          <w:tcPr>
            <w:tcW w:w="0" w:type="dxa"/>
            <w:vAlign w:val="bottom"/>
          </w:tcPr>
          <w:p>
            <w:pPr>
              <w:spacing w:after="0"/>
              <w:rPr>
                <w:sz w:val="1"/>
                <w:szCs w:val="1"/>
                <w:color w:val="auto"/>
              </w:rPr>
            </w:pPr>
          </w:p>
        </w:tc>
      </w:tr>
      <w:tr>
        <w:trPr>
          <w:trHeight w:val="212"/>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513,717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510,348</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52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155,625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456,658</w:t>
            </w:r>
          </w:p>
        </w:tc>
      </w:tr>
      <w:tr>
        <w:trPr>
          <w:trHeight w:val="21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109,805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299,912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319,777</w:t>
            </w:r>
          </w:p>
        </w:tc>
      </w:tr>
      <w:tr>
        <w:trPr>
          <w:trHeight w:val="21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120,081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136,881</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23,029</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79,188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87,316</w:t>
            </w:r>
          </w:p>
        </w:tc>
      </w:tr>
      <w:tr>
        <w:trPr>
          <w:trHeight w:val="20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26,536</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Argentina subsidiary</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19,888</w:t>
            </w: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w:t>
            </w:r>
          </w:p>
        </w:tc>
      </w:tr>
      <w:tr>
        <w:trPr>
          <w:trHeight w:val="212"/>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11,631</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4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4"/>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4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earnings (loss) per share: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13,622</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5"/>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11,631</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0" w:type="dxa"/>
            <w:vAlign w:val="bottom"/>
          </w:tcPr>
          <w:p>
            <w:pPr>
              <w:spacing w:after="0"/>
              <w:rPr>
                <w:sz w:val="1"/>
                <w:szCs w:val="1"/>
                <w:color w:val="auto"/>
              </w:rPr>
            </w:pPr>
          </w:p>
        </w:tc>
      </w:tr>
      <w:tr>
        <w:trPr>
          <w:trHeight w:val="162"/>
        </w:trPr>
        <w:tc>
          <w:tcPr>
            <w:tcW w:w="43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Change in foreign currency translation due to sale of</w:t>
            </w:r>
          </w:p>
        </w:tc>
        <w:tc>
          <w:tcPr>
            <w:tcW w:w="1040" w:type="dxa"/>
            <w:vAlign w:val="bottom"/>
          </w:tcPr>
          <w:p>
            <w:pPr>
              <w:spacing w:after="0"/>
              <w:rPr>
                <w:sz w:val="14"/>
                <w:szCs w:val="14"/>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Argentina subsidiary</w:t>
            </w:r>
          </w:p>
        </w:tc>
        <w:tc>
          <w:tcPr>
            <w:tcW w:w="10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40" w:type="dxa"/>
            <w:vAlign w:val="bottom"/>
            <w:tcBorders>
              <w:top w:val="single" w:sz="8" w:color="auto"/>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changes in total equity for the three and nine months ended September 30,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620" w:type="dxa"/>
            <w:vAlign w:val="bottom"/>
          </w:tcPr>
          <w:p>
            <w:pPr>
              <w:spacing w:after="0"/>
              <w:rPr>
                <w:sz w:val="4"/>
                <w:szCs w:val="4"/>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6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8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620" w:type="dxa"/>
            <w:vAlign w:val="bottom"/>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24,679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314,094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330,291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275,949</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(7,354)</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24,831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327,381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270,357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0" w:type="dxa"/>
            <w:vAlign w:val="bottom"/>
          </w:tcPr>
          <w:p>
            <w:pPr>
              <w:spacing w:after="0"/>
              <w:rPr>
                <w:sz w:val="1"/>
                <w:szCs w:val="1"/>
                <w:color w:val="auto"/>
              </w:rPr>
            </w:pPr>
          </w:p>
        </w:tc>
      </w:tr>
      <w:tr>
        <w:trPr>
          <w:trHeight w:val="235"/>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24,862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(366,370)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319,854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330,369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265,114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(7,367)</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24,893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(366,456)</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322,619</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(26,355)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337,603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267,660</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changes in total equity for the three and nine months ended September 30, 2021:</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3600" w:type="dxa"/>
            <w:vAlign w:val="bottom"/>
          </w:tcPr>
          <w:p>
            <w:pPr>
              <w:spacing w:after="0"/>
              <w:rPr>
                <w:sz w:val="8"/>
                <w:szCs w:val="8"/>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8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600" w:type="dxa"/>
            <w:vAlign w:val="bottom"/>
          </w:tcPr>
          <w:p>
            <w:pPr>
              <w:spacing w:after="0"/>
              <w:rPr>
                <w:sz w:val="8"/>
                <w:szCs w:val="8"/>
                <w:color w:val="auto"/>
              </w:rPr>
            </w:pPr>
          </w:p>
        </w:tc>
        <w:tc>
          <w:tcPr>
            <w:tcW w:w="1080" w:type="dxa"/>
            <w:vAlign w:val="bottom"/>
            <w:tcBorders>
              <w:bottom w:val="single" w:sz="8" w:color="auto"/>
            </w:tcBorders>
            <w:gridSpan w:val="3"/>
            <w:vMerge w:val="continue"/>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8"/>
                <w:szCs w:val="8"/>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line="20" w:lineRule="exact"/>
              <w:rPr>
                <w:sz w:val="1"/>
                <w:szCs w:val="1"/>
                <w:color w:val="auto"/>
              </w:rPr>
            </w:pPr>
          </w:p>
        </w:tc>
      </w:tr>
      <w:tr>
        <w:trPr>
          <w:trHeight w:val="198"/>
        </w:trPr>
        <w:tc>
          <w:tcPr>
            <w:tcW w:w="36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24,392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(295,495)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324,990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313,301</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(10,951)</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7"/>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2021</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24,581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331,983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310,619</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7"/>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2021</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24,604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(322,179)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309,072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337,576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307,368</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Change in foreign currency translation due to sale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Argentina subsidiary</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(17,533)</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Performance-based common stock warrants</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2021</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24,628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(339,712)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311,964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336,621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295,238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11,631</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for)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19,719</w:t>
            </w:r>
          </w:p>
        </w:tc>
      </w:tr>
      <w:tr>
        <w:trPr>
          <w:trHeight w:val="219"/>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9"/>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Shares issued for employee benefit plan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w:t>
            </w:r>
          </w:p>
        </w:tc>
      </w:tr>
      <w:tr>
        <w:trPr>
          <w:trHeight w:val="219"/>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Performance-based common stock warrants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Loss on sale of Argentina subsidiary, net of cash transferred</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w:t>
            </w:r>
          </w:p>
        </w:tc>
      </w:tr>
      <w:tr>
        <w:trPr>
          <w:trHeight w:val="219"/>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Accounts receivable and contract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(12,129)</w:t>
            </w:r>
          </w:p>
        </w:tc>
      </w:tr>
      <w:tr>
        <w:trPr>
          <w:trHeight w:val="219"/>
        </w:trPr>
        <w:tc>
          <w:tcPr>
            <w:tcW w:w="82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w:t>
            </w:r>
          </w:p>
        </w:tc>
      </w:tr>
      <w:tr>
        <w:trPr>
          <w:trHeight w:val="213"/>
        </w:trPr>
        <w:tc>
          <w:tcPr>
            <w:tcW w:w="82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r>
      <w:tr>
        <w:trPr>
          <w:trHeight w:val="219"/>
        </w:trPr>
        <w:tc>
          <w:tcPr>
            <w:tcW w:w="82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(7,416)</w:t>
            </w:r>
          </w:p>
        </w:tc>
      </w:tr>
      <w:tr>
        <w:trPr>
          <w:trHeight w:val="213"/>
        </w:trPr>
        <w:tc>
          <w:tcPr>
            <w:tcW w:w="826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6"/>
                <w:szCs w:val="16"/>
                <w:color w:val="auto"/>
              </w:rPr>
              <w:t>Accrued income taxes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w:t>
            </w:r>
          </w:p>
        </w:tc>
      </w:tr>
      <w:tr>
        <w:trPr>
          <w:trHeight w:val="212"/>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22,916</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term deposit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Redemption of term deposit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of net assets of Qterics, Inc.</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(8,782)</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w:t>
            </w:r>
          </w:p>
        </w:tc>
      </w:tr>
      <w:tr>
        <w:trPr>
          <w:trHeight w:val="207"/>
        </w:trPr>
        <w:tc>
          <w:tcPr>
            <w:tcW w:w="8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(12,408)</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Borrowings under line of credit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71,000</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on line of credit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(38,000)</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purchased</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(44,217)</w:t>
            </w:r>
          </w:p>
        </w:tc>
      </w:tr>
      <w:tr>
        <w:trPr>
          <w:trHeight w:val="207"/>
        </w:trPr>
        <w:tc>
          <w:tcPr>
            <w:tcW w:w="8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(10,226)</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exchange rates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57,153</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61,681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58,825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8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8,235</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r>
    </w:tbl>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for the three and nine months ended September 30, 2022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stock-based compensation expense and performance-based common stock warrants.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coronavirus ("COVID-19") pandemic and the current macroeconomic environment have made estimates more difficult and subjective. Accordingly, actual results could differ from those estimates, and such differences could be material to the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exception of the following policies, our significant accounting policies are unchanged from those disclosed in Note 2 to the consolidated financial statements included in our Annual Report on Form 10-K for the year ended December 31, 2021</w:t>
      </w:r>
      <w:r>
        <w:rPr>
          <w:rFonts w:ascii="Times New Roman" w:cs="Times New Roman" w:eastAsia="Times New Roman" w:hAnsi="Times New Roman"/>
          <w:sz w:val="18"/>
          <w:szCs w:val="18"/>
          <w:b w:val="1"/>
          <w:bCs w:val="1"/>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primarily generated from manufacturing, shipping and supporting control and sensor technology solutions and a broad line of pre-programmed and universal control products, AV accessories, and intelligent wireless security and smart home products that are used in the video services, consumer electronics, security, home automation, climate control, and home appliance market, which are sold through multiple channels, and licensing intellectual property that is embedded in these products or licensed to others for use in their products. We also generate revenues from a cloud-based software solution enabling software updates, digital rights management provisioning and remote technical support to consumer electronics customers.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service revenues related to our cloud-based software solution on an over-time basis, as our customers simultaneously receive and consume the benefits provided by our performance. Revenues are recognized over the period during which the performance obligations are satisfied, and control of the service is transferred to the customers.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Term Deposit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accounts and all investments purchased with initial maturities of three months or less. Our term deposit has an initial maturity of one year. Domestically, we generally maintain balances in excess of federally insured limits. We attempt to mitigate our exposure to liquidity, credit and other relevant risks by placing our cash, cash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equivalents and term deposit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This guidance requires an entity to recognize and measure contract assets and contract liabilities acquired in a business combination in accordance with Topic 606, "Revenue from Contracts with Customers". At the acquisition date, the acquirer applies the revenue recognition model as if it had originated the acquired contracts. Our adoption of this guidance on January 1, 2022 did not have a material impact on our consolidated statement of financial position, results of operations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Updates Not Yet Effective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"Facilitation of the Effects of Reference Rate Reform on Financial Reporting", and in January 2021, the FASB issued ASU 2021-01, "Reference Rate Reform". This guidance is intended to provide temporary optional expedients and exceptions to GAAP guidance on contract modifications and hedge accounting to ease the financial reporting burden related to the expected market transition from the London Interbank Offered Rate ("LIBOR") and other interbank offered rates to alternative reference rates. The amendments in these ASUs are elective and are effective upon issuance for all entities through December 31, 2022. These amendments are not expected to have a material impact on our consolidated statement of financial position, results of operations and cash flows.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This guidance requires an entity to make certain disclosures when it receives government assistance, including the types of assistance, the accounting for the assistance, and the effect of the assistance on the financial statements. ASU 2021-10 is effective for annual periods beginning after December 15, 2021, with early adoption permitted. We do not expect the adoption of ASU 2021-10 to have a material impact on our consolidated statement of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Cash Equivalents and Term Deposit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were held in the following geographic regions: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 ("PRC")</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the PRC)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60,813</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25, 2022, we entered into a one-year term deposit cash account with Banco Santander (Brasil) S.A., denominated in Brazilian Real. The term deposit earns interest at a variable annual rate based upon the Brazilian CDI overnight interbank rate. During the three months ended September 30, 2022, substantially all of this term deposit was redeemed. At September 30, 2022, the balance of the term deposit was $0.2 million. The term deposit is accounted for at fair value on a recurring basis, using level one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and Accounts Receivable,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Details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pattern of revenue recognition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30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371,921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84,737</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456,658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sales to external customers by geographic area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 PRC)</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155,625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456,658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identification of the customer billing location was the basis used for attributing revenues from external customers to geographic areas.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to the following customers totaled more than 10% of our net sales:</w:t>
      </w:r>
    </w:p>
    <w:p>
      <w:pPr>
        <w:spacing w:after="0" w:line="97" w:lineRule="exact"/>
        <w:rPr>
          <w:sz w:val="20"/>
          <w:szCs w:val="20"/>
          <w:color w:val="auto"/>
        </w:rPr>
      </w:pPr>
    </w:p>
    <w:tbl>
      <w:tblPr>
        <w:tblLayout w:type="fixed"/>
        <w:tblInd w:w="432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35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20" w:type="dxa"/>
            <w:vAlign w:val="bottom"/>
          </w:tcPr>
          <w:p>
            <w:pPr>
              <w:spacing w:after="0"/>
              <w:rPr>
                <w:sz w:val="16"/>
                <w:szCs w:val="16"/>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0"/>
        </w:trPr>
        <w:tc>
          <w:tcPr>
            <w:tcW w:w="1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15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12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8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34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1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 of Net Sales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Comcast Corporation</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3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3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22,578</w:t>
            </w:r>
          </w:p>
        </w:tc>
        <w:tc>
          <w:tcPr>
            <w:tcW w:w="32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320" w:type="dxa"/>
            <w:vAlign w:val="bottom"/>
            <w:tcBorders>
              <w:top w:val="single" w:sz="8" w:color="CCEEFF"/>
            </w:tcBorders>
            <w:shd w:val="clear" w:color="auto" w:fill="CCEEFF"/>
          </w:tcPr>
          <w:p>
            <w:pPr>
              <w:spacing w:after="0"/>
              <w:rPr>
                <w:sz w:val="20"/>
                <w:szCs w:val="20"/>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Daikin Industries Ltd.</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320" w:type="dxa"/>
            <w:vAlign w:val="bottom"/>
          </w:tcPr>
          <w:p>
            <w:pPr>
              <w:spacing w:after="0"/>
              <w:rPr>
                <w:sz w:val="20"/>
                <w:szCs w:val="20"/>
                <w:color w:val="auto"/>
              </w:rPr>
            </w:pPr>
          </w:p>
        </w:tc>
      </w:tr>
      <w:tr>
        <w:trPr>
          <w:trHeight w:val="539"/>
        </w:trPr>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
        </w:trPr>
        <w:tc>
          <w:tcPr>
            <w:tcW w:w="4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0"/>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r>
      <w:tr>
        <w:trPr>
          <w:trHeight w:val="196"/>
        </w:trPr>
        <w:tc>
          <w:tcPr>
            <w:tcW w:w="43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20" w:type="dxa"/>
            <w:vAlign w:val="bottom"/>
          </w:tcPr>
          <w:p>
            <w:pPr>
              <w:spacing w:after="0"/>
              <w:rPr>
                <w:sz w:val="17"/>
                <w:szCs w:val="17"/>
                <w:color w:val="auto"/>
              </w:rPr>
            </w:pPr>
          </w:p>
        </w:tc>
        <w:tc>
          <w:tcPr>
            <w:tcW w:w="15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20" w:type="dxa"/>
            <w:vAlign w:val="bottom"/>
          </w:tcPr>
          <w:p>
            <w:pPr>
              <w:spacing w:after="0"/>
              <w:rPr>
                <w:sz w:val="17"/>
                <w:szCs w:val="17"/>
                <w:color w:val="auto"/>
              </w:rPr>
            </w:pPr>
          </w:p>
        </w:tc>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2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Comcast Corporation</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65,087</w:t>
            </w:r>
          </w:p>
        </w:tc>
        <w:tc>
          <w:tcPr>
            <w:tcW w:w="3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74,478</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320" w:type="dxa"/>
            <w:vAlign w:val="bottom"/>
            <w:tcBorders>
              <w:top w:val="single" w:sz="8" w:color="CCEEFF"/>
            </w:tcBorders>
            <w:shd w:val="clear" w:color="auto" w:fill="CCEEFF"/>
          </w:tcPr>
          <w:p>
            <w:pPr>
              <w:spacing w:after="0"/>
              <w:rPr>
                <w:sz w:val="19"/>
                <w:szCs w:val="19"/>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Daikin Industries Ltd.</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59,397</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gross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122,508</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120,631</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135,495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129,215</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accounts receivable is primarily comprised of value added tax and supplier rebate receivables.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(reductions) to costs and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Write-offs/Foreign exchange effects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receivables associated with this significant customer that totaled more than 10% of our accounts receivable, net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3280" w:type="dxa"/>
            <w:vAlign w:val="bottom"/>
            <w:gridSpan w:val="4"/>
          </w:tcPr>
          <w:p>
            <w:pPr>
              <w:jc w:val="right"/>
              <w:ind w:right="124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4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Accounts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4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Accounts</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Receivable, Net</w:t>
            </w:r>
          </w:p>
        </w:tc>
        <w:tc>
          <w:tcPr>
            <w:tcW w:w="1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0" w:type="dxa"/>
            <w:vAlign w:val="bottom"/>
            <w:gridSpan w:val="2"/>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Receivable, Net</w:t>
            </w:r>
          </w:p>
        </w:tc>
        <w:tc>
          <w:tcPr>
            <w:tcW w:w="0" w:type="dxa"/>
            <w:vAlign w:val="bottom"/>
          </w:tcPr>
          <w:p>
            <w:pPr>
              <w:spacing w:after="0"/>
              <w:rPr>
                <w:sz w:val="1"/>
                <w:szCs w:val="1"/>
                <w:color w:val="auto"/>
              </w:rPr>
            </w:pPr>
          </w:p>
        </w:tc>
      </w:tr>
      <w:tr>
        <w:trPr>
          <w:trHeight w:val="22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Comcast Corporation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520" w:hanging="188"/>
        <w:spacing w:after="0"/>
        <w:tabs>
          <w:tab w:leader="none" w:pos="5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Trade receivables associated with this customer did not total more than 10% of our accounts receivable, net for the indicated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 and Significant Suppliers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52,617</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25,289</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49,461</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Suppliers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from the following supplier totaled more than 10% of our total inventory purchases: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12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0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 Total Inventory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20" w:type="dxa"/>
            <w:vAlign w:val="bottom"/>
          </w:tcPr>
          <w:p>
            <w:pPr>
              <w:spacing w:after="0"/>
              <w:rPr>
                <w:sz w:val="11"/>
                <w:szCs w:val="11"/>
                <w:color w:val="auto"/>
              </w:rPr>
            </w:pPr>
          </w:p>
        </w:tc>
        <w:tc>
          <w:tcPr>
            <w:tcW w:w="16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 of Total Inventory</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700" w:type="dxa"/>
            <w:vAlign w:val="bottom"/>
            <w:gridSpan w:val="2"/>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Qorvo International Pte Ltd.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3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20" w:hanging="188"/>
        <w:spacing w:after="0"/>
        <w:tabs>
          <w:tab w:leader="none" w:pos="5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Purchases associated with this supplier did not total more than 10% of our total inventory purchases for the indicated 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2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0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 Total Inventory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20" w:type="dxa"/>
            <w:vAlign w:val="bottom"/>
          </w:tcPr>
          <w:p>
            <w:pPr>
              <w:spacing w:after="0"/>
              <w:rPr>
                <w:sz w:val="11"/>
                <w:szCs w:val="11"/>
                <w:color w:val="auto"/>
              </w:rPr>
            </w:pPr>
          </w:p>
        </w:tc>
        <w:tc>
          <w:tcPr>
            <w:tcW w:w="16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 of Total Inventory</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Qorvo International Pte Ltd.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23,185</w:t>
            </w:r>
          </w:p>
        </w:tc>
        <w:tc>
          <w:tcPr>
            <w:tcW w:w="3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31,677</w:t>
            </w:r>
          </w:p>
        </w:tc>
        <w:tc>
          <w:tcPr>
            <w:tcW w:w="3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from the following supplier totaled more than 10% of our total accounts payable: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4"/>
          </w:tcPr>
          <w:p>
            <w:pPr>
              <w:jc w:val="right"/>
              <w:ind w:right="114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308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3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Total Accounts</w:t>
            </w:r>
          </w:p>
        </w:tc>
        <w:tc>
          <w:tcPr>
            <w:tcW w:w="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68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 of Total Accounts</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700" w:type="dxa"/>
            <w:vAlign w:val="bottom"/>
            <w:gridSpan w:val="2"/>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Zhejiang Zhen You Electronics Co. Ltd.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3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20" w:hanging="188"/>
        <w:spacing w:after="0"/>
        <w:tabs>
          <w:tab w:leader="none" w:pos="5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Accounts payable associated with this supplier did not total more than 10% of our accounts payable for the indicated period.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Long-lived 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tangible assets by geographic area, which include property, plant, and equipment, net and operating lease right-of-use assets,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16,804</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52,851</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long-lived 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shown net of accumulated depreciation of $165.8 million and $165.9 million at September 30, 2022 and December 31, 2021,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$4.9 million and $5.6 million for the three months ended September 30, 2022 and 2021, respectively. Depreciation expense was $15.1 million and $17.1 million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tcPr>
          <w:p>
            <w:pPr>
              <w:jc w:val="center"/>
              <w:ind w:left="1672"/>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9480" w:type="dxa"/>
            <w:vAlign w:val="bottom"/>
          </w:tcPr>
          <w:p>
            <w:pPr>
              <w:jc w:val="center"/>
              <w:ind w:left="1672"/>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80" w:type="dxa"/>
            <w:vAlign w:val="bottom"/>
          </w:tcPr>
          <w:p>
            <w:pPr>
              <w:jc w:val="center"/>
              <w:ind w:left="1692"/>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9480" w:type="dxa"/>
            <w:vAlign w:val="bottom"/>
          </w:tcPr>
          <w:p>
            <w:pPr>
              <w:jc w:val="center"/>
              <w:ind w:left="1672"/>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34"/>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 Net</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9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0"/>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
        </w:trPr>
        <w:tc>
          <w:tcPr>
            <w:tcW w:w="9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48,463</w:t>
            </w:r>
          </w:p>
        </w:tc>
      </w:tr>
      <w:tr>
        <w:trPr>
          <w:trHeight w:val="230"/>
        </w:trPr>
        <w:tc>
          <w:tcPr>
            <w:tcW w:w="94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Goodwill acquired during the period </w:t>
            </w:r>
            <w:r>
              <w:rPr>
                <w:rFonts w:ascii="Times New Roman" w:cs="Times New Roman" w:eastAsia="Times New Roman" w:hAnsi="Times New Roman"/>
                <w:sz w:val="23"/>
                <w:szCs w:val="23"/>
                <w:color w:val="auto"/>
                <w:vertAlign w:val="superscript"/>
              </w:rPr>
              <w:t>(1)</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29"/>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effects</w:t>
            </w: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48,935</w:t>
            </w:r>
          </w:p>
        </w:tc>
      </w:tr>
      <w:tr>
        <w:trPr>
          <w:trHeight w:val="20"/>
        </w:trPr>
        <w:tc>
          <w:tcPr>
            <w:tcW w:w="9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right="20" w:hanging="328"/>
        <w:spacing w:after="0" w:line="229" w:lineRule="auto"/>
        <w:tabs>
          <w:tab w:leader="none" w:pos="517"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nine months ended September 30, 2022, we recognized $0.7 million of goodwill related to the Qterics, Inc. ("Qterics") acquisition. Refer to Note 19 for further information about this acquisition.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2"/>
        </w:trPr>
        <w:tc>
          <w:tcPr>
            <w:tcW w:w="3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9"/>
                <w:szCs w:val="9"/>
                <w:b w:val="1"/>
                <w:bCs w:val="1"/>
                <w:color w:val="auto"/>
              </w:rPr>
              <w:t>(1)</w:t>
            </w:r>
          </w:p>
        </w:tc>
        <w:tc>
          <w:tcPr>
            <w:tcW w:w="3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core technology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rights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hanging="328"/>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table excludes the gross value of fully amortized intangible assets totaling $43.8 million and $43.2 million at September 30, 2022 and December 31, 2021, respectively.</w:t>
      </w:r>
    </w:p>
    <w:p>
      <w:pPr>
        <w:spacing w:after="0" w:line="22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9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80" w:type="dxa"/>
            <w:vAlign w:val="bottom"/>
          </w:tcPr>
          <w:p>
            <w:pPr>
              <w:jc w:val="center"/>
              <w:ind w:left="1371"/>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9780" w:type="dxa"/>
            <w:vAlign w:val="bottom"/>
          </w:tcPr>
          <w:p>
            <w:pPr>
              <w:jc w:val="center"/>
              <w:ind w:left="137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780" w:type="dxa"/>
            <w:vAlign w:val="bottom"/>
          </w:tcPr>
          <w:p>
            <w:pPr>
              <w:jc w:val="center"/>
              <w:ind w:left="1391"/>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9780" w:type="dxa"/>
            <w:vAlign w:val="bottom"/>
          </w:tcPr>
          <w:p>
            <w:pPr>
              <w:jc w:val="center"/>
              <w:ind w:left="137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annual amortization expense related to our intangible assets at September 30, 2022, was as follows: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0"/>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3 months)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w:t>
            </w:r>
          </w:p>
        </w:tc>
      </w:tr>
      <w:tr>
        <w:trPr>
          <w:trHeight w:val="248"/>
        </w:trPr>
        <w:tc>
          <w:tcPr>
            <w:tcW w:w="9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various operating lease agreements for automobiles, offices and manufacturing facilities throughout the world. At September 30, 2022, our operating leases had remaining lease terms of up to 38 years, including any reasonably probable extensions.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balances within our consolidated balance sheet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w:t>
            </w:r>
          </w:p>
        </w:tc>
      </w:tr>
      <w:tr>
        <w:trPr>
          <w:trHeight w:val="223"/>
        </w:trPr>
        <w:tc>
          <w:tcPr>
            <w:tcW w:w="7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19,035</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 including variable and short-term lease costs, which were insignificant to the total operating lease cash flows, and supplemental cash flow information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2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8"/>
                <w:szCs w:val="18"/>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4,958</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Operating lease right-of-use assets obtained in exchange for</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2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Non-cash release of operating lease obligations </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328"/>
        <w:spacing w:after="0" w:line="229"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nine months ended September 30, 2021, we were released from our guarantee of the lease obligation related to our Ohio call center, which was sold in February 2020.</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liability term and the weighted average discount rate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1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4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lease liability term (in years)</w:t>
            </w:r>
          </w:p>
        </w:tc>
        <w:tc>
          <w:tcPr>
            <w:tcW w:w="26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r>
      <w:tr>
        <w:trPr>
          <w:trHeight w:val="900"/>
        </w:trPr>
        <w:tc>
          <w:tcPr>
            <w:tcW w:w="4480" w:type="dxa"/>
            <w:vAlign w:val="bottom"/>
          </w:tcPr>
          <w:p>
            <w:pPr>
              <w:spacing w:after="0"/>
              <w:rPr>
                <w:sz w:val="24"/>
                <w:szCs w:val="24"/>
                <w:color w:val="auto"/>
              </w:rPr>
            </w:pPr>
          </w:p>
        </w:tc>
        <w:tc>
          <w:tcPr>
            <w:tcW w:w="264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15</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thereafter to the operating lease liabilities recognized in our consolidated balance sheet at September 30, 2022. The reconciliation excludes short-term leases that are not recorded on the balance sheet.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8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9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3 months)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23"/>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19,196</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we did not have any operating leases that had not yet commenced.</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7, 2022, we agreed upon terms to a lease agreement for 125,000 square feet of factory space in Vietnam, with a term commencing in the fourth quarter of 2022 and continuing through December 1, 2034. As of the date of the filing of this Form 10-Q, this lease has not yet been signed. The total initial lease liability associated with this lease is approximately $4.1 million, which is not reflected within the maturity schedule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Line of Credit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Amended and Restated Credit Agreement ("Second Amended Credit Agreement") with U.S. Bank National Association ("U.S. Bank") provides for a $125.0 million revolving line of credit ("Credit Line") that expires on November 1, 2023.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September 30, 2022 and December 31, 2021.</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obligations under the Credit Line are secured by substantially all of our U.S. personal property and tangible and intangible assets, as well as a guaranty of the Credit Line by our wholly-owned subsidiary, Universal Electronics BV.</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rates in effect at September 30, 2022 and December 31, 2021 were 4.63% and 1.35%, respectively. There are no commitment fees or unused line fees under the Second Amended Credit Agreement.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2021, the process of cessation of LIBOR as a reference rate began. Between December 31, 2021 and June 30, 2023, any borrowings under our existing Second Amended Credit Agreement may continue to use LIBOR as the basis for interest rates. If the Second Amended Credit Agreement is amended or replaced during this period, any borrowings will no longer use LIBOR as a reference rate and instead will be subject to an interest rate based on either the Secured Overnight Financing Rate ("SOFR"), which is deemed a replacement benchmark for LIBOR under the Second Amended Credit Agreement, or an alternate index to be agreed upon. After June 30, 2023, all borrowings will be based on SOFR or the alternate index.</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At September 30, 2022, we were in compliance with the covenants and conditions of the Second Amended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and December 31, 2021, we had $88.0 million and $56.0 million outstanding under the Credit Line, respectively. Our total interest expense on borrowings was $1.0 million and $0.2 million during the three months ended September 30, 2022 and 2021, respectively. Our total interest expense on borrowings was $1.9 million and $0.6 million during the nine months ended September 30, 2022 and 2021,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5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recorded income tax expense of $3.5 million and $3.4 million for the three months ended September 30, 2022 and 2021, respectively. We recorded income tax expense of $7.6 million and $8.3 million for the nine months ended September 30, 2022 and 2021, respectively. The difference in income tax recorded for the nine months ended September 30, 2022 and 2021 is primarily due to the mix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among jurisdictions, including losses not benefited as a result of a valuation allowance. In addition, the tax incentive refund received in China during the nine months ended September 30, 2022 was greater than the refund received during the nine months ended September 30, 2021.</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Company's effective tax rate and the 21.0% U.S. federal statutory rate for the nine months ended September 30, 2022 primarily related to the mix of pre-tax income and loss among jurisdictions and permanent tax items including a tax on global intangible low-taxed income. The permanent tax item related to global intangible low-taxed income also reflects recent legislative changes requiring the capitalization of research and experimentation costs, as well as limitations on the creditability of certain foreign income taxes.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2021,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2021, we had a three-year cumulative operating loss for our U.S. operations and, accordingly, have provided a full valuation allowance on our U.S. federal and state deferred tax assets. During the nine months ended September 30, 2022, there was no change to our valuation allowance position.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2022, we had gross unrecognized tax benefits of $3.2 million, including interest and penalties, which, if not for the valuation allowance recorded against the state Research and Experimentation income tax credit, would affect the annual effective tax rate if these tax benefits are realized. Further, we are unaware of any positions for which it is reasonably possible that the total amounts of unrecognized tax benefits will significantly increase within the next twelve months. Based on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classify interest and penalties as a component of tax expense. Accrued interest and penalties are immaterial at September 30, 2022 and December 31, 2021 and are included in the unrecognized tax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Accrued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compensation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salary/wages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r>
      <w:tr>
        <w:trPr>
          <w:trHeight w:val="230"/>
        </w:trPr>
        <w:tc>
          <w:tcPr>
            <w:tcW w:w="7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social insurance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vacation/holiday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compensation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ind w:left="660" w:hanging="328"/>
        <w:spacing w:after="0" w:line="23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2022 and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Accrued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accrued liabilities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associated with fulfilled performance obligations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 and handling fees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claims costs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value added taxes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8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liability for product warranty claims costs were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(in cash or in kind) during the period</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Roku Matters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2018 Lawsuit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"PTAB") with respect to Roku's Inter Partes Review ("IPR") requests (see discussion below). This lawsuit continues to be stayed until such time as the IPR requests and all appeals with respect to them have concluded.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Trade Commission Investigation of Roku, TCL, Hisense and Funai</w:t>
      </w:r>
    </w:p>
    <w:p>
      <w:pPr>
        <w:spacing w:after="0" w:line="3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dismissed TCL, Hisense and Funai from this investigation as they either removed or limited the amount of our technology from their televisions as compared to our patent claims that we asserted at the time. On July 9, 2021, the Administrative Law Judge (the "ALJ") issued his Initial Determination (the "ID") finding that Roku is infringing our patents and as a result is in violation of §337 of the Tariff Act of 1930, as amended (the "Tariff Act"). On July 23, 2021, Roku and we filed petitions to appeal certain portions of the ID. On November 10, 2021, the full ITC issued its final determination affirming the ID and issuing a Limited Exclusion Order (the "LEO") and Cease and Desist Order (the "CDO") against Roku, which became effective on January 9, 2022. Roku continues to be subject to the LEO and CDO. On October 25, 2022, we filed our brief opposing Roku's appeal of the LEO.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2020 Lawsuit</w:t>
      </w: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and continue to be stayed pending the final results of the open IPR matters mentioned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 Partes Reviews</w:t>
      </w: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fourteen times, and granted Roku's request twelve times. Roku has since filed two additional IPRs on two of our patents not yet asserted against it, and we are awaiting the PTAB's institution decision with respect to those new IPR requests. Of the twelve IPR requests granted by the PTAB, the results were mixed, with the PTAB upholding the validity of many of our patent claims and invalidating others. We have and will appeal any PTAB decision that resulted in an invalidation of our patent claims.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Trade Commission Investigation Request Made by Roku against UEI and certain UEI Customers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8, 2021, Roku made a request to the ITC to initiate an investigation against us and certain of our customers claiming that certain of our and those customers' remote control devices and televisions infringe two of Roku's recently acquired patents, the '511 patent and the '875 patent. On May 10, 2021, the ITC announced its decision to initiate the requested investigation. Immediately prior to trial Roku stipulated to summary determination as to its complaint against us and two of our customers with respect to one of the two patents at issue. This stipulation resulted in the complaint against us and two of our customers with respect to that patent not going to trial. The trial was thus shortened and ended on January 24, 2022. On June 24, 2022, the ALJ, pursuant to Roku's stipulation, found the '511 patent invalid as indefinite. Thereafter, on June 28, 2022, the ALJ issued her ID fully exonerating us and our customers finding the '875 patent invalid and that Roku failed to prove it established the requisite domestic industry and thus no violation of the Tariff Act. In advance of the full Commission's review, Roku and we filed petitions to appeal certain portions of the ID. In addition, the PTAB granted our request for an IPR with respect to the '875 patent. On October 28, 2022, the full ITC issued its final determination affirming the ID, ruling there was no violation of the Tariff Act and terminated the investigation. Roku has 60 days after the issuance of the full ITC final determination to file an appeal. As a companion to its ITC request, Roku also filed a lawsuit against us and certain of our customers in Federal District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Court in the Central District of California alleging that we are infringing the same patents they alleged being infringed in the ITC investigation explained above. This District Court case has been and will likely continue to be stayed pending the conclusion of the '875 IPR investigation.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Court of International Trade Action against the United States of America, et. al.</w:t>
      </w:r>
    </w:p>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this complaint, Ecolink, RCS and we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Ecolink, RCS and we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Ecolink, RCS and we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Ecolink, RCS and us; to permanently enjoin the U.S. government from applying Lists 3 and 4A duties against Ecolink, RCS and us; and award Ecolink, RCS and us our costs and reasonable attorney's fees.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 arguments on dispositive motions filed on behalf of plaintiffs and defendants. On April 1, 2022, the CIT issued its opinion on these dispositive motions, ruling that the USTR had the legal authority to promulgate List 3 and List 4A under Section 307(a)(1)(B) of the Trade Act, but that the USTR violated the APA when it promulgated List 3 and List 4A concluding that the USTR failed to adequately explain its decision as required under the APA. The Court ordered that List 3 and List 4A be remanded to the USTR for reconsideration or further explanation regarding its rationale for imposing the tariffs. The Court declined to vacate List 3 and List 4A, which means that they are still in place while on remand. The Court's preliminary injunction regarding liquidation of entries also remains in effect. The Court initially set a deadline of June 30, 2022, for the USTR to complete this process, which was extended to August 1, 2022.</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2022, the USTR provided the Court with that further explanation and also purported to respond to the significant comments received during the original notice-and-comment process. On September 14, 2022, the lead plaintiff filed its comments to the USTR's August 1, 2022 filing, asserting that the USTR did not adequately respond to the Court's remand order and requested the Court to vacate the List 3 and List 4A tariffs and issue refunds immediately. The USTR's response to the lead plaintiff's comments is due on November 4, 2022, with the lead plaintiff's reply due on December 5, 2022. We expect the Court to rule on these filings in early 2023.</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Treasury Stock</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our Board of Directors authorizes management to repurchase shares of our issued and outstanding common stock. On February 10, 2022, our Board approved a share repurchase program with an effective date of February 22, 2022 (the "February 2022 Program"). Pursuant to the February 2022 Program, we were authorized to repurchase up to 300,000 shares of our common stock until the Program's expiration on May 5, 2022. Per the terms of the February 2022 Program, we could utilize various methods to effect the repurchases, including open market repurchases, negotiated block transactions, accelerated share repurchases or open market solicitations for shares, some or all of which could be effected through Rule 10b5-1 plans. As of May 2, 2022, we repurchased the full 300,000 shares under the February 2022 Program. Repurchased shares of our common stock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44,217</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Repurchased shares are recorded as shares held in treasury at cost. We hold these shares for future use as management and the Board of Directors deem appropriate.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for each employee and director is presented in the same statement of operations caption as their cash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by statement of operations caption and the related income tax benefit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2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directors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155"/>
        </w:trPr>
        <w:tc>
          <w:tcPr>
            <w:tcW w:w="46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employee and director stock-based compensation</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0" w:type="dxa"/>
            <w:vAlign w:val="bottom"/>
          </w:tcPr>
          <w:p>
            <w:pPr>
              <w:spacing w:after="0"/>
              <w:rPr>
                <w:sz w:val="1"/>
                <w:szCs w:val="1"/>
                <w:color w:val="auto"/>
              </w:rPr>
            </w:pPr>
          </w:p>
        </w:tc>
      </w:tr>
      <w:tr>
        <w:trPr>
          <w:trHeight w:val="221"/>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394" w:lineRule="exact"/>
        <w:rPr>
          <w:sz w:val="20"/>
          <w:szCs w:val="20"/>
          <w:color w:val="auto"/>
        </w:rPr>
      </w:pPr>
    </w:p>
    <w:p>
      <w:pPr>
        <w:jc w:val="right"/>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Number of Options</w:t>
      </w:r>
      <w:r>
        <w:rPr>
          <w:sz w:val="20"/>
          <w:szCs w:val="20"/>
          <w:color w:val="auto"/>
        </w:rPr>
        <w:tab/>
      </w:r>
      <w:r>
        <w:rPr>
          <w:rFonts w:ascii="Times New Roman" w:cs="Times New Roman" w:eastAsia="Times New Roman" w:hAnsi="Times New Roman"/>
          <w:sz w:val="14"/>
          <w:szCs w:val="14"/>
          <w:b w:val="1"/>
          <w:bCs w:val="1"/>
          <w:color w:val="auto"/>
        </w:rPr>
        <w:t>Weighted-Average</w:t>
      </w:r>
    </w:p>
    <w:p>
      <w:pPr>
        <w:spacing w:after="0" w:line="6" w:lineRule="exact"/>
        <w:rPr>
          <w:sz w:val="20"/>
          <w:szCs w:val="20"/>
          <w:color w:val="auto"/>
        </w:rPr>
      </w:pPr>
    </w:p>
    <w:p>
      <w:pPr>
        <w:ind w:left="5640"/>
        <w:spacing w:after="0"/>
        <w:tabs>
          <w:tab w:leader="none" w:pos="7100" w:val="left"/>
        </w:tabs>
        <w:rPr>
          <w:sz w:val="20"/>
          <w:szCs w:val="20"/>
          <w:color w:val="auto"/>
        </w:rPr>
      </w:pPr>
      <w:r>
        <w:rPr>
          <w:rFonts w:ascii="Times New Roman" w:cs="Times New Roman" w:eastAsia="Times New Roman" w:hAnsi="Times New Roman"/>
          <w:sz w:val="14"/>
          <w:szCs w:val="14"/>
          <w:b w:val="1"/>
          <w:bCs w:val="1"/>
          <w:color w:val="auto"/>
        </w:rPr>
        <w:t>(in thousands)</w:t>
      </w:r>
      <w:r>
        <w:rPr>
          <w:sz w:val="20"/>
          <w:szCs w:val="20"/>
          <w:color w:val="auto"/>
        </w:rPr>
        <w:tab/>
      </w:r>
      <w:r>
        <w:rPr>
          <w:rFonts w:ascii="Times New Roman" w:cs="Times New Roman" w:eastAsia="Times New Roman" w:hAnsi="Times New Roman"/>
          <w:sz w:val="14"/>
          <w:szCs w:val="14"/>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36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128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36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3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2">
            <w:col w:w="8120" w:space="360"/>
            <w:col w:w="2760"/>
          </w:cols>
          <w:pgMar w:left="320" w:top="114" w:right="339" w:bottom="1440" w:gutter="0" w:footer="0" w:header="0"/>
        </w:sectPr>
      </w:pPr>
    </w:p>
    <w:tbl>
      <w:tblPr>
        <w:tblLayout w:type="fixed"/>
        <w:tblInd w:w="0" w:type="dxa"/>
        <w:tblCellMar>
          <w:top w:w="0" w:type="dxa"/>
          <w:left w:w="0" w:type="dxa"/>
          <w:bottom w:w="0" w:type="dxa"/>
          <w:right w:w="0" w:type="dxa"/>
        </w:tblCellMar>
      </w:tblPr>
      <w:tr>
        <w:trPr>
          <w:trHeight w:val="23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2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Forfeited/canceled/expired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Outstanding at September 30, 2022 </w:t>
            </w:r>
            <w:r>
              <w:rPr>
                <w:rFonts w:ascii="Times New Roman" w:cs="Times New Roman" w:eastAsia="Times New Roman" w:hAnsi="Times New Roman"/>
                <w:sz w:val="23"/>
                <w:szCs w:val="23"/>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Vested and expected to vest at September 30, 2022 </w:t>
            </w:r>
            <w:r>
              <w:rPr>
                <w:rFonts w:ascii="Times New Roman" w:cs="Times New Roman" w:eastAsia="Times New Roman" w:hAnsi="Times New Roman"/>
                <w:sz w:val="23"/>
                <w:szCs w:val="23"/>
                <w:color w:val="auto"/>
                <w:vertAlign w:val="superscript"/>
              </w:rPr>
              <w:t>(1)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2"/>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866</w:t>
            </w:r>
          </w:p>
        </w:tc>
        <w:tc>
          <w:tcPr>
            <w:tcW w:w="6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Exercisable at September 30, 2022 </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660" w:hanging="328"/>
        <w:spacing w:after="0" w:line="235"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 represents the total pre-tax value (the difference between our closing stock price on the last trading day of the third quarter of 2022 and the exercise price, multiplied by the number of in-the-money options) that would have been received by the option holders had they all exercised their options on September 30, 2022. This amount will change based on the fair market value of our stock.</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assumptions we utilized in the Black-Scholes option pricing model and the resulting weighted average fair value of stock option grants were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90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3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grants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12.38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23.97</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48.49 %</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bl>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2022, we expect to recognize $2.8 million of total unrecognized pre-tax stock-based compensation expense related to non-vested stock options over a remaining weighted-average life of 1.9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restricted stock award activity was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5"/>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2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we expect to recognize $10.7 million of total unrecognized pre-tax stock-based compensation expense related to non-vested restricted stock awards over a weighted-average life of 1.8 years.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Performance-Based Common Stock Warrants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9, 2016, we issued common stock purchase warrants to Comcast Corporation ("Comcast") at a price of $54.55 per share. At September 30, 2022, 275,000 of these warrants were vested and outstanding. All vested warrants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to net sales recorded in connection with the warrants and the related income tax benefit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8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to net sales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Other Income (Expense), Net and Loss on Sale of Argentina Subsidiary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54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Net gain (loss) on foreign currency exchange contracts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36"/>
              <w:spacing w:after="0"/>
              <w:rPr>
                <w:sz w:val="20"/>
                <w:szCs w:val="20"/>
                <w:color w:val="auto"/>
              </w:rPr>
            </w:pPr>
            <w:r>
              <w:rPr>
                <w:rFonts w:ascii="Times New Roman" w:cs="Times New Roman" w:eastAsia="Times New Roman" w:hAnsi="Times New Roman"/>
                <w:sz w:val="18"/>
                <w:szCs w:val="18"/>
                <w:color w:val="auto"/>
                <w:w w:val="96"/>
              </w:rPr>
              <w:t>518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foreign currency exchange transactions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ind w:left="616"/>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represents the gains (losses) incurred on foreign currency hedging derivatives (see Note 18 for further details).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7, 2021, we completed the sale of our subsidiary, One For All Argentina S.R.L, to an unrelated party, recording a loss on sale of $6.1 million. Upon divestiture, the successor entity, OFA Express S.R.L., will serve as an authorized distributor of certain of our products in Argentina. OFA Express, S.R.L. is not a related party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Earnings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(loss) per share was calculated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for basic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12,656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13,392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13,622</w:t>
            </w:r>
          </w:p>
        </w:tc>
        <w:tc>
          <w:tcPr>
            <w:tcW w:w="0" w:type="dxa"/>
            <w:vAlign w:val="bottom"/>
          </w:tcPr>
          <w:p>
            <w:pPr>
              <w:spacing w:after="0"/>
              <w:rPr>
                <w:sz w:val="1"/>
                <w:szCs w:val="1"/>
                <w:color w:val="auto"/>
              </w:rPr>
            </w:pPr>
          </w:p>
        </w:tc>
      </w:tr>
      <w:tr>
        <w:trPr>
          <w:trHeight w:val="184"/>
        </w:trPr>
        <w:tc>
          <w:tcPr>
            <w:tcW w:w="5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Dilutive effect of stock options, restricted stock and common stock</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on a diluted basis</w:t>
            </w: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8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vMerge w:val="continue"/>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total net fair value of derivatives: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7"/>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40"/>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3"/>
                <w:szCs w:val="3"/>
                <w:color w:val="auto"/>
              </w:rPr>
            </w:pPr>
          </w:p>
        </w:tc>
        <w:tc>
          <w:tcPr>
            <w:tcW w:w="9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3"/>
                <w:szCs w:val="3"/>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3"/>
                <w:szCs w:val="3"/>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held foreign currency exchange contracts, which resulted in a net pre-tax loss of $0.6 million and pre-tax gain of $0.7 million for the three months ended September 30, 2022 and 2021, respectively. For the nine months ended September 30, 2022 and 2021, we had a net pre-tax gain of $0.5 million and $2.2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foreign currency exchange contracts held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Recorded at Balance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Sheet</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Date Held</w:t>
            </w:r>
          </w:p>
        </w:tc>
        <w:tc>
          <w:tcPr>
            <w:tcW w:w="24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20" w:type="dxa"/>
            <w:vAlign w:val="bottom"/>
            <w:gridSpan w:val="3"/>
            <w:vMerge w:val="continue"/>
          </w:tcPr>
          <w:p>
            <w:pPr>
              <w:spacing w:after="0"/>
              <w:rPr>
                <w:sz w:val="12"/>
                <w:szCs w:val="12"/>
                <w:color w:val="auto"/>
              </w:rPr>
            </w:pP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Forward Rate</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0" w:type="dxa"/>
            <w:vAlign w:val="bottom"/>
          </w:tcPr>
          <w:p>
            <w:pPr>
              <w:spacing w:after="0"/>
              <w:rPr>
                <w:sz w:val="1"/>
                <w:szCs w:val="1"/>
                <w:color w:val="auto"/>
              </w:rPr>
            </w:pPr>
          </w:p>
        </w:tc>
      </w:tr>
      <w:tr>
        <w:trPr>
          <w:trHeight w:val="203"/>
        </w:trPr>
        <w:tc>
          <w:tcPr>
            <w:tcW w:w="1980" w:type="dxa"/>
            <w:vAlign w:val="bottom"/>
            <w:gridSpan w:val="2"/>
            <w:vMerge w:val="continue"/>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(in thousands)</w:t>
            </w:r>
            <w:r>
              <w:rPr>
                <w:rFonts w:ascii="Times New Roman" w:cs="Times New Roman" w:eastAsia="Times New Roman" w:hAnsi="Times New Roman"/>
                <w:sz w:val="18"/>
                <w:szCs w:val="18"/>
                <w:b w:val="1"/>
                <w:bCs w:val="1"/>
                <w:color w:val="auto"/>
                <w:w w:val="98"/>
                <w:vertAlign w:val="superscript"/>
              </w:rPr>
              <w:t>(1)</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USD/Chinese Yuan Renminbi</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CNY</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28, 2022</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USD/Euro</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0.9687</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28, 2022</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USD/Chinese Yuan Renminbi</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7, 2022</w:t>
            </w:r>
          </w:p>
        </w:tc>
        <w:tc>
          <w:tcPr>
            <w:tcW w:w="0" w:type="dxa"/>
            <w:vAlign w:val="bottom"/>
          </w:tcPr>
          <w:p>
            <w:pPr>
              <w:spacing w:after="0"/>
              <w:rPr>
                <w:sz w:val="1"/>
                <w:szCs w:val="1"/>
                <w:color w:val="auto"/>
              </w:rPr>
            </w:pPr>
          </w:p>
        </w:tc>
      </w:tr>
      <w:tr>
        <w:trPr>
          <w:trHeight w:val="234"/>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USD/Euro</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7, 2022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20" w:hanging="328"/>
        <w:spacing w:after="0" w:line="229" w:lineRule="auto"/>
        <w:tabs>
          <w:tab w:leader="none" w:pos="64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Business Combination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2022, we acquired substantially all of the net assets of Qterics, a U.S.-based provider of multimedia connectivity solutions and services for internet-enabled consumer products. Under the terms of the Asset Purchase Agreement ("APA"), we paid a cash purchase price of approximately $0.9 million. The acquisition of these assets will allow us to expand our customer base in the OEM market.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income statement for the three and nine months ended September 30, 2022 includes net sales of $0.5 million and $1.4 million, respectively, and a net loss of $0.1 million and $25 thousand, respectively, attributable to Qterics for the period commencing on February 17, 2022.</w:t>
      </w:r>
    </w:p>
    <w:p>
      <w:pPr>
        <w:jc w:val="both"/>
        <w:spacing w:after="0" w:line="260" w:lineRule="auto"/>
        <w:rPr>
          <w:sz w:val="20"/>
          <w:szCs w:val="20"/>
          <w:color w:val="auto"/>
        </w:rPr>
      </w:pPr>
      <w:r>
        <w:rPr>
          <w:rFonts w:ascii="Times New Roman" w:cs="Times New Roman" w:eastAsia="Times New Roman" w:hAnsi="Times New Roman"/>
          <w:sz w:val="18"/>
          <w:szCs w:val="18"/>
          <w:color w:val="auto"/>
        </w:rPr>
        <w:t>In accordance with the terms of the APA, the initial purchase price was subject to adjustment for differences between the initial estimated working capital balances and the final adjusted balances. This calculation was completed at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Using the acquisition method of accounting, the acquisition date fair value of the consideration transferred was allocated to the net tangible and intangible assets acquired and liabilities assumed based on their fair values on the acquisition date. The excess of the purchase price over the estimated fair value of net assets acquired is recorded as goodwill. The goodwill is expected to be deductible for income tax purposes. Management's purchase price allocation as of September 30, 2022 was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60" w:type="dxa"/>
            <w:vAlign w:val="bottom"/>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Estimated Lives</w:t>
            </w:r>
          </w:p>
        </w:tc>
        <w:tc>
          <w:tcPr>
            <w:tcW w:w="17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Preliminary Fair Value</w:t>
            </w:r>
          </w:p>
        </w:tc>
      </w:tr>
      <w:tr>
        <w:trPr>
          <w:trHeight w:val="23"/>
        </w:trPr>
        <w:tc>
          <w:tcPr>
            <w:tcW w:w="72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rPr>
              <w:t>5 years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60" w:type="dxa"/>
            <w:vAlign w:val="bottom"/>
            <w:gridSpan w:val="3"/>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6 years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rPr>
              <w:t>6 years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260" w:type="dxa"/>
            <w:vAlign w:val="bottom"/>
            <w:gridSpan w:val="3"/>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6 years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260" w:type="dxa"/>
            <w:vAlign w:val="bottom"/>
            <w:gridSpan w:val="3"/>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3 years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3"/>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0"/>
        </w:trPr>
        <w:tc>
          <w:tcPr>
            <w:tcW w:w="7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assigned to the Qterics developed technology and trade names intangible assets were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the Qterics developed technology and trade names.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assigned to Qterics customer relationships intangible assets were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developed technology, trade names and customer relationships intangible assets are expected to be deductible for income tax purposes.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Results (unaudited)</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of combined results of our operations and the operations of Qterics as if the transaction had occurred on January 1, 2021, is immaterially different from the net sales, net income and income per share amounts reported in the Consolidated Statements of Operations for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the related notes that appear elsewhere in this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10-Q is filed with the SEC. Forward-looking statements include information related to the future effects on our business of the coronavirus pandemic ("COVID-19"); supply chain issues; other future demand and recovery trends and expectations; the delay by or failure of our customers to order products from us; the effects of natural or other events beyond our control, including the effects of political unrest, war (including the conflict between Russia and Ukraine) or terrorist activities may have on us or the economy; the economic environment's including increases in interest rates and recessionary effects on us or our customers; the effects of doing business internationally; our expectations regarding our ability to meet our liquidity requirements; our capital expenditures and other investment spending expectations; the timing and amount of future share repurchases;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2021 ("2021 Form 10-K"), Part II, Item 1A of this report, and other factors we describe from time to time in our periodic filings with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develop, manufacture, ship and support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203" w:lineRule="exact"/>
        <w:rPr>
          <w:sz w:val="20"/>
          <w:szCs w:val="20"/>
          <w:color w:val="auto"/>
        </w:rPr>
      </w:pPr>
    </w:p>
    <w:p>
      <w:pPr>
        <w:jc w:val="both"/>
        <w:ind w:left="9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easy-to-use, voice-enabled, automatically-programmed universal remote controls with two-way radio frequency ("RF") as well as infrared ("IR") remote controls, that are sold primarily to video service providers (cable, satellite, Internet Protocol television ("IPTV") and Over the Top ("OTT") services), original equipment manufacturers ("OEMs"), retailers, and private label customers;</w:t>
      </w:r>
    </w:p>
    <w:p>
      <w:pPr>
        <w:spacing w:after="0" w:line="13"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circuits ("ICs"), on which our software and universal device control database is embedded, sold primarily to OEMs, video service providers, and private label customers;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firmware and technology solutions that can enable devices such as TVs, set-top boxes, audio systems, smart speakers, game controllers and other consumer electronic and smart home devices to wirelessly connect and interact with home networks and interactive services to control and deliver home entertainment, smart home services and device or system information;</w:t>
      </w:r>
    </w:p>
    <w:p>
      <w:pPr>
        <w:spacing w:after="0" w:line="1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cloud-services that support our embedded software and hardware solutions (directly or indirectly) enabling software update and device provisioning services, as well as real-time device identification and system control with billions of transactions per year in device and data management;</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that we license primarily to OEMs and video service providers;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standards-based RF sensors designed for residential security, safety and home automation applications;</w:t>
      </w:r>
    </w:p>
    <w:p>
      <w:pPr>
        <w:spacing w:after="0" w:line="6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wall-mount and handheld thermostat controllers and connected accessories for intelligent energy management systems, primarily to OEM customers, as well as hotels and hospitality system integrators;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accessories sold, directly and indirectly, to consumers including universal remote controls, television wall mounts and stands and digital television antennas.</w:t>
      </w:r>
    </w:p>
    <w:p>
      <w:pPr>
        <w:spacing w:after="0" w:line="24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key factor in creating products and software for control of entertainment devices is our proprietary device knowledge graph. Since our beginning in 1986, we have compiled an extensive device control knowledge library that includes over 13,200 brands comprising over 1,018,000 device models across AV and smart home platforms, supported by many common smart home protocols, including IR, HDMI-CEC, Zigbee (Rf4CE) Z-Wave, and IP, as well as Home Network and Cloud Control.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device knowledge graph is backed by our unique device fingerprinting technology, which includes nearly 34.8 million unique device fingerprints across both AV and Smart Home devices.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devices. These control codes are captured directly from original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a number of patents in the United States and abroad related to our products and technology and have filed domestic and foreign applications for other patents that are pending. At September 30, 2022, we had 681 issued and pending U.S. patents related to remote control, home security, safety and automation, as well as hundreds of foreign counterpart patents and applications in various territories around the world.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one business segment. We have two domestic subsidiaries and 25 international subsidiaries located in Brazil, British Virgin Islands, France, Germany, Hong Kong (3), India, Italy, Japan, Korea, Mexico (2), the Netherlands, People's Republic of China (the "PRC") (7), Singapore, Spain, United Kingdom and Vietnam.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recap our results for the three months ended September 30, 2022:</w:t>
      </w:r>
    </w:p>
    <w:p>
      <w:pPr>
        <w:spacing w:after="0" w:line="252" w:lineRule="exact"/>
        <w:rPr>
          <w:sz w:val="20"/>
          <w:szCs w:val="20"/>
          <w:color w:val="auto"/>
        </w:rPr>
      </w:pPr>
    </w:p>
    <w:p>
      <w:pPr>
        <w:ind w:left="980" w:hanging="324"/>
        <w:spacing w:after="0" w:line="28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4.6% to $148.5 million for the three months ended September 30, 2022 from $155.6 million for the three months ended September 30, 2021.</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 percentage increased to 29.9% for the three months ended September 30, 2022 from 29.4% for the three months ended September 30, 2021.</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as a percentage of net sales, decreased to 22.2% for the three months ended September 30, 2022 from 23.7% for the three months ended September 30, 2021.</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income increased to $11.5 million for the three months ended September 30, 2022 from $8.9 million for the three months ended September 30, 2021. Our operating income percentage increased to 7.7% for the three months ended September 30, 2022 from 5.7% for the three months ended September 30, 2021.</w:t>
      </w:r>
    </w:p>
    <w:p>
      <w:pPr>
        <w:spacing w:after="0" w:line="1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increased to $3.5 million for the three months ended September 30, 2022 from $3.4 million for the three months ended September 30,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strategic business objectives for 2022 include the following:</w:t>
      </w:r>
    </w:p>
    <w:p>
      <w:pPr>
        <w:spacing w:after="0" w:line="25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market advanced remote control products and technologies our customer base is adopting;</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broaden our home control and home automation product offerings;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software and service offerings to deliver a complete managed service platform;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creating technology differentiation across our global product portfolio;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penetration of international subscription broadcasting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 in historically strong regions;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with existing customers;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seek acquisitions or strategic partners that complement and strengthen our existing business;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long-term factory planning strategy of reducing our concentration risk in the People's Republic of China.</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and Supply Chain Impact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COVID-19 pandemic continues to be a complex and evolving situation and continues to have a material impact on our business. Local lockdowns near our southern China factory during the last two weeks of the first quarter of 2022 temporarily caused labor shortages that negatively affected our ability to manufacture at full capacity and to meet customer demand. As of the date of the filing of this Form 10-Q, our southern China factory and our other factories are operating at or near labor capacity. The global health crisis caused by the COVID-19 pandemic may continue to negatively impact our business.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been negatively impacted by supply chain difficulties including obtaining ICs and other long-lead time components and we expect this to continue into 2023. While we are taking production and inventory control steps to mitigate the effects caused by these shortages including advanced purchasing of long-lead time components, we cannot guarantee that these steps will allow us to meet our short-term IC and other component parts needs. As such, these supply constraints continue to cause difficulty and delays in our ability to fulfill customer orders and have at times resulted in increased logistics costs. In addition, many of our products are paired with certain of our customers' products, like set-top boxes or televisions. If those customers are not able to obtain sufficient quantities of ICs for their products, their demand for our products may decrease.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operational and financial impact of the above is highly dependent on the risk factors disclosed under the headings "Risks Relating to COVID-19" and "Risks Relating to Operations" in Part I, Item 1A, "Risk Factors," of our 2021 Form 10-K and could be affected by other factors we are not currently able to predict.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negatively impacted and we expect to continue to be negatively impacted by adverse macroeconomic conditions. Inflation has increased our component and logistics costs. While we have been able to increase sales prices on certain products, we may not be able to fully offset the impact of increased material costs which would negatively impact our gross profit. Our cost of labor, materials and borrowing may continue to increase which would negatively impact our business and financial results. In addition, we expect recessionary fears in the global economy will ultimately negatively impact our sales demand.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nine months ended September 30, 2022 to the items that we disclosed as our critical accounting policies and estimates in Item 7, "Management's Discussion and Analysis of Financial Condition and Results of Operations" contained in our 2021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reported results of operations expressed as a percentage of net sales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1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40" w:type="dxa"/>
            <w:vAlign w:val="bottom"/>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Argentina subsidiary</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4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1"/>
        </w:trPr>
        <w:tc>
          <w:tcPr>
            <w:tcW w:w="4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versus Three Months Ended September 30, 2021</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the three months ended September 30, 2022 were $148.5 million compared to $155.6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Our retail channel experienced the largest decrease in sales when compared to the prior year period as a result of macroeconomic headwinds and the loss of a customer in North America.</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three months ended September 30, 2022 was $44.4 million compared to $45.8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Gross profit as a percentage of sales increased to 29.9% for the three months ended September 30, 2022 from 29.4% for the three months ended September 30, 2021. Gross profit as a percentage of sales was favorably impacted by a mix shift toward higher margin products as well as the strengthening of the U.S. Dollar.</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increased to $8.0 million for the three months ended September 30, 2022 from $7.4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prior year period. The increase in R&amp;D expenses is due to an increase in product development activities as we continue to expand our portfolio of products in HVAC, home security and home automation.</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decreased to $24.9 million for the three months ended September 30,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$29.5 million for the three months ended September 30, 2021, primarily due to a decrease in outside legal expenses related to a specific legal matter.</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expense, net increased to $0.7 million for the three months ended September 30, 2022 from $0.2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2021, as a result of a higher average loan balance and a higher interest rate.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sale of Argentina subsidiary. </w:t>
      </w:r>
      <w:r>
        <w:rPr>
          <w:rFonts w:ascii="Times New Roman" w:cs="Times New Roman" w:eastAsia="Times New Roman" w:hAnsi="Times New Roman"/>
          <w:sz w:val="18"/>
          <w:szCs w:val="18"/>
          <w:color w:val="auto"/>
        </w:rPr>
        <w:t>During the three months ended September 30, 2021, we completed the sale of our subsidiary, One For All Argentina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S.R.L, recording a loss on sale of $6.1 million. The loss was primarily attributable to the weakening of the Argentinian Peso versus the U.S. Dollar resulting in a loss in equity value in our Argentina subsidiary and ultimately sales proceeds that were significantly less than the invested capital.</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expense, net decreased to $0.1 million for the three months ended September 30, 2022 from $0.2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as a result of a decrease in foreign currency losses.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expense was $3.5 million for the three months ended September 30, 2022, representing an effective tax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32.9% compared to income tax expense of $3.4 million for the three months ended September 30, 2021, representing an effective tax rate of 138.4%. Consistent with 2021, we expect the U.S. to be in a pre-tax loss position without benefit for the full year 2022, resulting in an elevated tax rate. In addition, recent legislative changes for research and experimentation costs and creditability of certain foreign income taxes have resulted in a modest increase to our effective tax rate.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versus Nine Months Ended September 30, 2021</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the nine months ended September 30, 2022 were $420.0 million, a decrease compared to $456.7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Sales in our subscription broadcast channel were lower than the prior year period due primarily to component shortages and lower customer demand. Sales in our retail channel were also lower than the prior year period due to macroeconomic headwinds and the loss of a customer in North America.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nine months ended September 30, 2022 was $120.1 million compared to $136.9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Gross profit as a percentage of sales decreased to 28.6% for the nine months ended September 30, 2022 from 30.0% for the nine months ended September 30, 2021. Gross profit as a percentage of sales was unfavorably impacted by inflationary pressures associated with raw materials and components, freight costs and wages. Partially offsetting these unfavorable impacts were sales price increases on certain products, which were implemented throughout the first two quarters of 2022.</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R&amp;D expenses increased to $24.5 million for the nine months ended September 30, 2022 from $23.0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year period. The increase in R&amp;D expenses is due to an increase in product development activities as we continue to expand our portfolio of products in HVAC, home security and home automation.</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decreased to $79.2 million for the nine months ended September 30, 2022 from $87.3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2021, primarily due to a decrease in outside legal expenses related to a specific legal matter.</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expense, net increased to $1.1 million for the nine months ended September 30, 2022 from $0.4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as a result of a higher average loan balance and a higher interest rate.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sale of Argentina subsidiary. </w:t>
      </w:r>
      <w:r>
        <w:rPr>
          <w:rFonts w:ascii="Times New Roman" w:cs="Times New Roman" w:eastAsia="Times New Roman" w:hAnsi="Times New Roman"/>
          <w:sz w:val="18"/>
          <w:szCs w:val="18"/>
          <w:color w:val="auto"/>
        </w:rPr>
        <w:t>During the nine months ended September 30, 2021, we completed the sale of our subsidiary, One For All Argentina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S.R.L, recording a loss on sale of $6.1 million. The loss was primarily attributable to the weakening of the Argentinian Peso versus the U.S. Dollar resulting in a loss in equity value in our Argentina subsidiary and ultimately sales proceeds that were significantly less than the invested capital.</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expense, net was $0.4 million for the nine months ended September 30, 2022, as a result of a one-time expense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have filed an insurance claim, compared to $0.2 million for the nine months ended September 30, 2021, as a result of net foreign currency losses offset partially by miscellaneous non-operating gains.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expense was $7.6 million for the nine months ended September 30, 2022, representing an effective tax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50.9% compared to income tax expense of $8.3 million for the nine months ended September 30, 2021, representing an effective tax rate of 41.5%. Consistent with 2021, we expect the U.S. to be in a pre-tax loss position without benefit for the full year 2022, resulting in an elevated effective tax rate. In addition, recent legislative changes for research and experimentation costs and creditability of certain foreign income taxes have resulted in a modest increase to our effective tax 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revolving line of credit to fund an increased level of share repurchases and acquisitions. We anticipate that we will continue to utilize both cash flows from operations and our revolving line of credit to support ongoing business operations, capital expenditures, expenses associated with our long-term factory planning strategy, future discretionary share repurchases and potential future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is subject to various risks including the risks discussed under "Item 3. Quantitative and Qualitative Disclosures about Market Risk."</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16"/>
                <w:szCs w:val="16"/>
                <w:color w:val="auto"/>
              </w:rPr>
            </w:pPr>
          </w:p>
        </w:tc>
        <w:tc>
          <w:tcPr>
            <w:tcW w:w="18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60,813</w:t>
            </w:r>
          </w:p>
        </w:tc>
      </w:tr>
      <w:tr>
        <w:trPr>
          <w:trHeight w:val="23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borrowing resources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66,300</w:t>
            </w:r>
          </w:p>
        </w:tc>
      </w:tr>
    </w:tbl>
    <w:p>
      <w:pPr>
        <w:spacing w:after="0" w:line="3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term deposit </w:t>
      </w:r>
      <w:r>
        <w:rPr>
          <w:rFonts w:ascii="Times New Roman" w:cs="Times New Roman" w:eastAsia="Times New Roman" w:hAnsi="Times New Roman"/>
          <w:sz w:val="18"/>
          <w:szCs w:val="18"/>
          <w:color w:val="auto"/>
        </w:rPr>
        <w:t>– On September 30, 2022, we had $5.9 million, $14.5 million, $20.1 million, $10.0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$11.2 million of cash and cash equivalents in North America, the PRC, Asia (excluding the PRC), Europe, and South America, respectively. In addition, at September 30, 2022, we had a one-year term deposit of $0.2 million, which will mature on January 25, 2023. We attempt to mitigate our exposure to liquidity, credit and other relevant risks by placing our cash, cash equivalents, and term deposits with financial institutions we believe are high quality.</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balances are held in numerous locations throughout the world. The majority of our cash is held outside of the United States and may be repatriated to the United States but, under current law, may be subject to state income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Available Borrowing Resources </w:t>
      </w:r>
      <w:r>
        <w:rPr>
          <w:rFonts w:ascii="Times New Roman" w:cs="Times New Roman" w:eastAsia="Times New Roman" w:hAnsi="Times New Roman"/>
          <w:sz w:val="18"/>
          <w:szCs w:val="18"/>
          <w:color w:val="auto"/>
        </w:rPr>
        <w:t>– Our Second Amended and Restated Credit Agreement ("Second Amended Credit Agreement") with U.S.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Association ("U.S. Bank") provides for a $125.0 million revolving line of credit ("Credit Line") that expires on November 1, 2023.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September 30, 2022. At September 30, 2022, we had an outstanding balance of $88.0 million on our Credit Line and $34.3 million of availability.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contained in the "Notes to Consolidated Financial Statements" for further information regarding our Credit Line.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3"/>
                <w:szCs w:val="13"/>
                <w:color w:val="auto"/>
              </w:rPr>
            </w:pPr>
          </w:p>
        </w:tc>
        <w:tc>
          <w:tcPr>
            <w:tcW w:w="15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13"/>
                <w:szCs w:val="13"/>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40" w:type="dxa"/>
            <w:vAlign w:val="bottom"/>
          </w:tcPr>
          <w:p>
            <w:pPr>
              <w:spacing w:after="0"/>
              <w:rPr>
                <w:sz w:val="17"/>
                <w:szCs w:val="17"/>
                <w:color w:val="auto"/>
              </w:rPr>
            </w:pPr>
          </w:p>
        </w:tc>
        <w:tc>
          <w:tcPr>
            <w:tcW w:w="15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29"/>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(10,226)</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 equivalents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40" w:type="dxa"/>
            <w:vAlign w:val="bottom"/>
          </w:tcPr>
          <w:p>
            <w:pPr>
              <w:spacing w:after="0"/>
              <w:rPr>
                <w:sz w:val="24"/>
                <w:szCs w:val="24"/>
                <w:color w:val="auto"/>
              </w:rPr>
            </w:pPr>
          </w:p>
        </w:tc>
        <w:tc>
          <w:tcPr>
            <w:tcW w:w="15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24"/>
                <w:szCs w:val="24"/>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was $0.1 million during the nine months ended September 30, 2022 compared to $22.9 million during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Net income was $7.3 million for the nine months ended September 30, 2022 compared to net income of $11.6 million for the nine months ended September 30, 2021. Inventories increased by $8.5 million during the nine months ended September 30, 2022 compared to an increase of $4.5 million during the nine months ended September 30, 2021. We are currently in a unique environment where certain components, most prominently ICs, are in short supply. The lead times associated with these components have increased significantly; consequently, when an opportunity arises to procure more than what is needed at a given period of time, we are proceeding with the purchase. This has currently led to us carrying more inventory than is optimal. Our inventory turns decreased to 2.5 turns at September 30, 2022 compared to 3.4 turns at September 30, 2021. Changes in accounts payable and accrued liabilities resulted in cash outflows of $17.2 million during the nine months ended September 30, 2022 compared to cash outflows of $7.4 million during the nine months ended September 30, 2021 largely as a result of the timing of inventory purchases and related payments.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fourth quarter of 2022, we expect component shortages will continue to have an adverse effect on cash flows with some relief beginning to occur in the first half of 2023. In addition, we expect to commence manufacturing operations in a new factory in Vietnam in the first half of 2023, which, in the short term, may result in manufacturing inefficiencies that could turn to higher costs.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for investing activities </w:t>
      </w:r>
      <w:r>
        <w:rPr>
          <w:rFonts w:ascii="Times New Roman" w:cs="Times New Roman" w:eastAsia="Times New Roman" w:hAnsi="Times New Roman"/>
          <w:sz w:val="18"/>
          <w:szCs w:val="18"/>
          <w:color w:val="auto"/>
        </w:rPr>
        <w:t>during the nine months ended September 30, 2022 was $15.7 million, of which $7.5 million, $0.9 million, $10.1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$4.7 million was used for the purchase of our term deposit investment, acquisition of Qterics Inc., capital expenditures, and the development of patents, respectively. Offsetting these amounts was $7.6 million received upon the redemption of our term deposit investment. Net cash used for investing activities during the nine months ended September 30, 2021 was $12.4 million, of which $8.8 million and $3.6 million was used for capital expenditures and the development of patents, respectively.</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cash flows used for investing activities are largely dependent on the timing and amount of capital expenditures. We estimate that we will incur expenditures of between $3.0 million and $5.0 million during the remainder of 2022, which includes amounts associated with our factory in Vietnam, which we anticipate commencing operations in the first half of 2023.</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was $20.7 million during the nine months ended September 30, 2022 compared to net cash used for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$10.2 million during the nine months ended September 30, 2021. The increase in cash provided by financing activities was primarily driven by a decrease in our common stock repurchases. During the nine months ended September 30, 2022, we repurchased 358,035 shares of our common stock at a cost of $11.3 million compared to our repurchase of 858,670 shares at a cost of $44.2 million during the nine months ended September 30, 2021.</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Given the recent decrease in the price of our common stock, we may opportunistically purchase additional shares of our common stock. See Note 13 contained in "Notes to Consolidated Financial Statements" for further information regarding our share repurchase programs.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 Cash Commitments </w:t>
      </w:r>
      <w:r>
        <w:rPr>
          <w:rFonts w:ascii="Times New Roman" w:cs="Times New Roman" w:eastAsia="Times New Roman" w:hAnsi="Times New Roman"/>
          <w:sz w:val="18"/>
          <w:szCs w:val="18"/>
          <w:color w:val="auto"/>
        </w:rPr>
        <w:t>– The following table summarizes our material cash commitments and the effect these commitments are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on our cash flows in future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4 - 5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line="131"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5"/>
        </w:trPr>
        <w:tc>
          <w:tcPr>
            <w:tcW w:w="4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3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4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5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purchases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 license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material cash commitments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anticipate meeting our material cash commitments with our cash generated from operations and available borrowing resources, including our Credit 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$0.7 million annual impact on net income based on our outstanding Credit Line balance at September 30, 2022.</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September 30, 2022,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Hong Kong Dollar, Brazilian Real, Japanese Yen and Korean Won.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Indian Rupee, Hong Kong Dollar, Japanese Yen and Korean Won and therefore benefit from a stronger U.S. Dollar and are adversely affected by a weaker U.S. Dollar relative to these foreign currencies. For the Euro, British Pound and Brazilian Real, we are generally a net receiver of the foreign currency and therefore benefit from a weaker U.S. Dollar and are adversely affected by a stronger U.S. Dollar relative to these foreign currencies. Even where we are a net receiver, a weaker U.S. Dollar may adversely affect certain expense figures taken alone.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September 30, 2022, we believe that movements in foreign currency rates may have a material effect on our financial position and results of operations. We estimate that if the exchange rates for the Chinese Yuan Renminbi, Euro, British Pound, Mexican Peso, Indian Rupee, Brazilian Real, and Japanese Yen relative to the U.S. Dollar fluctuate 10% from September 30, 2022, net income in the fourth quarter of 2022 would fluctuate by approximately $7.5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The discussion of our litigation matters contained in "Notes to Consolidated Financial Statements - Note 12"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reader should carefully consider, in connection with the other information in this report, the risk factors discussed in "Part I, Item 1A: Risk Factors" of the Company's 2021 Form 10-K and in the periodic reports we have filed since then. These factors may cause our actual results to differ materially from those stated in forward-looking statements contained in this document and elsewhere.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three months ended September 30, 2022, our total stock repurchases, average price paid per share and the maximum number of shares that may yet be purchased on the open market under our plans or programs: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160" w:type="dxa"/>
            <w:vAlign w:val="bottom"/>
            <w:vMerge w:val="restart"/>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160" w:type="dxa"/>
            <w:vAlign w:val="bottom"/>
          </w:tcPr>
          <w:p>
            <w:pPr>
              <w:jc w:val="center"/>
              <w:ind w:left="38"/>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203"/>
        </w:trPr>
        <w:tc>
          <w:tcPr>
            <w:tcW w:w="4180" w:type="dxa"/>
            <w:vAlign w:val="bottom"/>
            <w:gridSpan w:val="2"/>
            <w:vMerge w:val="continue"/>
          </w:tcPr>
          <w:p>
            <w:pPr>
              <w:spacing w:after="0"/>
              <w:rPr>
                <w:sz w:val="17"/>
                <w:szCs w:val="17"/>
                <w:color w:val="auto"/>
              </w:rPr>
            </w:pPr>
          </w:p>
        </w:tc>
        <w:tc>
          <w:tcPr>
            <w:tcW w:w="1440" w:type="dxa"/>
            <w:vAlign w:val="bottom"/>
          </w:tcPr>
          <w:p>
            <w:pPr>
              <w:jc w:val="right"/>
              <w:ind w:right="1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16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 July 31, 2022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2022 - August 31,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20" w:type="dxa"/>
            <w:vAlign w:val="bottom"/>
          </w:tcPr>
          <w:p>
            <w:pPr>
              <w:spacing w:after="0"/>
              <w:rPr>
                <w:sz w:val="19"/>
                <w:szCs w:val="19"/>
                <w:color w:val="auto"/>
              </w:rPr>
            </w:pPr>
          </w:p>
        </w:tc>
        <w:tc>
          <w:tcPr>
            <w:tcW w:w="1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 September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Pr>
          <w:p>
            <w:pPr>
              <w:spacing w:after="0"/>
              <w:rPr>
                <w:sz w:val="19"/>
                <w:szCs w:val="19"/>
                <w:color w:val="auto"/>
              </w:rPr>
            </w:pPr>
          </w:p>
        </w:tc>
        <w:tc>
          <w:tcPr>
            <w:tcW w:w="18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the repurchases in July and August, 625 and 2,852 shares, respectively, represent common shares of the Company that were owned and tendered by employees to satisfy tax withholding obligations in connection with the vesting of restricted shares.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2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31.1</w:t>
            </w:r>
          </w:p>
        </w:tc>
        <w:tc>
          <w:tcPr>
            <w:tcW w:w="9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 Certifications of Paul D. Arling, Chief Executive Officer (principal executive officer) of Universal Electronics Inc.</w:t>
            </w:r>
          </w:p>
        </w:tc>
        <w:tc>
          <w:tcPr>
            <w:tcW w:w="280" w:type="dxa"/>
            <w:vAlign w:val="bottom"/>
            <w:gridSpan w:val="2"/>
          </w:tcPr>
          <w:p>
            <w:pPr>
              <w:spacing w:after="0"/>
              <w:rPr>
                <w:sz w:val="24"/>
                <w:szCs w:val="24"/>
                <w:color w:val="auto"/>
              </w:rPr>
            </w:pPr>
          </w:p>
        </w:tc>
      </w:tr>
      <w:tr>
        <w:trPr>
          <w:trHeight w:val="264"/>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31.2</w:t>
            </w:r>
          </w:p>
        </w:tc>
        <w:tc>
          <w:tcPr>
            <w:tcW w:w="9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Rule 13a-14(a) Certifications of Bryan M. Hackworth, Chief Financial Officer (principal financial officer and principal accounting</w:t>
            </w:r>
          </w:p>
        </w:tc>
      </w:tr>
      <w:tr>
        <w:trPr>
          <w:trHeight w:val="155"/>
        </w:trPr>
        <w:tc>
          <w:tcPr>
            <w:tcW w:w="1380" w:type="dxa"/>
            <w:vAlign w:val="bottom"/>
          </w:tcPr>
          <w:p>
            <w:pPr>
              <w:spacing w:after="0"/>
              <w:rPr>
                <w:sz w:val="13"/>
                <w:szCs w:val="13"/>
                <w:color w:val="auto"/>
              </w:rPr>
            </w:pPr>
          </w:p>
        </w:tc>
        <w:tc>
          <w:tcPr>
            <w:tcW w:w="26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officer) of Universal Electronics Inc.</w:t>
            </w:r>
          </w:p>
        </w:tc>
        <w:tc>
          <w:tcPr>
            <w:tcW w:w="70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90" w:lineRule="exact"/>
        <w:rPr>
          <w:sz w:val="20"/>
          <w:szCs w:val="20"/>
          <w:color w:val="auto"/>
        </w:rPr>
      </w:pPr>
    </w:p>
    <w:p>
      <w:pPr>
        <w:jc w:val="both"/>
        <w:ind w:left="1540" w:hanging="1372"/>
        <w:spacing w:after="0" w:line="231"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5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49" w:lineRule="exact"/>
        <w:rPr>
          <w:sz w:val="20"/>
          <w:szCs w:val="20"/>
          <w:color w:val="auto"/>
        </w:rPr>
      </w:pPr>
    </w:p>
    <w:p>
      <w:pPr>
        <w:ind w:left="1540" w:hanging="1372"/>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4, 2022</w:t>
            </w:r>
          </w:p>
        </w:tc>
        <w:tc>
          <w:tcPr>
            <w:tcW w:w="74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r>
      <w:tr>
        <w:trPr>
          <w:trHeight w:val="283"/>
        </w:trPr>
        <w:tc>
          <w:tcPr>
            <w:tcW w:w="3720" w:type="dxa"/>
            <w:vAlign w:val="bottom"/>
          </w:tcPr>
          <w:p>
            <w:pPr>
              <w:spacing w:after="0"/>
              <w:rPr>
                <w:sz w:val="24"/>
                <w:szCs w:val="24"/>
                <w:color w:val="auto"/>
              </w:rPr>
            </w:pPr>
          </w:p>
        </w:tc>
        <w:tc>
          <w:tcPr>
            <w:tcW w:w="24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Bryan M. Hackworth</w:t>
            </w:r>
          </w:p>
        </w:tc>
      </w:tr>
      <w:tr>
        <w:trPr>
          <w:trHeight w:val="218"/>
        </w:trPr>
        <w:tc>
          <w:tcPr>
            <w:tcW w:w="37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Bryan M. Hackworth</w:t>
            </w:r>
          </w:p>
        </w:tc>
      </w:tr>
      <w:tr>
        <w:trPr>
          <w:trHeight w:val="229"/>
        </w:trPr>
        <w:tc>
          <w:tcPr>
            <w:tcW w:w="37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34"/>
        </w:trPr>
        <w:tc>
          <w:tcPr>
            <w:tcW w:w="37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1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340" w:firstLine="154"/>
        <w:spacing w:after="0" w:line="282" w:lineRule="auto"/>
        <w:tabs>
          <w:tab w:leader="none" w:pos="74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340" w:firstLine="154"/>
        <w:spacing w:after="0" w:line="282" w:lineRule="auto"/>
        <w:tabs>
          <w:tab w:leader="none" w:pos="71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26" w:lineRule="exact"/>
        <w:rPr>
          <w:rFonts w:ascii="Times New Roman" w:cs="Times New Roman" w:eastAsia="Times New Roman" w:hAnsi="Times New Roman"/>
          <w:sz w:val="18"/>
          <w:szCs w:val="18"/>
          <w:color w:val="auto"/>
        </w:rPr>
      </w:pPr>
    </w:p>
    <w:p>
      <w:pPr>
        <w:ind w:left="340" w:firstLine="154"/>
        <w:spacing w:after="0" w:line="282" w:lineRule="auto"/>
        <w:tabs>
          <w:tab w:leader="none" w:pos="71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0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22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D. Arling</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1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40" w:firstLine="154"/>
        <w:spacing w:after="0" w:line="282" w:lineRule="auto"/>
        <w:tabs>
          <w:tab w:leader="none" w:pos="74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0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22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ind w:left="20"/>
        <w:spacing w:after="0" w:line="203" w:lineRule="auto"/>
        <w:rPr>
          <w:sz w:val="20"/>
          <w:szCs w:val="20"/>
          <w:color w:val="auto"/>
        </w:rPr>
      </w:pPr>
      <w:r>
        <w:rPr>
          <w:rFonts w:ascii="Times New Roman" w:cs="Times New Roman" w:eastAsia="Times New Roman" w:hAnsi="Times New Roman"/>
          <w:sz w:val="18"/>
          <w:szCs w:val="18"/>
          <w:color w:val="auto"/>
        </w:rPr>
        <w:t>(principal financial officer</w:t>
      </w:r>
    </w:p>
    <w:p>
      <w:pPr>
        <w:ind w:left="20"/>
        <w:spacing w:after="0"/>
        <w:rPr>
          <w:sz w:val="20"/>
          <w:szCs w:val="20"/>
          <w:color w:val="auto"/>
        </w:rPr>
      </w:pPr>
      <w:r>
        <w:rPr>
          <w:rFonts w:ascii="Times New Roman" w:cs="Times New Roman" w:eastAsia="Times New Roman" w:hAnsi="Times New Roman"/>
          <w:sz w:val="18"/>
          <w:szCs w:val="18"/>
          <w:color w:val="auto"/>
        </w:rPr>
        <w:t>and principal accounting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2022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4, 2022</w:t>
            </w:r>
          </w:p>
        </w:tc>
        <w:tc>
          <w:tcPr>
            <w:tcW w:w="608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Paul D. Arling</w:t>
            </w:r>
          </w:p>
        </w:tc>
      </w:tr>
      <w:tr>
        <w:trPr>
          <w:trHeight w:val="218"/>
        </w:trPr>
        <w:tc>
          <w:tcPr>
            <w:tcW w:w="4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D. Arling</w:t>
            </w:r>
          </w:p>
        </w:tc>
      </w:tr>
      <w:tr>
        <w:trPr>
          <w:trHeight w:val="230"/>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9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4960" w:type="dxa"/>
            <w:vAlign w:val="bottom"/>
          </w:tcPr>
          <w:p>
            <w:pPr>
              <w:spacing w:after="0"/>
              <w:rPr>
                <w:sz w:val="24"/>
                <w:szCs w:val="24"/>
                <w:color w:val="auto"/>
              </w:rPr>
            </w:pPr>
          </w:p>
        </w:tc>
        <w:tc>
          <w:tcPr>
            <w:tcW w:w="608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Bryan M. Hackworth</w:t>
            </w:r>
          </w:p>
        </w:tc>
      </w:tr>
      <w:tr>
        <w:trPr>
          <w:trHeight w:val="218"/>
        </w:trPr>
        <w:tc>
          <w:tcPr>
            <w:tcW w:w="4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Bryan M. Hackworth</w:t>
            </w:r>
          </w:p>
        </w:tc>
      </w:tr>
      <w:tr>
        <w:trPr>
          <w:trHeight w:val="229"/>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49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9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32"/>
    </w:lvl>
  </w:abstractNum>
  <w:abstractNum w:abstractNumId="19">
    <w:nsid w:val="628C895D"/>
    <w:multiLevelType w:val="hybridMultilevel"/>
    <w:lvl w:ilvl="0">
      <w:lvlJc w:val="left"/>
      <w:lvlText w:val="%1"/>
      <w:numFmt w:val="decimal"/>
      <w:start w:val="104"/>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2022-11-04T16:16:09Z</dcterms:created>
  <dcterms:modified xsi:type="dcterms:W3CDTF">2022-11-04T16:16:09Z</dcterms:modified>
</cp:coreProperties>
</file>