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41" w:lineRule="exact"/>
        <w:rPr>
          <w:sz w:val="24"/>
          <w:szCs w:val="24"/>
          <w:color w:val="auto"/>
        </w:rPr>
      </w:pPr>
    </w:p>
    <w:p>
      <w:pPr>
        <w:ind w:left="680" w:right="50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6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2023</w:t>
      </w:r>
    </w:p>
    <w:p>
      <w:pPr>
        <w:spacing w:after="0" w:line="9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0" w:lineRule="exact"/>
        <w:rPr>
          <w:sz w:val="24"/>
          <w:szCs w:val="24"/>
          <w:color w:val="auto"/>
        </w:rPr>
      </w:pPr>
    </w:p>
    <w:p>
      <w:pPr>
        <w:ind w:left="460"/>
        <w:spacing w:after="0"/>
        <w:tabs>
          <w:tab w:leader="none" w:pos="388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9" w:lineRule="exact"/>
        <w:rPr>
          <w:sz w:val="24"/>
          <w:szCs w:val="24"/>
          <w:color w:val="auto"/>
        </w:rPr>
      </w:pPr>
    </w:p>
    <w:tbl>
      <w:tblPr>
        <w:tblLayout w:type="fixed"/>
        <w:tblInd w:w="1740" w:type="dxa"/>
        <w:tblCellMar>
          <w:top w:w="0" w:type="dxa"/>
          <w:left w:w="0" w:type="dxa"/>
          <w:bottom w:w="0" w:type="dxa"/>
          <w:right w:w="0" w:type="dxa"/>
        </w:tblCellMar>
      </w:tblPr>
      <w:tr>
        <w:trPr>
          <w:trHeight w:val="227"/>
        </w:trPr>
        <w:tc>
          <w:tcPr>
            <w:tcW w:w="406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48"/>
        </w:trPr>
        <w:tc>
          <w:tcPr>
            <w:tcW w:w="406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tcPr>
          <w:p>
            <w:pPr>
              <w:jc w:val="center"/>
              <w:ind w:left="20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610"/>
        </w:trPr>
        <w:tc>
          <w:tcPr>
            <w:tcW w:w="8620" w:type="dxa"/>
            <w:vAlign w:val="bottom"/>
            <w:gridSpan w:val="4"/>
          </w:tcPr>
          <w:p>
            <w:pPr>
              <w:jc w:val="center"/>
              <w:ind w:left="25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None</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83"/>
        </w:trPr>
        <w:tc>
          <w:tcPr>
            <w:tcW w:w="3740" w:type="dxa"/>
            <w:vAlign w:val="bottom"/>
          </w:tcPr>
          <w:p>
            <w:pPr>
              <w:spacing w:after="0"/>
              <w:rPr>
                <w:sz w:val="24"/>
                <w:szCs w:val="24"/>
                <w:color w:val="auto"/>
              </w:rPr>
            </w:pPr>
          </w:p>
        </w:tc>
        <w:tc>
          <w:tcPr>
            <w:tcW w:w="4880" w:type="dxa"/>
            <w:vAlign w:val="bottom"/>
            <w:gridSpan w:val="3"/>
          </w:tcPr>
          <w:p>
            <w:pPr>
              <w:jc w:val="center"/>
              <w:ind w:right="1070"/>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9"/>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9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16"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Times New Roman" w:cs="Times New Roman" w:eastAsia="Times New Roman" w:hAnsi="Times New Roman"/>
          <w:sz w:val="18"/>
          <w:szCs w:val="18"/>
          <w:color w:val="211D1E"/>
        </w:rPr>
        <w:t>"</w:t>
      </w:r>
      <w:r>
        <w:rPr>
          <w:rFonts w:ascii="Times New Roman" w:cs="Times New Roman" w:eastAsia="Times New Roman" w:hAnsi="Times New Roman"/>
          <w:sz w:val="18"/>
          <w:szCs w:val="18"/>
          <w:color w:val="auto"/>
        </w:rPr>
        <w:t xml:space="preserve"> in Rule 12b-2 of the Exchange Act.</w:t>
      </w:r>
    </w:p>
    <w:p>
      <w:pPr>
        <w:spacing w:after="0" w:line="338" w:lineRule="exact"/>
        <w:rPr>
          <w:sz w:val="24"/>
          <w:szCs w:val="24"/>
          <w:color w:val="auto"/>
        </w:rPr>
      </w:pPr>
    </w:p>
    <w:tbl>
      <w:tblPr>
        <w:tblLayout w:type="fixed"/>
        <w:tblInd w:w="2680" w:type="dxa"/>
        <w:tblCellMar>
          <w:top w:w="0" w:type="dxa"/>
          <w:left w:w="0" w:type="dxa"/>
          <w:bottom w:w="0" w:type="dxa"/>
          <w:right w:w="0" w:type="dxa"/>
        </w:tblCellMar>
      </w:tblP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223" w:right="31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on June 30, 2023, the last business day of the registrant's most recently completed second fiscal quarter, was $121,923,836 based upon the closing sale price of the Company's common stock as reported on the NASDAQ Stock Market for that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2024, 12,967,869 shares of Common Stock, par value $.01 per share, of the registrant were outstanding.</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notice of annual meeting of shareholders and proxy statement to be filed pursuant to Regulation 14A within 120 days after registrant's fiscal year end of December 31, 2023 are incorporated by reference into Part III of this Form 10-K. The Proxy Statement will be filed with the Securities and Exchange Commission no later than April 29,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stated, the information contained in this Form 10-K is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gridSpan w:val="6"/>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0"/>
        </w:trPr>
        <w:tc>
          <w:tcPr>
            <w:tcW w:w="20" w:type="dxa"/>
            <w:vAlign w:val="bottom"/>
          </w:tcPr>
          <w:p>
            <w:pPr>
              <w:spacing w:after="0"/>
              <w:rPr>
                <w:sz w:val="13"/>
                <w:szCs w:val="13"/>
                <w:color w:val="auto"/>
              </w:rPr>
            </w:pPr>
          </w:p>
        </w:tc>
        <w:tc>
          <w:tcPr>
            <w:tcW w:w="10440" w:type="dxa"/>
            <w:vAlign w:val="bottom"/>
            <w:gridSpan w:val="2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5"/>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1032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1A Risk Factors</w:t>
            </w:r>
          </w:p>
        </w:tc>
        <w:tc>
          <w:tcPr>
            <w:tcW w:w="9260" w:type="dxa"/>
            <w:vAlign w:val="bottom"/>
            <w:gridSpan w:val="18"/>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1B Unresolved Staff Comments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1C Cybersecurity</w:t>
            </w:r>
          </w:p>
        </w:tc>
        <w:tc>
          <w:tcPr>
            <w:tcW w:w="1020" w:type="dxa"/>
            <w:vAlign w:val="bottom"/>
            <w:gridSpan w:val="6"/>
          </w:tcPr>
          <w:p>
            <w:pPr>
              <w:spacing w:after="0"/>
              <w:rPr>
                <w:sz w:val="18"/>
                <w:szCs w:val="18"/>
                <w:color w:val="auto"/>
              </w:rPr>
            </w:pPr>
          </w:p>
        </w:tc>
        <w:tc>
          <w:tcPr>
            <w:tcW w:w="8140" w:type="dxa"/>
            <w:vAlign w:val="bottom"/>
            <w:gridSpan w:val="11"/>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Properties</w:t>
            </w:r>
          </w:p>
        </w:tc>
        <w:tc>
          <w:tcPr>
            <w:tcW w:w="400" w:type="dxa"/>
            <w:vAlign w:val="bottom"/>
            <w:gridSpan w:val="3"/>
          </w:tcPr>
          <w:p>
            <w:pPr>
              <w:spacing w:after="0"/>
              <w:rPr>
                <w:sz w:val="18"/>
                <w:szCs w:val="18"/>
                <w:color w:val="auto"/>
              </w:rPr>
            </w:pPr>
          </w:p>
        </w:tc>
        <w:tc>
          <w:tcPr>
            <w:tcW w:w="9160" w:type="dxa"/>
            <w:vAlign w:val="bottom"/>
            <w:gridSpan w:val="1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1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960" w:type="dxa"/>
            <w:vAlign w:val="bottom"/>
            <w:gridSpan w:val="1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032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80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224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88"/>
              </w:rPr>
              <w:t>[Reserved]</w:t>
            </w:r>
          </w:p>
        </w:tc>
        <w:tc>
          <w:tcPr>
            <w:tcW w:w="7320" w:type="dxa"/>
            <w:vAlign w:val="bottom"/>
            <w:gridSpan w:val="19"/>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6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7A Quantitative and Qualitative Disclosures About Market Risk</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45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820" w:type="dxa"/>
            <w:vAlign w:val="bottom"/>
            <w:gridSpan w:val="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64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9A Controls and Procedures</w:t>
            </w:r>
          </w:p>
        </w:tc>
        <w:tc>
          <w:tcPr>
            <w:tcW w:w="4560" w:type="dxa"/>
            <w:vAlign w:val="bottom"/>
            <w:gridSpan w:val="9"/>
          </w:tcPr>
          <w:p>
            <w:pPr>
              <w:spacing w:after="0"/>
              <w:rPr>
                <w:sz w:val="18"/>
                <w:szCs w:val="18"/>
                <w:color w:val="auto"/>
              </w:rPr>
            </w:pP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9B Other Information</w:t>
            </w:r>
          </w:p>
        </w:tc>
        <w:tc>
          <w:tcPr>
            <w:tcW w:w="440" w:type="dxa"/>
            <w:vAlign w:val="bottom"/>
            <w:gridSpan w:val="3"/>
          </w:tcPr>
          <w:p>
            <w:pPr>
              <w:spacing w:after="0"/>
              <w:rPr>
                <w:sz w:val="18"/>
                <w:szCs w:val="18"/>
                <w:color w:val="auto"/>
              </w:rPr>
            </w:pPr>
          </w:p>
        </w:tc>
        <w:tc>
          <w:tcPr>
            <w:tcW w:w="8420" w:type="dxa"/>
            <w:vAlign w:val="bottom"/>
            <w:gridSpan w:val="1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9C Disclosure Regarding Foreign Jurisdictions that Prevent Inspections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11 Executive Compensation</w:t>
            </w:r>
          </w:p>
        </w:tc>
        <w:tc>
          <w:tcPr>
            <w:tcW w:w="6120" w:type="dxa"/>
            <w:vAlign w:val="bottom"/>
            <w:gridSpan w:val="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12 Security Ownership of Certain Beneficial Owners and Management and Related Stockholder Matters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2920" w:type="dxa"/>
            <w:vAlign w:val="bottom"/>
            <w:gridSpan w:val="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4760" w:type="dxa"/>
            <w:vAlign w:val="bottom"/>
            <w:gridSpan w:val="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16 Form 10-K Summary</w:t>
            </w:r>
          </w:p>
        </w:tc>
        <w:tc>
          <w:tcPr>
            <w:tcW w:w="7060" w:type="dxa"/>
            <w:vAlign w:val="bottom"/>
            <w:gridSpan w:val="9"/>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660" w:type="dxa"/>
            <w:vAlign w:val="bottom"/>
            <w:gridSpan w:val="1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40" w:type="dxa"/>
            <w:vAlign w:val="bottom"/>
          </w:tcPr>
          <w:p>
            <w:pPr>
              <w:spacing w:after="0"/>
              <w:rPr>
                <w:sz w:val="18"/>
                <w:szCs w:val="18"/>
                <w:color w:val="auto"/>
              </w:rPr>
            </w:pPr>
          </w:p>
        </w:tc>
      </w:tr>
      <w:tr>
        <w:trPr>
          <w:trHeight w:val="1472"/>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Universal Electronics Inc. ("UEI" or the "Company")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to the contrary.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comprised of one reportable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203" w:lineRule="exact"/>
        <w:rPr>
          <w:sz w:val="20"/>
          <w:szCs w:val="20"/>
          <w:color w:val="auto"/>
        </w:rPr>
      </w:pPr>
    </w:p>
    <w:p>
      <w:pPr>
        <w:jc w:val="both"/>
        <w:ind w:left="980" w:hanging="324"/>
        <w:spacing w:after="0" w:line="257"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easy-to-use, voice-enabled, automatically-programmed universal,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wall-mount and handheld thermostat controllers and connected accessories for smart energy management systems, primarily to OEM customers, as well as hotels, hospitality and system integrators;</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standards-based RF sensors designed for residential security, safety and home automation applications;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technology solutions that can enable devices such as Smart TVs, hybrid set-top boxes, audio systems, smart speakers, game consoles and other consumer electronic and smart home devices to wirelessly connect and interoperate within home networks to enable control and delivery of home entertainment, smart home services and device or system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cloud-services that support our embedded software and hardware solutions (directly or indirectly) enabling real-time device identification and system control;</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that we license primarily to OEMs and video service providers;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and cloud-enabled software for reliable firmware update provisioning and digital rights management validation services to major consumer electronics brands; and</w:t>
      </w:r>
    </w:p>
    <w:p>
      <w:pPr>
        <w:ind w:left="980" w:hanging="324"/>
        <w:spacing w:after="0" w:line="26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accessories sold, directly and indirectly, to consumers including universal remote controls, television wall mounts and stands and digital television antennas.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sales channel strategy is to partner with customers who are leaders in their respective industries: in consumer electronics, we count Samsung Electronics Co., Sony Group Corporation and LG Electronics as long-term accounts that represent a significant share of their industry; in video services, Comcast Corporation, Liberty Global and Vodafone Group rank amongst the largest video service providers in their respective markets; in Satellite services, Dish Network Corporation, Sky, Airtel and DirecTV represent the majority of global service providers; in climate control, Daikin Industries Ltd., Trane and Carrier are customers that represent top market share leaders in the global HVAC industry; and in security, safety and home automation, Vivint Smart Home, Somfy SA, Ring LLC and Hunter Douglas NV are channel leaders in their respective connected home markets.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methods for our control solutions vary depending on the sales channel. We distribute remote control devices, ICs, home security sensors, connected thermostats and AV accessories directly to video and security service providers and OEMs, both domestically and internationally. We also distribute home security sensors and connected thermostats to pro-security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installers and hospitality system integrators in the United States and Europe through a network of national and regional distributors and dealers.</w:t>
      </w: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we sell our wireless control devices and AV accessories under the One For All®, Ecolink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private label brand names to retailers in key markets, such as in the United States, United Kingdom, Germany, France, Spain, and Italy. We utilize third-party distributors for the retail channel in countries where we do not have subsidiaries.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goal is to provide universal and interoperable control solutions that automatically set up and deliver consistent and intuitive one-touch control of all connected content sources and devices. Over the past five years, we have focused our developments to create core technology solutions that we can offer as stand-alone licensable technologies or as embedded ingredients in our turnkey products or white-label solutions.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flagship solution, QuickSet® ("QuickSet") is a software application that can be embedded in any entertainment or smart home platform, or can be delivered as a cloud-based service, through QuickSet Cloud, to enable universal device setup, interoperability and control. QuickSet and QuickSet Cloud utilize data transmitted over HDMI, low power RF (such as Bluetooth or Zigbee), and Internet Protocol ("IP") networks to automatically detect various attributes of connected devices and enables user access and control of smart, connected devices as well as legacy devices, without the need for the user to enter any specific device information. With QuickSet and QuickSet Cloud, consumers can switch easily between activities and reliably view their chosen device or content with a single touch. A QuickSet and QuickSet Cloud user experience can be delivered via a tactile remote, touchscreen interface, on-screen graphical user interface or voice-enabled system.</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QuickSet and QuickSet Cloud are integral components of our products and services and are used by our customers as the primary solution for easy discovery, control and interaction between entertainment and smart home devices. Today, QuickSet smart home services are the technology behind LG TV's Home Dashboard, providing a complete and simplified system control experience for households worldwide. The platform is continuously expanded with new capabilities including enhanced communication protocols, such as Matter, IP, Zigbee 3.0, Zigbee RF4CE, Consumer Electronics Control ("CEC") and infrared. Licensees of QuickSet and/or QuickSet Cloud include service providers such as Comcast Corporation, Charter Communications, TiVo, DIRECTV and DISH Network Corporation; smart TV manufacturers such as Sony Group Corporation, LG Electronics and Samsung Electronics Co.; leading game console manufacturer Sony on its PlayStation 5 remote control; and has grown to include HVAC and emerging home automation customers.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latest release of QuickSet has expanded functionality for entertainment and whole home audio use cases to provide deeper device and content history across an ever-increasing landscape of devices and services in the home. This privacy-first approach in capturing user preferences across devices helps increase engagement through enhanced personalized recommendations for a better end-user experience. QuickSet’s content history capabilities also extended to new categories of content usage in the home such as whole home audio as well as audio/video casting.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UEI’s QuickSet Widgets provide fully managed Internet of Things ("IoT") capability to non-connected electronic devices for fast time-to-market and enable digital transformation of end-user interaction. It is expanding to include native support of Matter across the QuickSet Widget family with Virtual Agent-assisted easy onboarding. This will enable products powered by the QuickSet Widget including the UEI TIDE family of Smart Thermostats to be Matter-capable.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UEI TIDE, a white label smart thermostat platform designed for HVAC OEMs as well as hospitality-branded applications, offers native cloud connectivity, features our latest device management and lifecycle support services which simplify setup and control and allows interoperability with a variety of smart home devices and ecosystems. The smart thermostat line includes all the necessary connectivity technologies to address the evolving smart home, including seamless connection to the cloud over Wi-Fi plus local device connectivity via Bluetooth Smart, Zigbee and Infrared, including support for Matter, the industry's latest smart home connectivity standard.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our commitment to create environmentally-sustainable solutions that do not compromise but enhance product performance, we offer UEI Eterna, a line of voice-enabled control solutions designed with our new generation of Extreme Low-Power System-on-Chip and energy harvesting technologies to deliver increased processing capability while using significantly less power compared to prior generations. The energy-harvesting version features our "Battery-4-Life" technology that relies on collecting energy from the environment's ambient light and radio frequencies to deliver a control solution that is designed to require no battery replacement over the useful life of the product.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UEI Virtual Agent, an innovative self-service support solution, simplifies device onboarding by allowing customers to seamlessly hand-off the set-up process from a large screen (SmartTV) to a smaller one (mobile phone). Integrated into the latest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version of QuickSet, UEI Virtual Agent provides automated steps for onboarding, feature discovery and troubleshooting capabilities and is available both as a web-based application and a TV app for integration into existing infrastructures. UEI Virtual Agent, when bundled with our newest set of UEI NetReady services for remote diagnostics and customer support, will further enhance the support experience for products already deployed in the home.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our sales to Daikin Industries Ltd. accounted for 14.0%, 14.4% and 11.8% of our net sales, respectively. For the years ended December 31, 2022 and 2021, our sales to Comcast Corporation accounted for 14.0% and 16.3% of our net sales,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we have seen a significant change in our markets with the rise of the direct-to-consumer streaming video apps that are enabled on smart TVs and streaming devices as well as advanced set-top boxes. This has resulted in a change in mix in our customer base, especially in the U.S., where our traditional customers in cable and satellite have been complemented with new customers in the digital media streaming domain. Today our portfolio includes universal control products compatible with Apple's tvOS and Google's AndroidTV platforms designed for the Multichannel Video Programming Distributor market allowing subscribers access to subscription-based channels through hybrid and OTT streaming platforms.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some of our current customers have successfully introduced media streaming services and expanded their footprint to new end-users. Comcast-Charter's Xumo TV, Tivo Stream, Comcast's Flex, Sky Glass and DISH Sling are examples of current customer offerings of these types of services. Additionally, these brands, along with our OEM customers in consumer electronics are expanding their customer footprints through distribution of their OS platforms that include UEI's QuickSet technologies, allowing us to grow our global technology footprint and grow our licensing revenue in those channels.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we have seen our markets in Home Entertainment OEM, and especially our SmartTV OEMs, successfully upgrade to streaming service aggregators. The advanced TV interfaces on Smart TVs and related streaming devices offer platforms for personalized advertising and smart home services which is expected to ensure demand for our wireless and wired control products, microcontrollers and software technology.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competitors in the home entertainment market are Remote Solutions, Home Control International, SMK, Ohsung, Tech4Home and Ruwido. In the international retail and private label markets for wireless controls we compete primarily with a variety of accessory trading and branding companies like Jasco and Hama, as well as various manufacturers of wireless controls in Asia. Our primary competitors in the OEM market are the OEMs themselves and various wireless control manufacturers in Asia.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Leveraging our scale and expertise in low-power RF microcontrollers, we continue to pursue further penetration of our traditional OEM consumer electronics markets as well as newer product categories in the smart home and IoT markets including smart lighting, smart and motorized shades, as well as smart toilets and faucets, which rely on smart connectivity and control technologies to reduce water use and improve user experience. Customers in these markets integrate our connectivity and cloud-based solutions, services and technology into their products to enhance their consumer lifestyle ecosystems. Growth in these markets has been driven by the increasing demand for more energy efficient homes, consumer convenience and the increasing proliferation of connected devices.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home security, safety and automation, we offer universal sub-gigahertz products that are compatible with the top security panel manufacturers, such as Honeywell, GE, Tyco/DSC and 2GIG. In the Do-It-Yourself ("DIY") residential security channel, we offer sensor-based products using industry standard Z-Wave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protocols. In this market, we compete with offshore-based, original design and built-to-print hardware manufacturers, such as Leedarson. In the connected smart home market, we compete with the OEMs themselves as well as wireless manufacturers in North America, such as Nice, and other original design manufacturers in Asia, as well as technology system providers such as Tuya.</w:t>
      </w: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HVAC controller and thermostat market, we compete with regional specialists and global companies such as Honeywell and Venstar, as well as Far East based OEM manufacturers such as Computime.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in our markets on the basis of product quality, enhanced features, intellectual property, local design and development expertise, local development support and end-user support. We believe that we will need to continue to introduce new and innovative products and software solutions to remain competitive and to recruit and retain competent personnel to successfully accomplish our future objectives.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25 domestic and international subsidiaries are the following:</w:t>
      </w:r>
    </w:p>
    <w:p>
      <w:pPr>
        <w:spacing w:after="0" w:line="25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Development Ltd., established in Hong Kong;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Mexico Distribution Co., S. de R.L. de C.V., established in Mexico;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Mexico Remote Controls, S. de R.L. de C.V., established in Mexico;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Ecolink Intelligent Technology, Inc.; established under the laws of Delaware;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Enson Assets Ltd., established in the British Virgin Islands;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Polyfirst Ltd., established in Hong Kong;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Gemstar Technology (Qinzhou) Co. Ltd., established in the People's Republic of China ("PRC");</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Technology (Yangzhou)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Universal Electronics Service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France S.A.S., established in France;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GmbH, established in Germany;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Iberia S.L., established in Spain;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UK Ltd., established in the United Kingdom;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Qinzhou Universal Trading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Japan Ltd., established in Japan;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Korea Ltd., established in South Korea;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Singapore Pte. Ltd., established in Singapore;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Vietnam Company Limited, established in Vietnam;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Electronics Pte. Ltd., established in India;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Hong Kong Pte. Ltd., established in Hong Kong;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B.V., established in the Netherlands;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Italia S.R.L., established in Italy;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Yangzhou Co. Ltd., established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do Brasil Ltda., established in Brazil;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Yangzhou Universal Trading Co. Ltd., established in the PRC.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our engineering efforts focused on the following:</w:t>
      </w:r>
    </w:p>
    <w:p>
      <w:pPr>
        <w:spacing w:after="0" w:line="25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product and technology portfolio;</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features and capabilities of our existing technology platforms;</w:t>
      </w:r>
    </w:p>
    <w:p>
      <w:pPr>
        <w:spacing w:after="0" w:line="9" w:lineRule="exact"/>
        <w:rPr>
          <w:rFonts w:ascii="Times New Roman" w:cs="Times New Roman" w:eastAsia="Times New Roman" w:hAnsi="Times New Roman"/>
          <w:sz w:val="18"/>
          <w:szCs w:val="18"/>
          <w:color w:val="auto"/>
        </w:rPr>
      </w:pPr>
    </w:p>
    <w:p>
      <w:pPr>
        <w:ind w:left="980" w:hanging="324"/>
        <w:spacing w:after="0" w:line="243"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core technology platforms and modifying the applications in our existing products to improve functionality and enhance customer value;</w:t>
      </w:r>
    </w:p>
    <w:p>
      <w:pPr>
        <w:spacing w:after="0" w:line="1"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continuous and efficient supply chain by relocating certain manufacturing to lower cost jurisdictions;</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sustainable products that reduce energy use and eliminate waste;</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measures to protect our proprietary technology and general know-how;</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interoperability device and services libraries worldwide to ensure broader smart home category support;</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testing and sourcing non-critical off-the-shelf products from vendors worldwide that complement our product portfolio for certain market verticals;</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products that integrate emerging wireless technology protocols, such as Matter and Thread;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cloud platform to create value-add features that can scale across a large installed base of customers and end users.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our advanced engineering efforts focused on further developing our existing products, services and technologies. We released software updates to our embedded QuickSet application, and continued development initiatives around existing and emerging technologies, such as Zigbee 3.0, Bluetooth Smart, WiFi and Matter, a unifying, IP-based connectivity protocol built on proven technologies designed to connect smart home devices reliably and securely across disparate IoT ecosystems. We integrated the capabilities of our service platform (UEI Virtual Agent) on our Tide and Eterna product platforms for easier device onboarding, identification and troubleshooting.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contributor to the Matter specification, we continue to be an active participant in several working groups and Plugfest events to help bring the full interoperability potential of the Matter standard to market. At CES 2024, we announced several new Matter-supported products and technology platforms.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our technical staff are involved in various industry organizations and bodies, which are in the process of setting standards for IR and RF communication and networking in the home. Our participation ensures comprehensive understanding of the technical specifications being developed that can affect the deployment and proliferation of future standards and technologies in the home.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research and development ("R&amp;D") activities, there can be no assurance that any of our R&amp;D projects will be successfully completed or ultimately achieve commercial success.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and Technology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factor in creating products and software for control of entertainment and smart home devices is our proprietary device knowledge. Each year our device discovery and control libraries continue to grow across the smart home landscape, supporting many common smart home protocols, including IR, HDMI-CEC, Bluetooth and its variants, Zigbee (Rf4CE), Z-Wave, Thread, Matter and IP networks.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 broad portfolio of patented technologies and the industry's leading database of device discovery, setup and control software. We ship integrated circuits, on which our software and control libraries are embedded and that connect to our cloud services, directly to manufacturers for inclusion in their products. In addition, we license our software and technology to manufacturers.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technology also includes other remote controlled home entertainment devices and home automation control modules, as well as wired CEC and wireless IP control protocols commonly found on many of the latest HDMI and internet connected devices. Our proprietary software automatically detects, identifies and enables the appropriate control infrastructure for many home entertainment and automation devices in the home. Our libraries are continuously updated using knowledge captured directly from the original device or from the manufacturers' written specifications to ensure the accuracy and integrity of the libraries.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and apply for patents in the United States and abroad related to our discovery, setup and control technologies across residential safety and security, climate control and smart home automation applications. Our patents have remaining lives ranging from less than one to 18 years. We have also obtained copyright registration and claim copyright protection for certain proprietary software and libraries of our device control libraries.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operate vertically integrated manufacturing and assembly factories in the PRC, Vietnam, Mexico and Brazil, which allows us to produce in the regional markets and to scale our production to meet growing demand. We also use selected third-party manufacturers and suppliers in Asia.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long-term factory planning strategy is to de-risk our reliance on a PRC-based supply chain by (1) reducing our manufacturing concentration in the PRC, (2) pursuing lower cost jurisdictions for manufacturing to help ensure market competitive products and (3) offering customers a flexible and globally diverse manufacturing footprint to provide a reliable and cost-efficient supply chain. To this end, in 2023, we opened a new factory in Vietnam, which commenced manufacturing operations in June 2023 after incurring startup costs in the first half of 2023. With our Vietnam factory now open and meeting short-term operational targets, with the expectation of continued improvement, we stopped manufacturing activities in our southwestern China factory in September 2023 and have substantially completed its shutdown. We continue to evaluate our Mexico facility as part of our long-term factory planning strategy. We are currently planning to downsize and streamline the Mexico operations by moving to a smaller, more efficient facility. We expect to commence operations in this downsized facility in the second quarter of 2024. We will continue to evaluate our global factory footprint to identify ways to operate more efficiently.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operate two factories in the PRC, one factory in Vietnam and manufacturing and assembly plants in Mexico and Brazil, respectively, we continue to evaluate additional third-party manufacturers and sources of supply. During 2023, we utilized multiple third-party manufacturers and maintained duplicate tooling for certain of our products. Where possible, we utilize standard parts and components, which are available from multiple sources.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large consumer of integrated circuits, including low-power, RF chips and modules that are used throughout our product portfolios.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Our largest integrated circuit supplier, Qorvo International Pte Ltd., provided 11.5% and 11.8% of our total inventory purchases in 2022 and 2021, respectively.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manufacturing process consists of plastic injection molding, keypad molding, coating or painting, surface mount technology, assembly, software installation, functional testing, packaging,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 facilities in Mexico and in Yangzhou, PRC are also certified to the TL 9000 Standard, which is the telecom industry's unique extension to ISO 9001:2015. Our manufacturing facilities are certified to the ISO 14001:2015 International Standard for environmental management systems. In addition, our manufacturing facilities in Yangzhou, PRC have also achieved ISO 45001 International Standard for safety and health management systems.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reducing the environmental impact of our operations. We are evaluating the use of renewable energy and our teams continue to examine practices and processes throughout our facilities to identify opportunities for greater energy efficiency. Each of our manufacturing facilities has standing policies and targets for the monitoring and management of waste generation and energy consumption and is focused on reducing electricity consumption, water usage and greenhouse gas emissions.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member of the Responsible Business Alliance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In addition, UEI is committed to complying with applicable laws and regulations of the countries in which we operate and supporting ethical labor practices that do not infringe on human rights. We follow RBA guidelines for the supplier risk assessment process, requiring relevant suppliers of raw materials and components to complete the RBA self-assessment questionnaire ("SAQ"). Upon completion of the RBA SAQ, we have the ability to request an on-site RBA Validated Audit Process audit using the RBA online system for any suppliers that are identified as high-risk.</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observance of quality standards by our suppliers, we require suppliers to adhere to our Global Supplier Code of Conduct and Fair Competition Policy ("Supplier Code of Conduct"), which is available on our website. Our Supplier Code of Conduct sets forth our global expectations in the areas of fair dealing, legal compliance, business integrity, labor practices, health and safety and environmental management.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other things, we require our suppliers to respect human rights and to not engage in any form of involuntary or forced labor and to fully comply with all laws and regulations pertaining to the appropriate and dignified treatment of all workers. Our Global Human Rights Policy is aligned with internationally recognized human rights principles defined by the Universal Declaration of Human Rights and the United Nations Guiding Principles on Business and Human Rights. We also provide training to relevant employees to help identify and report any signs of forced labor or other unlawful labor practices. We have a third-party confidential ethics hotline ("the UEI Ethics Line") to enable our employees or other stakeholders to anonymously report any suspected violations of applicable laws, policies or human rights violations. We are committed to investigating all communications received on the UEI Ethics Line.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face significant costs and liabilities in connection with product take-back and "right to repair" legislation. For example, the European Union's Waste Electrical and Electronic Equipment ("WEEE") Directive makes producers of electrical goods financially responsible for specified collection, recycling, treatment, and disposal of past and future covered products. Our European subsidiaries are WEEE compliant.</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2023, 2022 and 2021, the costs incurred in complying with federal, state, local and foreign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due to the heightened awareness of corporate environmental, social and governance ("ESG") matters and evolving laws and regulations or enforcement policies, increases in compliance costs may have a material adverse effect upon our capital expenditures, earnings or financial condition.</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committed to reducing and eliminating substances of concern from our products and manufacturing process. Our products distributed in the European Union are compliant with the RoHS (Restriction of Hazardous Substances Directive 2011/65/EU and 2015/863/EU)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comprised of engineers and environmental regulation experts, that analyze our products, processes, and raw materials to help ensure that we comply with environmental and government regulations worldwide, as well as the applicable "Green" requirements imposed by our customers. Additionally, we have in-house testing capability to help ensure product compliance. We place great importance on the compliance with local health and safety laws and regulations. At our manufacturing facilities, we are also committed to protecting our workers from exposure to hazardous substances under an established health and safety management system. As an example, we have replaced volatile organic compounds ("VOC") emitting inks and paints with reduced-VOC paints at some of our manufacturing facilities.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strive to extend the useful life of our products and reduce our products' impact on the environment. We have invested in R&amp;D to improve the energy efficiency of our battery-operated products. For example, we deploy a low energy IR-engine in some of our products, which can extend battery life regardless of the protocols utilized by the product. We have introduced our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substantially less battery power. In addition, to reduce energy consumption even further, we are actively working on solutions powered by low-light solar cells for the entertainment remote control and IoT markets.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a product refurbishment program to our customers where we reclaim, refurbish and recycle pre-owned remote controls. Under this program, major components in pre-owned remote control units are reused or recycled. For example, the printed circuit board assemblies ("PCBA") are cleaned, tested and reused, or plastics are reground to be reused.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nations where we have operations or otherwise conduct business, we are also subject to tariffs, import/export controls, and other trade-related laws and limitations. These limits, regulations, and tariffs, especially those pertaining to or affecting relations between the United States and the PRC, might significantly disrupt our business, affecting our capacity to manufacture, source components and sell goods.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supply chain and products are expected to become increasingly subject to federal, state, local and foreign laws, regulations, and international treaties relating to climate change, such as climate disclosure, carbon pricing or product energy efficiency requirements. We strive to continually improve the energy and carbon efficiency of our operations, supply chain and product portfolio and deliver more cost-effective and lower carbon technology solutions to our customers. We believe that technology will be fundamental to finding solutions to achieve compliance with and manage those requirements. Our Board of Directors (the "Board"), specifically the Corporate Governance, Sustainability and Nominating Committee, is responsible for risk oversight, which includes relevant environmental-related risks such as climate change.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Government regulations are subject to change; therefore, we are unable to predict the impact of complying with potential future requirements or whether doing so will materially affect our operations, financial situation or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employed 4,177 members of staff across our worldwide facilities. Of this staff, 3,127 are associated with our manufacturing and supply chain organizations in the PRC, Mexico, Vietnam and Brazil. Beyond the manufacturing and supply chain organizations, 649 of staff work in engineering and R&amp;D, 117 in sales, marketing, consumer service and support and 284 in executive and administrative functions.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the PRC, as is standard practice, we work with third-party agencies who have recruited and provided us with workers to support our production activities. Since the fourth quarter of 2021, these third-party agencies have been required to adhere to our Supplier Code of Conduct, which among other things, prohibits the use of forced labor and sets forth requirements on fair dealing, legal compliance, business integrity, labor practices, health and safety and environmental management.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staff is located around the globe at different office and development locations. Our R&amp;D locations are as follows:</w:t>
      </w:r>
    </w:p>
    <w:p>
      <w:pPr>
        <w:spacing w:after="0" w:line="25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engineering, architecture and cloud teams are located in Santa Ana, California, and Scottsdale, Arizona;</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architecture, software and service teams are located in Santa Ana and San Mateo,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engineering and R&amp;D teams are located in Carlsbad,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thermostat engineering and R&amp;D teams are located in Santa Ana and Poway, California;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engineering teams are located in Panyu and Suzhou in the PRC;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device database teams are located in Bangalore, India;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software services team focused on support software solutions is located in Plymouth, Minnesota.</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Next to these specialized centers of excellence, we employ engineering, sales and marketing and support staff in many of our regional offices in the United States, The Netherlands, Hong Kong, PRC, Brazil, India, Japan, Korea, Singapore and Mexico.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Equal Opportunity Employer and are committed to providing a workplace free of discrimination, harassment and retaliation for all employees and we value equality, opportunity and respect. Our Code of Conduct covers topics related to inclusion and anti-discrimination. We encourage any employee who believes they are the subject of discrimination, harassment or retaliation to express concerns without fear of retribution or retaliation to their immediate supervisors, any senior-level managers, or through the UEI Ethics Line.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Labor unions represent approximately 20.0% of our 4,177 employees as of December 31, 2023.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Additionally, workers at our Vietnam facility are covered by a collective bargaining agreement. These workers represent approximately 10.0% of our 4,177 employees as of December 31, 2023.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our employees, contractors, visitors and the communities in which we operate is paramount. We are committed to reducing or eliminating health and safety risks through our health and safety programs, including effective control measures, emergency response plans and training programs. This commitment is outlined in our Global Health and Safety Policy. As a member of RBA, we also adhere to the standards of the RBA Code of Conduct to ensure working conditions are safe throughout our supply chain.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our business has been influenced by the retail sales cycle, with increased sales in the second half of the year. We expect this pattern to be repeated during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on March 14,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40" w:type="dxa"/>
            <w:vAlign w:val="bottom"/>
          </w:tcPr>
          <w:p>
            <w:pPr>
              <w:ind w:left="35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D. Arling</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Ramzi S. Ammari</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Planning and Strategy</w:t>
            </w: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Chong</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Sales</w:t>
            </w: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A. Firehammer, Jr.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Head of Global Compliance, and Corporate Secretary</w:t>
            </w:r>
          </w:p>
        </w:tc>
      </w:tr>
      <w:tr>
        <w:trPr>
          <w:trHeight w:val="23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K. Carnifax</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Operations</w:t>
            </w:r>
          </w:p>
        </w:tc>
      </w:tr>
    </w:tbl>
    <w:p>
      <w:pPr>
        <w:spacing w:after="0" w:line="2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Paul D. Arling </w:t>
      </w:r>
      <w:r>
        <w:rPr>
          <w:rFonts w:ascii="Times New Roman" w:cs="Times New Roman" w:eastAsia="Times New Roman" w:hAnsi="Times New Roman"/>
          <w:sz w:val="17"/>
          <w:szCs w:val="17"/>
          <w:color w:val="auto"/>
        </w:rPr>
        <w:t>is our Chairman and Chief Executive Officer. He joined us in May 1996 as Chief Financial Officer and was named to our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August 1996. He was appointed President and Chief Operating Officer in September 1998, was promoted to Chief Executive Officer in October 2000 and appointed as Chairman in July 2001. At the 2023 Annual Meeting of Stockholders, Mr. Arling was re-elected as our Chairman to serve until the 2024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Bryan M. Hackworth </w:t>
      </w:r>
      <w:r>
        <w:rPr>
          <w:rFonts w:ascii="Times New Roman" w:cs="Times New Roman" w:eastAsia="Times New Roman" w:hAnsi="Times New Roman"/>
          <w:sz w:val="18"/>
          <w:szCs w:val="18"/>
          <w:color w:val="auto"/>
        </w:rPr>
        <w:t>is our Senior Vice President and Chief Financial Officer. He was promoted to Chief Financial Officer in August 2006. Mr. Hackworth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Ramzi S. Ammari </w:t>
      </w:r>
      <w:r>
        <w:rPr>
          <w:rFonts w:ascii="Times New Roman" w:cs="Times New Roman" w:eastAsia="Times New Roman" w:hAnsi="Times New Roman"/>
          <w:sz w:val="18"/>
          <w:szCs w:val="18"/>
          <w:color w:val="auto"/>
        </w:rPr>
        <w:t>is our Senior Vice President, Corporate Planning and Strategy. He joined us in June 1997 as a Project Manager and has held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Chong </w:t>
      </w:r>
      <w:r>
        <w:rPr>
          <w:rFonts w:ascii="Times New Roman" w:cs="Times New Roman" w:eastAsia="Times New Roman" w:hAnsi="Times New Roman"/>
          <w:sz w:val="18"/>
          <w:szCs w:val="18"/>
          <w:color w:val="auto"/>
        </w:rPr>
        <w:t>is our Executive Vice President, Global Sales. He was previously responsible for the general management and sales of our Asia region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promoted to his current position in October 2023. Mr. Chong joined us in January 2009 as Senior Vice President of Global OEM Sales.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Richard A. Firehammer, Jr., Esq. </w:t>
      </w:r>
      <w:r>
        <w:rPr>
          <w:rFonts w:ascii="Times New Roman" w:cs="Times New Roman" w:eastAsia="Times New Roman" w:hAnsi="Times New Roman"/>
          <w:sz w:val="18"/>
          <w:szCs w:val="18"/>
          <w:color w:val="auto"/>
        </w:rPr>
        <w:t>is our Senior Vice President, General Counsel, Head of Global Compliance, and Corporate Secretary. He joined 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1993 as General Counsel. He became our Corporate Secretary in February 1994. He was our Vice President from May 1997 until August 1998, and served as counsel to us from September 1998 until February 1999, at which time he was promoted to Senior Vice President. In January 2022, in addition to his duties as General Counsel and Secretary, he took on the added responsibilities as Head of Global Compliance.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Richard K. Carnifax </w:t>
      </w:r>
      <w:r>
        <w:rPr>
          <w:rFonts w:ascii="Times New Roman" w:cs="Times New Roman" w:eastAsia="Times New Roman" w:hAnsi="Times New Roman"/>
          <w:sz w:val="18"/>
          <w:szCs w:val="18"/>
          <w:color w:val="auto"/>
        </w:rPr>
        <w:t>is our Senior Vice President, Global Operations. He joined us in May 2020 as Vice President, Global Supply Chain and in July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promoted to Vice President, Operations. In February 2023, he was promoted to his current position, Senior Vice President, Global Operations.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high-quality air and gas handling products and services to the power, oil and gas, mining and petrochemical industries. Mr. Carnifax holds a Bachelor of Arts in Political Science and a Master of Arts in International Relations/Business from the University of Akron.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 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You should not interpret the disclosure of any risk factor to imply that the risk has not already materialized. Because there is no way to determine in advance whether, or to what extent, any present uncertainty will ultimately impact our business, you should give equal weight to each of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Conditions and Global Events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political and economic factors beyond our control could adversely affect our business and results of operations. These factors include, but are not limited to, supply chain disruptions, labor shortages, wage pressures, geo-political matters and conflicts, rising inflation and potential economic slowdown or recession, as well as increases in costs including fuel and energy costs, foreign currency exchange rate fluctuations, and other matters that influence consumer spending and preferences. Among other events, the invasion of Ukraine by Russia has escalated tensions among the United States, the North Atlantic Treaty Organization ("NATO") and Russia. Conflict in the Middle East has led to disruption of international shipping lanes, causing shipping delays and fluctuating freight costs. These conflicts and the resulting sanctions and related countermeasures could lead to market disruptions, including significant volatility in commodity prices, credit and capital markets, and supply chain interruptions. Additionally, they have the potential to spread to or exacerbate tensions in other countries or regions, leading to new and unanticipated disruptions.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markets continued to face threats and uncertain economic and financial market conditions that may also adversely affect the financial condition of our customers, suppliers and other business partners. Any significant decrease in customers'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capital markets, negatively affecting our ability to implement our business strategy.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w:t>
      </w:r>
    </w:p>
    <w:p>
      <w:pPr>
        <w:spacing w:after="0" w:line="2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Cybersecurity Issues: Cybersecurity Incidents, Failure to Maintain the Integrity of and Protect Internal or Customer Data May Result in Faulty Business Decisions, Operational Inefficiencies, Damage to our Reputation and/or Subject Us to Costs, Fines, or Lawsuits</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requires collection, processing, and retention of large volumes of data, including personally identifiable information of our customers in various information systems that we maintain and in those maintained by third parties with whom we contract,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or inaccessible, we may make faulty decisions. Despite the security measures we have in place, our facilities and systems, and those of the retailers, dealers, licensees and other third-party suppliers and vendors with which we do business, may be vulnerable to cybersecurity threats, attacks or incidents, acts of vandalism or misconduct, computer viruses, misplaced or lost data, programming and/or human errors or other similar events. Any cybersecurity incidents involving the misappropriation, loss or other unauthorized disclosure of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cybersecurity threats evolve in sophistication and become more prevalent worldwide, we continue to aim to increase our sensitivity and attention to these threats, seek additional investments and resources to address these threats and enhance the security of our facilities and systems and strengthen our controls and procedures to monitor, protect against and mitigate these threats. The domestic and international legal and regulatory environment related to information security, data collection and privacy is increasingly rigorous and complex, with new and constantly changing requirements applicable to our business. Compliance with these requirements, including the European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Union's General Data Protection Regulation ("GDPR"), China's newly enacted Personal Information Protection Law ("PIPL") and other domestic (including state law) and international regulations, could result in additional costs and changes to our business practices.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we rely heavily on computer systems to manage and operate our business, record and process transactions, and manage, support and communicate with our employees, customers, suppliers, vendors, and other third parties. Computer systems are important to production planning, finance, company operations and customer service, among other business-critical processes. Despite our efforts to prevent disruptions to our computer systems, these systems may be affected by damage, disruption, attack, or interruption from, among other causes, power outages, system failures, computer viruses and other intrusions, including cybersecurity incidents. Computer hardware and storage equipment that is integral to efficient operations, such as email, telephone and other functionality, is concentrated in certain physical locations in the various continents in which we operate. We rely on software applications, enterprise cloud storage systems and cloud computing services provided by third-party vendors, and our business may be adversely affected by service disruptions in or cybersecurity incidents related to such systems. Remote work and remote access to our systems has increased, which also increases the risk of cybersecurity incidents on our systems surface. In addition, there has been a global increase in cybersecurity threat volume, frequency, and sophistication driven by the global enablement of remote workforces. Geopolitical tensions or conflicts, such as Russia’s invasion of Ukraine, may further heighten the risk of cybersecurity incidents. We continue to try to mitigate these risks in a number of ways, including through additional investment, engagement of third-party experts and consultants, improving the security of our facilities and systems (including through upgrades to our security and information technology systems), providing training for all employees (with more enhanced or frequent training based on role or responsibility), assessing the continued appropriateness of relevant insurance coverage and strengthening our controls and procedures to monitor, mitigate and respond appropriately to these threats. We carry cyber insurance, and while we have not incurred any material losses due to any failure of or disruptions to our systems, or from any cybersecurity incidents, we cannot be certain that our coverage will be adequate for liabilities actually incurred, that insurance will continue to be available to us on economically reasonable terms, or that any insurer will not deny coverage as to any future claim.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Proprietary Technologies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Changes in Control and Sensing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derive substantial revenue from the sale of remote controls, sensors and home automation products based on IR and RF and other technologies. Other control technologies exist or may be developed that may compete with our technology. In addition, we develop and maintain our own database of IR and RF codes. There are other IR and RF libraries offered by companies that we compete with in the marketplace. In addition, if competing control and sensing technology and products gain acceptance and start to be integrated into home electronics devices and home security and automation products, demand for our products may decrease, resulting in decreased operating results, financial condition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Technology Development Activities May Experience Delays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technical, financial, resource or other difficulties or delays related to the further development of our technologies. Delays may have adverse financial effects and may allow competitors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New Product Introduction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remain competitive in the video services, consumer electronics, security, home automation, climate control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Moreover,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expanding our production capabilities, or that those new products will be successful.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Consumer Preference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susceptible to fluctuations in our business based upon consumer demand for our products.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Major Customers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economic strength and weakness of our worldwide customers affect our performance. We sell our products, accessory products, and proprietary technologies to video service providers, OEMs, retailers and private label customers. We also supply our products, accessory products, and technologies to our wholly owned, non-U.S. subsidiaries and to independent foreign distributors, who in turn distribute our products worldwide. While we generally have a broad and varied customer base, during the years ended December 31, 2023, 2022 and 2021, Daikin Industries Ltd. accounted for sales totaling more than 10% of our net sales. During the years ended December 31, 2022 and 2021, Comcast Corporation also accounted for sales totaling more than 10% of our net sales. In addition to these customers, we have some customers that, individually or through their subsidiaries or affiliated partners,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Demand for Consumer Service and Support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consumer service and support to our retail customers to add overall value and to help differentiate us from our competitors. Certain of our products have more features than others and therefore require more end-user technical support, which may increase our support costs and have an adverse effect on our business, operating results, financial condition and cash flows. We continually review our service and support group and are marketing our expertise in this area to other potential retail customers.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Risks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factories in the PRC, Vietnam, Mexico and Brazil. In addition, we utilize third-party manufacturers located in Asia to manufacture a portion of our products. We believe that the loss of any one or more of these third-party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U.S.-China Trade and Supply Chain Compliance Risks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recent years, U.S.-China trade and investment has become subject to additional regulatory conditions and restrictions, including restrictions on certain imports and exports, increased tariffs, inbound and outbound investment restrictions, and enhanced prohibitions targeting the use of forced labor in supply chains. Political leaders, regulatory agencies and legislators have also increased their focus on enforcing these rules and monitoring companies’ compliance. We maintain policies and procedures designed to ensure compliance with these rules, and we do not believe that these rules or our efforts to comply with them materially impact our business, but it is possible that these restrictions, tariffs and related government initiatives will expand and that their effect our business will become more onerous, and we cannot be certain that our compliance efforts will in all cases be successful.</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among other relevant restrictions, the Uyghur Forced Labor Prevention Act (the "UFLPA") creates a rebuttable presumption that all goods produced or manufactured, even partially, in the PRC’s Xinjiang Uyghur Autonomous Region ("XUAR") were made with forced labor and, therefore, would not be allowed entry at U.S. ports. Importers are required to present clear and convincing evidence that goods from the XUAR are not made with forced labor. While we do not authorize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sourcing of any product from the XUAR and have increased actions to ensure our entire supply chain is free of any products made with forced labor, there is nonetheless a risk, particularly in light of prior media allegations and government inquiries focusing on our subsidiary Gemstar and Uyghur individuals previously working at its facilities in non-XUAR locations in China, that our business, results of operations and financial condition could be adversely affected by the UFLPA, related regulatory requirements and enforcement activity, or related customer concerns. Gemstar has terminated its relationship with the third-party labor agency that engaged these workers, ended its arrangement with the workers in question, and paid all outstanding wages and severance directly and individually to each of these workers; further, we believe that we have addressed all outstanding questions from government authorities concerning this matter. Nonetheless, our reliance on international supply chains involves a risk of adverse effects to our business, including from government restrictions and enforcement efforts.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other things, we utilize third-party suppliers as well as third-party employment or labor agencies to provide us with staff to support our production activities. While we require these suppliers and agencies to adhere to our Supplier Code of Conduct, which among other things prohibits forced labor in any manner and requires them to treat all employees with respect and dignity, use of third-party agencies has come under worldwide scrutiny. If a supplier or third-party labor agency were to engage in actual or apparent non-compliance with our Supplier Code of Conduct or otherwise violate applicable laws or regulations, this could create compliance challenges for us and adversely affect our business or our customer relationships.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Key Suppliers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operate in a supply-constrained environment, and we are heavily dependent on third-party suppliers and their ability to deliver sufficient quantities of key components and products at reasonable prices and in time for us to meet schedules for the delivery of our products and services. Most of the components used in our products are available from multiple sources. However, we purchase integrated circuits ("ICs") used in products, from a small number of key suppliers. To reduce our dependence on our IC suppliers we continually seek additional sources. We maintain inventories of our ICs, which may be used in part to mitigate, but not eliminate, delays resulting from supply interruptions. Further, we have identified alternative sources of supply for our ICs, component parts, and finished goods; however, there can be no assurance that we will be able to continue to obtain these inventory purchases on a timely basis or in the quantities we need.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obtain components from a single source due to technology, availability, price, quality or other considerations. New products that we introduce may utilize custom components obtained initially from only one source until we have determined whether there is a need for additional suppliers. Replacing a single-source supplier could delay production of some products as replacement suppliers may be subject to capacity constraints or other output limitations. For some components, alternative sources may not exist or may be unable to produce the quantities necessary to satisfy our requirements. The loss of, deterioration of our relationship with, or limits in allocation by, a single-source supplier, could adversely affect our business and financial performance.</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Difficulty in Ordering Integrated Circuits and Increases in Commodities and Freight Costs Have Adversely Affected and Will Continue to Adversely Affect Our Business</w:t>
      </w: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experienced difficulty in ordering ICs in the recent past and this difficulty could continue in the future. While we have identified other sources of ICs and are taking other production and inventory control steps in order to mitigate the effects caused by these types of shortages, we cannot guarantee that the alternative sources will meet our short- and longer-term IC needs and/or without experiencing increases in the prices we pay for these components. If we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continuing to experience increases in freight costs which have and may continue to adversely affect our margins. At the same time, in order to secure components for our products or services, we have and may continue to make advance payments to suppliers and/or enter into non-cancelable commitments with suppliers. We have and may continue to strategically purchase ICs and other key components in advance of demand to take advantage of favorable pricing or to address concerns about future availability. If we fail to anticipate customer demand properly or if customer changes its demand significantly, a temporary "oversupply" could result in excess or obsolete components.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Transportation Costs and Impact of Oil Prices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export fees may be incurred to ship products from foreign manufacturers to the customer. These increases in costs and tariffs may have a material adverse effect on our product margins. We also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and Russia's invasion of Ukraine may continue to create uncertainty in oil prices. Conflict in the Middle East may produce continued or increased disruptions to international shipping and fluctuating freight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Disruptions Caused by Labor Disputes or Organized Labor Activities Could Materially Harm our Business and Reputation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approximately 800 of our Brazil and Mexico employees are represented by labor unions. Additionally, approximately 400 of our Vietnam employees are covered by a collective bargaining agreement. Disputes with the current labor unions or new union organizing activities could lead to production slowdowns or stoppages and make it difficult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Leased Property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Competition within the industries we serve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cost-effective basis, as well as our ability to successfully identify and enter into strategic alliances with entities doing business within the industries we serve. Competition in any of these areas may reduce our sales and adversely affect our earnings or cash flow resulting from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R&amp;D as quickly as we expect, if at all. Some customers may elect to engage a second source to manufacture the same product, and there is no guarantee that these customers will maintain the volume that was initially allocated to us throughout the product life cycle.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activities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Competition and Pricing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 having our own factories, we will continue to rely on third-party manufacturers to build a portion of our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Business Transactions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Recruitment and Retention of Talent and Key Employees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be successful, we must attract, hire, retain, train, motivate, and develop qualified executives, engineers, technical staff and other key employees. Identifying, developing internally or hiring externally, training and retaining qualified executives, engineers and qualified sales representatives are critical to our future, and competition for experienced employees in the technology industry can be intense as employees' expectations of compensation, benefits and work flexibility continue to increase. Equity-based compensation can be important to attracting and retaining qualified employees and lack of positive performance in our stock price may adversely affect our ability to attract or retain key employees. In addition, workforce dynamics are constantly evolving in all regions, and we may not be able to manage changing workforce dynamics successfully.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Presently, we manufacture many of our products in our factories in the PRC. Additionally, many of our contract manufacturers are located in the PRC. In addition to the other risks identified herein, doing business in the PRC carries a number of risks including the following: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Fluctuation of the Chinese Yuan Renminbi May Adversely Impact Our Manufacturing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Chinese monetary policy, the Chinese Yuan Renminbi is permitted to fluctuate within a managed band against a basket of certain foreign currencies and has resulted in increased volatility in the exchange rate of the Chinese Yuan Renminbi against the U.S. Dollar. Any significant appreciation of the Chinese Yuan Renminbi against the U.S. Dollar could lead to higher manufacturing costs for our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Availability of Adequate Workforce Levels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Presently, a portion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 Some of our key customers have demanded that we reduce the percentage of workers sourced from third-party employment agencies, which may also lead to increased costs in recruitment, retention and compliance.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Changes in the Policies of the PRC Government May Have a Significant Impact Upon the Business We Conduct in the PRC and the Profitability of Such Business</w:t>
      </w: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 Additionally, in light of recent geo-political tensions and competing territorial claims, the PRC's relationships with other countries or governments could grow more complex or openly adversarial, potentially leading to far-reaching market disruptions. Potential conflict across the Taiwan Strait or between the PRC and other countries or governments could cause a significant adverse effect to our business, and could lead to a disruption in our ability to operate in or source from the PRC.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PRC Laws and Regulations Governing Our Current Business Operations are Sometimes Vague and Uncertain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PRC's Legal and Judicial System May Not Adequately Protect Our Business and Operations and the Rights of Foreign Investors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PRC legal and judicial system may negatively impact foreign investors, with inconsistent enforcement of existing laws. In addition, the promulgation of new laws, changes to existing laws and the preemption of local regulations by national laws may adversely affect foreign investors.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Legal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Certain Regulatory and Financial Risks Related to Climate Change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Growing 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 also result in additional costs to us.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 Ultimately, the impacts of climate change, whether involving physical risks or transition risks are expected to be widespread and unpredictable and may materially adversely affect our business and financial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Developments From Potential Changes in U.S. Trade Policies Could Have a Material Adverse Effect On Us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U.S. government implemented additional tariffs on certain goods imported from the PRC. We manufacture a substantial amount of our products in the PRC and are presently subject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 As a result of these tariffs and other governmental action, we moved production of many of our products destined for the U.S. to Mexico, Vietnam and a third-party manufacturing partner outside of the PRC.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Policy Changes Affecting International Trade Could Adversely Impact the Demand for Our Products and Our Competitive Position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Our international operations continue to grow, making up a significant part of our current business and future strategic plans. We presently operate factories in the PRC, Vietnam, Mexico and Brazil, engineering centers in India, Korea and Japan and rely on third-party manufacturers located in Asia.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local laws; (6) rapid changes in government policy, political or civil unrest, acts of terrorism, or the threat of international boycotts or U.S. anti-boycott legislation; and (7) currency exchange rate fluctuations.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which make the ultimate tax determination uncertain.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become subject to tax controversies in various jurisdictions at various times,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restrictions imposed by the U.S. Foreign Corrupt Practices Act and anti-corruption laws and regulations of other countries applicable to our operations, such as the U.K. Bribery Act. These laws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these laws may not prevent our employees,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Global Compliance Department,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are Subject to a Wide Variety of Complex Domestic and Foreign Laws and Regulations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 From time to time, our Company, our operations and the industries in which we operate are being reviewed or investigated by regulators, which may lead to enforcement actions or the assertion of private litigation claims and damages. Our costs to respond to any investigation or to comply with these laws and regulations may increase as these requirements become more stringent in the future, and these increased costs may adversely affect our results of operations, cash flow or financial condition. 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pay significant settlements, fines and penalties, which may have a material adverse effect on our results of operations, cash flows or financial condition.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Patents, Trademarks, and Copyrights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is typical in our business, third parties (including non-practicing entities ("NPEs")) may challenge the validity of our patents. In the event that such challenges prove successful, the value of our patents may decline which, in turn, could have an adverse effect on our business. 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for Litigation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 In addition, our operations, supply chain and our products are expected to become increasingly subject to federal, state, local and foreign laws, regulations, and international treaties relating to climate change, such as climate disclosure, carbon pricing or product energy efficiency requirements, requiring us to comply or potentially face market-access limitations or other sanctions including fines. We strive to continually improve the energy and carbon efficiency of our operations, supply chain and product portfolio and deliver more cost-effective and lower carbon technology solutions to our customers.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annual disclosure and reporting requirements for public</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Prominence and Evolution on Disclosures related to ESG Matters May Expose Us to Certain Performance and Reputational Risks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established certain ESG goals and reporting of ESG data.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 Standards for tracking and reporting ESG matters continue to evolve.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relating to our operations and supply chain are evolving along with various standards for identifying, measuring, and reporting ESG metrics, including ESG-related disclosures that may be required by the SEC, European and other regulators, and such standards may change over time. If our ESG practices do not meet evolving investor or other stakeholder expectations and standards, then our reputation or our attractiveness as an investment, business partner, service provider or employer could be negatively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Finance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Projections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made projections required for the preparation of financial statements in conformity with accounting principles generally accepted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("U.S. GAAP") regarding future events and the financial performance of the Company, including those involving:</w:t>
      </w:r>
    </w:p>
    <w:p>
      <w:pPr>
        <w:spacing w:after="0" w:line="234"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the Company expects as a result of the development and success of products and technologies, including new products and technologies;</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by conducting business in Asian and Latin American markets, without which, we may not be able to recover the costs we incur to enter into such markets;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contracts with new and existing customers and new market penetrations;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adoption of the Company's technologies in gaming consoles, mobile devices, and other home entertainment and control devices;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growth in digital TVs, DVRs, PVRs and overall growth in the Company's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competitors and OTT providers may have on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we may experience due to current global and regional economic conditions.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events or results may be unfavorable to management's projections, which may have a material adverse effect on our projected operating results, financial condition and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have long-lived and intangible assets recorded on our consolidated balance sheet. We assess these assets for impairment whenever events or changes in circumstances indicate that the fair value may be below its carrying value. Factors considered important that may trigger said assessment include, among others, a significant adverse change in legal factors or in business climate, a decline in macroeconomic conditions, a significant decline in our financial performance or a significant decline in the price of our common stock for a sustained period of time.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Projections and Data are Forward-looking in Nature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market data upon which we rely is based on third-party reports that may be inaccurate. The inaccuracy of any of these projections and/or market data may adversely affect our operating results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Fluctuations in Quarterly Results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from time to time increase our operating expenses to fund greater levels of R&amp;D, sales and marketing activities, development of new distribution channels, improvements in our operational and financial systems, moving manufacturing capabilities to other countries, and development of our customer support capabilities, In addition, legal expenses could increase from time to time as we enhance or increase our litigation efforts and/or to support our efforts to comply with or respond to various government regulations and investigations. To the extent such expenses precede or are not subsequently followed by increased revenues, our business, operating results, financial condition and cash flows will be adversely affected. 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 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Fluctuations in Foreign Currency Exchange Rates or Interest Rates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the Second Amended and Restated Credit Agreement ("Second Amended Credit Agreement") with U.S. Bank National Association ("U.S. Bank"), we may elect to pay interest on the revolving line of credit ("Credit Line") based on the Secured Overnight Financing Rate ("SOFR") plus an applicable margin or a base rate (based on the prime rate of U.S. Bank or as otherwise specified in the Second Amended Credit Agreement), plus an applicable margin. To the extent these interest rates increase, our interest expense will increase, which could adversely affect our financial condition, operating results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Ability to Generate Cash Depends on Many Factors Beyond Our Control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to which we are currently leveraged could have important consequences for stockholders. For example, it could:</w:t>
      </w:r>
    </w:p>
    <w:p>
      <w:pPr>
        <w:spacing w:after="0" w:line="252"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to enable us to react to changes in our business;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businesses in our industry that have less debt.</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Except for Universal Electronics BV, which has guaranteed the performance under our Credit Line, our subsidiaries are separate and distinct legal entities and have no obligation to pay any amounts due on our debt or to provide us with funds to meet our cash flow needs.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Price of Our Common Stock is Volatile and May Decline Regardless of Our Operating Performance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Historically, we have had large fluctuations in the price of our common stock including a significant decline in our stock price, and such fluctuations may continue. The trading market for our common stock has historically been at low volumes and our market price is volatile and may fluctuate significantly in response to a number of factors, most of which we cannot control, including 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 announcements concerning strategic transactions, such as spin-offs, joint ventures and acquisitions or divestitures; the financial projections we may provide to the public, any changes in these projections or our failure to meet these projections; changes in financial estimates or ratings by any securities analysts who follow our common stock, our failure to meet these estimates or failure of those analysts to initiate or maintain coverage of our common stock; the inclusion or removal of our common stock from any indices; investor perceptions as to the likelihood of achievement of near-term goals; changes in market share of significant customers; changes in operating performance and stock market valuations of other technology or content providing companies generally; and market conditions or trends in our industry or the economy as a whole. 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officers and directors periodically sell shares of our common stock which they own, many times pursuant to trading plans established under Rule 10b5-1 of the Securities Exchange Act of 1934, as amended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Approved Stock Repurchase Programs May Not Result in a Positive Return of Capital to Stockholders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 technology industry and the stock market as a whole have experienced extreme stock price and volume fluctuations that have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Our Governing Corporate Documents Contain, and Our Board of Directors May Implement, Antitakeover Provisions that May Deter Takeover Attempts </w:t>
      </w:r>
      <w:r>
        <w:rPr>
          <w:rFonts w:ascii="Times New Roman" w:cs="Times New Roman" w:eastAsia="Times New Roman" w:hAnsi="Times New Roman"/>
          <w:sz w:val="18"/>
          <w:szCs w:val="18"/>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Economic Downturns and Other Global, National, and Regional Conditions May Adversely Affect Our Results of Operations, Cash Flow, Liquidity or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(such as the Russian invasion of Ukraine, conflict in the Middle East, tension across the Taiwan Strait and tension between the United States and the PRC, and the ramifications of those and other events) impact our activities. Additionally, we conduct business in countries that have policies which restrict outbound U.S. Dollar transactions. During 2023, we experienced these conditions in Argentina and expect these restrictions to continue. Such conditions in the United States and worldwide may impact our business due to weak economic conditions, changes in energy prices and currency values, political instability, heightened travel security measures, advisories, or disruptions, and concerns over disease, violence, war, or 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 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0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Risks Relating to Natural or Man-Made Disasters, Contagious Disease, Climate Change, Violence, or War May Cause Increases in the Cost of Raw Materials, Production, and Energy which May Adversely Affect Our Earnings or Cash Flow</w:t>
      </w: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COVID-19 pandemic, any one or more of these events, including the actions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taken in the ongoing conflicts in the Middle East and by Russia against Ukraine, could disrupt sales volumes, raw material and fuel supplies and increase our costs, reduce our ability to manufacture and supply our products, and/or increase our operating costs, all of which could adversely affect our earnings or cash flows and profits. There are also inherent climate-related risks wherever our business is conducted. Changes in market dynamics, stakeholder expectations, local, national and international climate change policies, and the frequency and intensity of extreme weather events on critical infrastructure globally, all have the potential to disrupt our business and operations. Such events could result in increases in our costs and expenses and harm our future revenue, cash flows and financial positions.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cybersecurity risk management processes to identify, manage, and prevent risks related to cybersecurity. Our Information Technology ("IT") team manages our cybersecurity program and the security measures and processes we have in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cybersecurity threats and incidents can pose risks to UEI, impacting data security, operational efficiency, and financial stability. Our business requires collection, processing, and retention of large volumes of Company and sensitive and confidential third party data, including personally identifiable information in various information systems that we maintain and in those maintained by third parties with whom we contract, including in areas such as customer product servicing, human resources outsourcing, website hosting, and various forms of electronic communications. Cybersecurity incidents risk disclosure of sensitive information and disruption of our operations. Financial consequences include recovery costs, fines, and potential legal repercussions. Such incidents could result in losses, severely damage our reputation or expose us to the risks of litigation and liability.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is managed as part of the Company's enterprise risk management program. We have integrated cybersecurity risk management into our enterprise-wide risk assessment through evaluations of IT infrastructure, compliance audits and aligning cybersecurity goals with overall business objectives. We work with cybersecurity experts to better understand potential cybersecurity threats.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Measures we have employed to identify potential cybersecurity threats include advanced threat detection systems, such as intrusion detection systems and security information and event management tools. We manage and work to prevent these cybersecurity threats using a variety of strategies, including deploying firewalls and anti-malware tools, implementing access controls and leading security audits. Our incident response plans and monitoring systems also support detection and prevention of cybersecurity threats.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monitor these risks in connection with third parties in addition to our own operations. We collaborate with external cybersecurity consultants and auditors for independent audits and vulnerability assessments of our existing processes and systems. Our third-party cyber risk assessment program is designed to oversee certain third parties and have those third parties adhere to cybersecurity standards. This program has measures to help further manage and attempt to mitigate potential cybersecurity risks arising from third-party engagements, including security audits, compliance checks for cybersecurity standards, risk evaluation procedures for certain third parties, contractual security requirements in certain third party agreements and monitoring tools. We conduct cybersecurity training with our employees as appropriate based on their roles within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plays a role in guiding and overseeing our cybersecurity strategies. Our Audit Committee maintains responsibility for cybersecurity oversight by setting policies, reviewing risk management strategies and reviewing compliance with legal and regulatory requirements. The Audit Committee, as appropriate, briefs the broader Board of Directors on cybersecurity matters.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also responsible for upholding our cybersecurity processes. Our Vice President of IT Infrastructure is responsible for cybersecurity oversight and for developing strategies to mitigate cyber risks, monitoring policy compliance and educating staff on security practices. Our Cybersecurity Management team, led by our Vice President of IT Infrastructure, reports to the Audit Committee of the Board of Directors on cybersecurity matters, including incident reports, compliance status and updates on cybersecurity initiatives. The Audit Committee aims to meet at least once each fiscal quarter to specifically address cybersecurity matters, but convenes as necessary to fulfill its cybersecurity oversight responsibilities.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management has not identified risks from cybersecurity incidents, including as a result of any previous cybersecurity incidents, that have materially affected or are reasonably likely to materially affect the Company, including its business strategy, results of operations, or financial condition. While we work to maintain our cybersecurity processes, there can be no assurance that such actions will be sufficient to prevent cybersecurity incidents or mitigate all potential risks to such systems, networks, and data or those of our third-party providers.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headquarters is located in Scottsdale, Arizona. We utilize the following facilities: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8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Purpose or Use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3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Feet</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Scottsdale, Arizona</w:t>
            </w:r>
          </w:p>
        </w:tc>
        <w:tc>
          <w:tcPr>
            <w:tcW w:w="12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Corporate headquarters, engineering, research and</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25,106</w:t>
            </w:r>
          </w:p>
        </w:tc>
        <w:tc>
          <w:tcPr>
            <w:tcW w:w="100" w:type="dxa"/>
            <w:vAlign w:val="bottom"/>
            <w:tcBorders>
              <w:top w:val="single" w:sz="8" w:color="CCEEFF"/>
            </w:tcBorders>
            <w:shd w:val="clear" w:color="auto" w:fill="CCEEFF"/>
          </w:tcPr>
          <w:p>
            <w:pPr>
              <w:spacing w:after="0"/>
              <w:rPr>
                <w:sz w:val="15"/>
                <w:szCs w:val="15"/>
                <w:color w:val="auto"/>
              </w:rPr>
            </w:pPr>
          </w:p>
        </w:tc>
        <w:tc>
          <w:tcPr>
            <w:tcW w:w="3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Leased, expires February 27, 2027</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Bangalore, India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July 31, 2024</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Carlsbad, California</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2027</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Plymouth, Minnesota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March 31,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Poway, California</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2024</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Ana, California</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November 30, 2027</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Suzhou, PRC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31, 2025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 PRC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 headquarters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July 31,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Enschede, Netherlands</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headquarters and call center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February 28, 2029</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Guangzhou, PRC</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April 14, 2026</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Hai Duong, Vietnam</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124,776</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December 1, 2034</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Manaus, Brazil</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August 19,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April 30, 2024</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expires April 15, 2029</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Storage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July 29, 2025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Yangzhou, PRC </w:t>
            </w:r>
            <w:r>
              <w:rPr>
                <w:rFonts w:ascii="Times New Roman" w:cs="Times New Roman" w:eastAsia="Times New Roman" w:hAnsi="Times New Roman"/>
                <w:sz w:val="23"/>
                <w:szCs w:val="23"/>
                <w:color w:val="auto"/>
                <w:vertAlign w:val="superscript"/>
              </w:rPr>
              <w:t>(1)</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1,247,688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leased, expires July 31, 2055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Yangzhou, PRC</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expires October 31, 2025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facilities listed above, we lease space in various international locations, primarily for use as sales offices.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8" for additional information regarding our obligations under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UEIC. Our stockholders of record on March 11, 2024 numbered 159. We have never paid cash dividends on our common stock. We intend to retain our earnings, if any, to reinvest in the business for future operations and expansion and, as such, we do not anticipate paying any cash dividends in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40" w:type="dxa"/>
            <w:vAlign w:val="bottom"/>
          </w:tcPr>
          <w:p>
            <w:pPr>
              <w:jc w:val="center"/>
              <w:ind w:left="39"/>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4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4500" w:type="dxa"/>
            <w:vAlign w:val="bottom"/>
            <w:gridSpan w:val="2"/>
            <w:vMerge w:val="continue"/>
          </w:tcPr>
          <w:p>
            <w:pPr>
              <w:spacing w:after="0"/>
              <w:rPr>
                <w:sz w:val="17"/>
                <w:szCs w:val="17"/>
                <w:color w:val="auto"/>
              </w:rPr>
            </w:pPr>
          </w:p>
        </w:tc>
        <w:tc>
          <w:tcPr>
            <w:tcW w:w="1660" w:type="dxa"/>
            <w:vAlign w:val="bottom"/>
          </w:tcPr>
          <w:p>
            <w:pPr>
              <w:jc w:val="right"/>
              <w:ind w:right="35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840" w:type="dxa"/>
            <w:vAlign w:val="bottom"/>
          </w:tcPr>
          <w:p>
            <w:pPr>
              <w:jc w:val="center"/>
              <w:ind w:left="39"/>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December 31,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103,242</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line="229" w:lineRule="auto"/>
        <w:tabs>
          <w:tab w:leader="none" w:pos="648" w:val="left"/>
        </w:tabs>
        <w:numPr>
          <w:ilvl w:val="0"/>
          <w:numId w:val="1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Of the repurchases in November and December, 3,187 and 55 shares, respectively, represent common shares of the Company that were owned and tendered by employees to satisfy tax withholding obligations in connection with the vesting of restricted shares.</w:t>
      </w:r>
    </w:p>
    <w:p>
      <w:pPr>
        <w:spacing w:after="0" w:line="225" w:lineRule="exact"/>
        <w:rPr>
          <w:rFonts w:ascii="Times New Roman" w:cs="Times New Roman" w:eastAsia="Times New Roman" w:hAnsi="Times New Roman"/>
          <w:sz w:val="23"/>
          <w:szCs w:val="23"/>
          <w:b w:val="1"/>
          <w:bCs w:val="1"/>
          <w:color w:val="auto"/>
          <w:vertAlign w:val="superscript"/>
        </w:rPr>
      </w:pPr>
    </w:p>
    <w:p>
      <w:pPr>
        <w:jc w:val="both"/>
        <w:ind w:left="660" w:hanging="328"/>
        <w:spacing w:after="0" w:line="239" w:lineRule="auto"/>
        <w:tabs>
          <w:tab w:leader="none" w:pos="648" w:val="left"/>
        </w:tabs>
        <w:numPr>
          <w:ilvl w:val="0"/>
          <w:numId w:val="1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On October 26, 2023, our Board approved a new share repurchase program with an effective date of November 7, 2023 (the "October 2023 Program"). Pursuant to the October 2023 Program, we are authorized to repurchase up to 1,000,000 shares of our common stock. We may utilize various methods to effect the repurchases under the October 2023 Program, including open market repurchases, negotiated block transactions, accelerated share repurchases or open market solicitations for shares, some or all of which could be effected through Rule 10b5-1 plans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Chart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2023. The comparison assumes that $100 was invested on December 31, 2018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80010</wp:posOffset>
            </wp:positionV>
            <wp:extent cx="5837555" cy="330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755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60" w:type="dxa"/>
            <w:vAlign w:val="bottom"/>
          </w:tcPr>
          <w:p>
            <w:pPr>
              <w:spacing w:after="0"/>
              <w:rPr>
                <w:sz w:val="16"/>
                <w:szCs w:val="16"/>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23"/>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Universal Electronics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Small Cap 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0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Peer Group Index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2" w:lineRule="exact"/>
        <w:rPr>
          <w:sz w:val="20"/>
          <w:szCs w:val="20"/>
          <w:color w:val="auto"/>
        </w:rPr>
      </w:pPr>
    </w:p>
    <w:p>
      <w:pPr>
        <w:ind w:left="820" w:hanging="326"/>
        <w:spacing w:after="0" w:line="229" w:lineRule="auto"/>
        <w:tabs>
          <w:tab w:leader="none" w:pos="67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Companies in the Peer Group Index are as follows: Dolby Laboratories, Inc.; Logitech International S.A.; VOXX International Corp.; and Xperi Corporation (formerly TiVo Corporation).</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above is as of December 31, 2018 through December 31, 2023.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discuss 2023 and 2022 items and year-to-year comparisons between 2023 and 2022 in the section that follows. Discussions of 2021 items and year-to-year comparisons between 2022 and 2021 that are not included in this Annual Report on Form 10-K may be found in "Management's Discussion and Analysis of Financial Condition and Results of Operations" in Part II, Item 7 of our Annual Report on Form 10-K for the year ended December 31, 2022, filed with the SEC on March 8, 2023.</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203" w:lineRule="exact"/>
        <w:rPr>
          <w:sz w:val="20"/>
          <w:szCs w:val="20"/>
          <w:color w:val="auto"/>
        </w:rPr>
      </w:pPr>
    </w:p>
    <w:p>
      <w:pPr>
        <w:jc w:val="both"/>
        <w:ind w:left="980" w:hanging="324"/>
        <w:spacing w:after="0" w:line="257"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easy-to-use, voice-enabled, automatically-programmed universal,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wall-mount and handheld thermostat controllers and connected accessories for smart energy management systems, primarily to OEM customers, as well as hotels, hospitality and system integrators;</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standards-based RF sensors designed for residential security, safety and home automation applications;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technology solutions that can enable devices such as Smart TVs, hybrid set-top boxes, audio systems, smart speakers, game consoles and other consumer electronic and smart home devices to wirelessly connect and interoperate within home networks to enable control and delivery of home entertainment, smart home services and device or system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cloud-services that support our embedded software and hardware solutions (directly or indirectly) enabling real-time device identification and system control;</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that we license primarily to OEMs and video service providers;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and cloud-enabled software for reliable firmware update provisioning and digital rights management validation services to major consumer electronics brands; and</w:t>
      </w:r>
    </w:p>
    <w:p>
      <w:pPr>
        <w:ind w:left="980" w:hanging="324"/>
        <w:spacing w:after="0" w:line="26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accessories sold, directly and indirectly, to consumers including universal remote controls, television wall mounts and stands and digital television antennas.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factor in creating products and software for control of entertainment devices is our proprietary device knowledge. Each year our device discovery and control libraries continue to grow across AV and smart home platforms, supporting many common smart home protocols, including IR, HDMI-CEC, Zigbee (Rf4CE), Z-Wave, IP, as well as Home Network and Cloud Control.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2023:</w:t>
      </w:r>
    </w:p>
    <w:p>
      <w:pPr>
        <w:spacing w:after="0" w:line="25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22.5% to $420.5 million in 2023 from $542.8 million in 2022.</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percentage decreased to 23.2% in 2023 from 28.1% in 2022.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 of sales, increased to 43.5% in 2023 from 25.4% in 2022.</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$85.3 million in 2023 compared to operating income of $14.5 million in 2022, and our operating loss percentage was 20.3% in 2023, compared to an operating income percentage of 2.7% in 2022.</w:t>
      </w: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$6.0 million in 2023 compared to $11.0 million in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2024 include the following:</w:t>
      </w:r>
    </w:p>
    <w:p>
      <w:pPr>
        <w:spacing w:after="0" w:line="252" w:lineRule="exact"/>
        <w:rPr>
          <w:sz w:val="20"/>
          <w:szCs w:val="20"/>
          <w:color w:val="auto"/>
        </w:rPr>
      </w:pPr>
    </w:p>
    <w:p>
      <w:pPr>
        <w:ind w:left="980" w:hanging="324"/>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new standard products, as well as custom variants, currently on our project development backlog, specifically in the climate control channel;</w:t>
      </w:r>
    </w:p>
    <w:p>
      <w:pPr>
        <w:ind w:left="980" w:right="2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home control and home automation product offerings with the aim of acquiring new customers that represent market share leaders in their respective channels and regions;</w:t>
      </w:r>
    </w:p>
    <w:p>
      <w:pPr>
        <w:ind w:left="980" w:hanging="324"/>
        <w:spacing w:after="0" w:line="25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software and service platform, QuickSet, to deliver new features that enhance the personalization and engagement of users on smart entertainment and smart home platforms;</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go-to-market strategies that help position our sustainable technology in our major verticals;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acquisitions or strategic partners that complement and strengthen our existing business;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 our long-term factory planning strategy to optimize our manufacturing footprint and reduce our manufacturing concentration in the PRC.</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negatively impacted and we expect to continue to be negatively impacted by adverse macroeconomic conditions, in particular reduced consumer spending. Inflation has increased our component and logistics costs. While we have been able to increase sales prices on certain products, there may be a delay in our ability to increase prices and we may not be able to fully offset the impact of increased material costs which would negatively impact our gross profit. Our cost of labor, materials and borrowing may continue to increase, which would negatively impact our financial results. In addition, we expect recessionary pressures in the global economy will ultimately negatively impact our sales demand.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continued to see supply chain improvements across most long-lead time components, including ICs, during 2023. While we expect this to continue, demand fluctuations and output may affect us in the future based on feedback from our supplier base. We continue to take production and inventory control steps as required to mitigate the effects caused by any shortages including advanced purchasing of long-lead time components, as necessary; however, we cannot guarantee that these steps will allow us to meet some customer short-term requirements. As such, these supply constraints may continue to cause difficulty and delays in our ability to fulfill customer orders and may at times result in increased logistics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Long-Lived Assets Impairment Trigger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2023, a decline in our financial performance, the overall negative trend in the video service provider channel and an uncertain economic environment contributed to a significant decline in our market capitalization. We considered this to be an impairment trigger. We, therefore, performed a quantitative valuation analysis indicating a significant implied control premium over our market capitalization. As a result of the substantial implied control premium, we recorded an impairment charge of $49.1 million during the three months ended March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2023, market conditions deteriorated and our stock price declined significantly, which we considered to be a trigger of potential impairment for our long-lived asset group. As such, we performed a recoverability test using non-discounted forecasted cash flows, which resulted in total cash flows in excess of the carrying value of the asset group by approximately 11% to 57%. This test indicated no recoverability issues.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as part of our manufacturing footprint optimization efforts, we identified certain long-lived assets that were unused due to the closure of our southwestern China factory and unused at our Mexico factory, due to decreased demand in our U.S. market. As a result, we recorded impairment charges of $7.7 million during the three months ended September 30,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future events and circumstances, including adverse changes in general business and economic conditions in the United States and worldwide and changes in consumer behavior could result in changes to our assumptions and judgments used in the impairment tests. A downward revision of these assumptions could cause the total undiscounted cash flows of the long-lived asset group to fall below its respective carrying values and a non-cash impairment charge would be required. Such a charge may have a material effect on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Footprint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evaluating our global manufacturing footprint based upon our long-term factory planning strategy to (1) de-risk our reliance on a PRC-based supply chain and (2) reduce our manufacturing capacity due to decreased demand and a change in mix of our products. As part of this evaluation, we opened a new factory in Vietnam, which commenced manufacturing operations in June 2023 after incurring startup costs in the first half of 2023. With our Vietnam factory now open and meeting short-term operational targets, with the expectation of continued improvement, we stopped manufacturing activities in our southwestern China factory in September 2023 and have substantially completed its shutdown. We are also working to downsize our factory in Mexico due to decreased demand in our U.S. market and our Vietnam facility's ability to supply our North American customers. As a result of these decisions, we have recorded impairment charges of $7.7 million and severance and other restructuring expenses of $4.0 million during the year ended December 31, 2023.</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our Mexico facility as part of our long-term factory planning strategy. We are currently planning to downsize and streamline the Mexico operations by moving to a smaller, more efficient facility. We expect to commence operations in this downsized facility in the second quarter of 2024, which may result in a material amount of severance and moving costs. We will continue to evaluate our global factory footprint to identify ways to operate more efficiently and decisions may result in charges that could have a material effect on the consolidated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8" w:lineRule="exact"/>
        <w:rPr>
          <w:sz w:val="20"/>
          <w:szCs w:val="20"/>
          <w:color w:val="auto"/>
        </w:rPr>
      </w:pPr>
    </w:p>
    <w:p>
      <w:pPr>
        <w:jc w:val="both"/>
        <w:ind w:firstLine="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Timing of Revenue Recognition </w:t>
      </w:r>
      <w:r>
        <w:rPr>
          <w:rFonts w:ascii="Times New Roman" w:cs="Times New Roman" w:eastAsia="Times New Roman" w:hAnsi="Times New Roman"/>
          <w:sz w:val="18"/>
          <w:szCs w:val="18"/>
          <w:color w:val="auto"/>
        </w:rPr>
        <w:t>– When determining the classification of over time versus point in time revenue recognition, there is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exercised by management in identifying and evaluating whether new contracts and/or products meet the criteria for over time or point in time revenue recognition. Significant judgments include the evaluation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 We license our symbolic intellectual property which includes our patented technologies and database of control codes.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for these licensing arrangements on an over time basis. We record license revenue for per-unit based licenses when our customers manufacture or ship a product incorporating our intellectual property and we have a present right to payment. The number of shipped units is estimated based on historical royalty revenue and other known factors. If actual shipped units differ from our estimates we will record a reduction or increase to net sales in the period the actuals are reported by the licensee, typically in the following quarter.</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Returns and Allowances </w:t>
      </w:r>
      <w:r>
        <w:rPr>
          <w:rFonts w:ascii="Times New Roman" w:cs="Times New Roman" w:eastAsia="Times New Roman" w:hAnsi="Times New Roman"/>
          <w:sz w:val="18"/>
          <w:szCs w:val="18"/>
          <w:color w:val="auto"/>
        </w:rPr>
        <w:t>– A provision is recorded for estimated sales returns and allowances and is deducted from gross sales to arrive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0" w:lineRule="exact"/>
        <w:rPr>
          <w:sz w:val="20"/>
          <w:szCs w:val="20"/>
          <w:color w:val="auto"/>
        </w:rPr>
      </w:pPr>
    </w:p>
    <w:p>
      <w:pPr>
        <w:jc w:val="both"/>
        <w:ind w:firstLine="18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Discounts and Rebates </w:t>
      </w:r>
      <w:r>
        <w:rPr>
          <w:rFonts w:ascii="Times New Roman" w:cs="Times New Roman" w:eastAsia="Times New Roman" w:hAnsi="Times New Roman"/>
          <w:sz w:val="18"/>
          <w:szCs w:val="18"/>
          <w:color w:val="auto"/>
        </w:rPr>
        <w:t>– A provision is recorded for estimated sales discounts and rebates and is deducted from gross sales to arrive at net sales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the related revenue is recorded. We accrue for discounts and rebates based on historical experience and our expectations regarding future sales to our customers. Changes in such accruals may be required if actual discounts and rebates differ from our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$1.0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ind w:right="20" w:firstLine="8"/>
        <w:spacing w:after="0" w:line="260"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our annual impairment test, and any required interim tests, using the optional qualitative assessment, weighing the relative impact of factors that are specific to our single reporting unit including our market capitalization compared to the carrying value of our stockholders' equity,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optional qualitative assessment, we perform a quantitative impairment test, using cash flow projections, discounted by our weighted-average cost of capital. In addition to any quantitative impairment analysis, we also consider the implied control premium compared to our market capitalization.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and risk-adjusted discount rates. In addition, we make certain judgments and assumptions in determining our reporting unit. We base our fair value estimates on assumptions we believe to be reasonable but that are unpredictable and inherently uncertain. Actual future results may differ from those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and Intangible Assets Impairment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 previously estimated useful life; or (5) a significant decline in our stock price for a sustained period.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Determining the recoverability of long-lived or intangible assets is judgmental in nature and involves the use of significant estimates and assumptions. These estimates and assumptions include revenue growth rates and operating margins used to calculate projected future cash flows and the future market value of our asset group. In addition, we make certain judgments and assumptions in determining our asset group. We base our recoverability estimates on assumptions we believe to be reasonable but that are unpredictable and inherently uncertain. Actual future results may differ from those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could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a percentage of net sales for the periods indicated.</w:t>
      </w:r>
    </w:p>
    <w:p>
      <w:pPr>
        <w:spacing w:after="0" w:line="23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("2023") Compared to Year Ended December 31, 2022 ("2022")</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2023 were $420.5 million, a decrease of 22.5% compared to $542.8 million in 2022. Lower customer demand in our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channel, consisting of video service providers and consumer electronics companies, was the primary reason for the decline in sales.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Gross profit in 2023 was $97.6 million compared to $152.3 million in 2022. Gross profit as a percent of sales decreased to 23.2% in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28.1% in 2022. Gross profit as a percentage of sales was adversely impacted by excess capacity which resulted in manufacturing inefficiencies. In an effort to optimize our factory footprint and reduce capacity to be commensurate with current demand, we impaired machinery and equipment and leasehold improvements associated with the closure of our southwestern China factory, which ceased manufacturing operations in September 2023. We also incurred impairment charges relating to machinery and equipment at our Mexico factory. In addition, we incurred start-up costs in the first half of 2023 associated with our Vietnam facility. Overall, operations in our new Vietnam factory have exceeded our expectations and we expect continued improvement in production efficiencies as it scales. Partially offsetting these items was a stronger U.S. dollar versus the Chinese Yuan Renminbi.</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3.6% to $31.3 million in 2023 from $32.5 million in 2022. The decrease in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is primarily due to reduced external product development expenses.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Factory restructuring charges. </w:t>
      </w:r>
      <w:r>
        <w:rPr>
          <w:rFonts w:ascii="Times New Roman" w:cs="Times New Roman" w:eastAsia="Times New Roman" w:hAnsi="Times New Roman"/>
          <w:sz w:val="18"/>
          <w:szCs w:val="18"/>
          <w:color w:val="auto"/>
        </w:rPr>
        <w:t>During the year ended December 31, 2023, we recorded $4.0 million in expense, which included severance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closure of our southern China factory. In addition, we incurred expenses to move equipment from our Mexico factory to our Vietnam factory.</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6.5% to $98.5 million in 2023 from $105.3 million in 2022,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outside legal expenses related to a specific legal matter, as well as cost savings initiatives executed in 2023.</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During the year ended December 31, 2023, we recorded a non-cash goodwill impairment charge of $49.1 million due to our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being significantly less than the carrying value of our equity.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increased to $4.3 million in 2023 from $2.2 million in 2022 as a result of a higher interest rate,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a lower average loan balance and increased interest income.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was $2.6 million in 2023, compared to other expense, net of $1.0 million in 2022, both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net foreign currency losses offset partially by fixed asset sales.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$6.0 million in 2023 compared to $11.0 million in 2022. Our effective tax rate in 2023 and 2022, (6.5)%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96.4%, respectively, differs from the U.S. statutory rate of 21% primarily as a result of our jurisdictional mix of pre-tax income/loss, as well as losses incurred in the U.S. which are not benefited due to a valuation allowance.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share repurchases and past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liquidity is subject to various risks including the market risks identified in "ITEM 7A. QUANTITATIVE AND QUALITATIVE DISCLOSURES ABOUT MARKET RISK".</w:t>
      </w: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66,740</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bl>
    <w:p>
      <w:pPr>
        <w:spacing w:after="0" w:line="3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At December 31, 2023, we had $8.5 million, $11.1 million, $2.4 million, $8.2 million and $12.6 million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 Borrowing Resources </w:t>
      </w:r>
      <w:r>
        <w:rPr>
          <w:rFonts w:ascii="Times New Roman" w:cs="Times New Roman" w:eastAsia="Times New Roman" w:hAnsi="Times New Roman"/>
          <w:sz w:val="18"/>
          <w:szCs w:val="18"/>
          <w:color w:val="auto"/>
        </w:rPr>
        <w:t>– Our Second Amended and Restated Credit Agreement ("Second Amended Credit Agreement") with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("U.S. Bank") provides for a $125.0 million revolving line of credit ("Credit Line") that expires on April 30, 2024. On March 13, 2024, we executed an amendment to our Second Amended Credit Agreement, which adjusts the Credit Line to a two-tiered limit of $85.0 million up to $100.0 million (subject to meeting certain financial conditions) and extends the term to April 30, 2025.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2023. At December 31, 2023, we had an outstanding balance of $55.0 million on our Credit Line and $70.0 million of availability.</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9" for further information regarding our Credit Line.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66,740</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121,567</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$25.2 million during 2023 compared to $10.9 million during 2022. Net loss was $98.2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which includes the impairment of goodwill of $49.1 million and long-lived assets of $8.0 million, compared to net income of $0.4 million for the year ended December 31, 2022. Inventories decreased by $51.5 million during the year ended December 31, 2023 compared to an increase of $9.9 million during the year ended December 31, 2022. This significant decrease in inventories is primarily the result of less demand for our video service products. In addition, lead times for components and raw materials have normalized, enabling more efficient production planning. Our inventory turns increased to 2.8 turns at December 31, 2023 compared to 2.2 turns at December 31, 2022. Changes in accounts receivables and contract assets resulted in cash inflows of $5.0 million during the year ended December 31, 2023 compared to $12.8 million during the year ended December 31, 2022, largely as a result of a reduction in sales during 2023 offset by an increase in days sales outstanding. Days sales outstanding were 94 days at December 31, 2023 compared to 80 days at December 31, 2022. Changes in accounts payable and accrued liabilities resulted in cash outflows of $21.4 million and $28.7 million during the years ended December 31, 2023 and December 31, 2022, respectively, due primarily to a decrease in inventory purchases as a result of lower demand. Changes in accrued income taxes resulted in cash outflows of $3.5 million during the year ended December 31, 2023 compared to $2.1 million during the year ended December 31, 2022.</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2023 was $13.9 million, of which $8.1 million and $5.8 million was used for capital expenditures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patents, respectively. Net cash used for investing activities during 2022 was $21.2 million, of which $7.5 million, $0.9 million, $14.0 million and $6.6 million was used for the purchase of our term deposit investment, acquisition of Qterics Inc., capital expenditures, and the development of patents, respectively. Offsetting these amounts was $7.8 million received upon the redemption of our term deposit investment.</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cash flows used for investing activities are largely dependent on the timing and amount of capital expenditures. We estimate that we will incur between $9.0 million and $11.0 million in 2024, which includes amounts associated with our factory in Vietnam, which commenced operations during the second quarter of 2023.</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$34.8 million during 2023 compared to net cash provided by financing activities of $20.5 million during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primary financing activities in 2023 and 2022 were borrowings and repayments on our line of credit and repurchases of shares of our common stock. Net repayments on our line of credit were $33.0 million in 2023 and net borrowings were $32.0 million in 2022. During 2023, we purchased 164,540 shares of our common stock at a cost of $1.8 million compared to 434,107 shares at a cost of $13.0 million during 2022.</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"ITEM 8. FINANCIAL STATEMENTS AND SUPPLEMENTARY DATA - Notes to Consolidated Financial Statements - Note 14" for further information regarding our share repurchase programs.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Cash Commitments </w:t>
      </w:r>
      <w:r>
        <w:rPr>
          <w:rFonts w:ascii="Times New Roman" w:cs="Times New Roman" w:eastAsia="Times New Roman" w:hAnsi="Times New Roman"/>
          <w:sz w:val="18"/>
          <w:szCs w:val="18"/>
          <w:color w:val="auto"/>
        </w:rPr>
        <w:t>– The following table summarizes our material cash commitments and the effect these commitments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our cash flows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2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Line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material cash commitments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meeting our material cash commitments with our cash generated from operations and available borrowing on our Credit Line.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2" for a discussion of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 $0.4 million annual impact on net income based on our outstanding Credit Line balance at December 31,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2023,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Korean Won and Vietnamese Dong.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Korean Won and Vietnamese Dong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2023,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December 31, 2023, net income in the first quarter of 2024 would fluctuate by approximately $4.9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2023 and 2022</w:t>
            </w:r>
          </w:p>
        </w:tc>
        <w:tc>
          <w:tcPr>
            <w:tcW w:w="6440" w:type="dxa"/>
            <w:vAlign w:val="bottom"/>
            <w:gridSpan w:val="4"/>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Comprehensive Income (Loss) Statements for the Years Ended December 31, 2023, 2022 and 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3260" w:type="dxa"/>
            <w:vAlign w:val="bottom"/>
            <w:gridSpan w:val="2"/>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40" w:type="dxa"/>
            <w:vAlign w:val="bottom"/>
            <w:gridSpan w:val="3"/>
          </w:tcPr>
          <w:p>
            <w:pPr>
              <w:spacing w:after="0"/>
              <w:rPr>
                <w:sz w:val="18"/>
                <w:szCs w:val="18"/>
                <w:color w:val="auto"/>
              </w:rPr>
            </w:pPr>
          </w:p>
        </w:tc>
        <w:tc>
          <w:tcPr>
            <w:tcW w:w="398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Universal Electronics Inc. (a Delaware corporation) and subsidiaries (the "Company") as of December 31, 2023 and 2022, the related consolidated statements of operations, comprehensive income (loss), stockholders' equity, and cash flows for each of the three years in the period ended December 31, 2023, and the related notes and financial statement schedules included under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14, 2024,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Identifying and evaluating terms and conditions in contracts for the timing of revenue recognition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further in Note 2 and Note 4 to the consolidated financial statements, product revenue is generated through manufacturing and delivering universal control, sensing, and automation products, and AV accessories. The Company recognizes revenue over time for custom products with no alternative use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contract and/or product, management performs an analysis to determine whether the asset created is a custom asset with no alternative use and whether the terms and conditions of the contract indicate the Company has an enforceable right to payment, with a reasonable margin, for performance completed prior to the transfer of control of the underlying asset. We identified the determination of over-time versus point-in-time revenue recognition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over-time versus point-in-time revenue recognition is a critical audit matter is the significant judgment exercised by management in identifying and evaluating whether new contracts and/or products meet the criteria for over-time or point-in-time revenue recognition. Significant judgments include the evaluation of contractual legal terms and rights within each jurisdiction in which the Company operates and evaluation of whether it is possible, contractually or economically, to repurpose or redirect products for an alternative use. Our audit procedures related to the over-time versus point-in-time revenue recognition included the following, among others</w:t>
      </w:r>
      <w:r>
        <w:rPr>
          <w:rFonts w:ascii="Times New Roman" w:cs="Times New Roman" w:eastAsia="Times New Roman" w:hAnsi="Times New Roman"/>
          <w:sz w:val="18"/>
          <w:szCs w:val="18"/>
          <w:color w:val="0000FF"/>
        </w:rPr>
        <w:t>:</w:t>
      </w:r>
    </w:p>
    <w:p>
      <w:pPr>
        <w:spacing w:after="0" w:line="210" w:lineRule="exact"/>
        <w:rPr>
          <w:sz w:val="20"/>
          <w:szCs w:val="20"/>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over the Company’s new and amended contract review process, specifically those related to the identification and evaluation of terms and conditions associated with an enforceable right to payment.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associated with the Company’s classification of new products, including those associated with the determination and classification of a product as having no alternative use.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87"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products from the Company's active products listing, we performed testing to determine whether products marked as custom with no alternative use are restricted, contractually or economically, to be repurposed or redirected. This includes evaluating management judgment regarding the economic feasibility of repurposing a finished product and evidence to support that the final product has no alternative use.</w:t>
      </w: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revenue transactions, we traced the products sold into the Company’s listing of active products and determined whether that product was appropriately classified as custom or non-custom. For transactions selected with custom products, we also obtained and read the contract and contract amendments to determine whether the payment terms within the contract specifically identified an enforceable right to payment, including a reasonable margin, upon cancellation. The two parts to this test serve to determine whether the transaction was appropriately recorded over time or at a point in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338,040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49,085</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71,373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Line of credit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216,473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235,757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4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50,000,000 shares authorized; 25,346,383 and 24,999,951 shares issued on</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December 31, 2023 and 2022, respectively</w:t>
            </w: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326,839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12,459,845 and 12,295,305 shares on December 31, 2023 and 2022, respectively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(368,194)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330,698</w:t>
            </w:r>
          </w:p>
        </w:tc>
        <w:tc>
          <w:tcPr>
            <w:tcW w:w="0" w:type="dxa"/>
            <w:vAlign w:val="bottom"/>
          </w:tcPr>
          <w:p>
            <w:pPr>
              <w:spacing w:after="0"/>
              <w:rPr>
                <w:sz w:val="1"/>
                <w:szCs w:val="1"/>
                <w:color w:val="auto"/>
              </w:rPr>
            </w:pPr>
          </w:p>
        </w:tc>
      </w:tr>
      <w:tr>
        <w:trPr>
          <w:trHeight w:val="207"/>
        </w:trPr>
        <w:tc>
          <w:tcPr>
            <w:tcW w:w="74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268,406</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601,602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428,586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 due to 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206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Issued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in Treasury</w:t>
            </w: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40" w:type="dxa"/>
            <w:vAlign w:val="bottom"/>
            <w:gridSpan w:val="3"/>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2"/>
                <w:szCs w:val="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line="20" w:lineRule="exact"/>
              <w:rPr>
                <w:sz w:val="1"/>
                <w:szCs w:val="1"/>
                <w:color w:val="auto"/>
              </w:rPr>
            </w:pPr>
          </w:p>
        </w:tc>
      </w:tr>
      <w:tr>
        <w:trPr>
          <w:trHeight w:val="171"/>
        </w:trPr>
        <w:tc>
          <w:tcPr>
            <w:tcW w:w="3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(295,495)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324,990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313,301</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foreign currency translation due to sale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Argentina subsidiary</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Performance-based common stock warrants</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275,949</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268,406</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to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25,346</w:t>
            </w:r>
          </w:p>
        </w:tc>
        <w:tc>
          <w:tcPr>
            <w:tcW w:w="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(369,973)</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336,938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232,460</w:t>
            </w:r>
          </w:p>
        </w:tc>
        <w:tc>
          <w:tcPr>
            <w:tcW w:w="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175"/>
        </w:trPr>
        <w:tc>
          <w:tcPr>
            <w:tcW w:w="6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r>
      <w:tr>
        <w:trPr>
          <w:trHeight w:val="230"/>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Shares issued for employee benefit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and director 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Performance-based common stock warrants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sale of Argentina subsidiary, net of cash transferred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30"/>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0"/>
        </w:trPr>
        <w:tc>
          <w:tcPr>
            <w:tcW w:w="6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r>
      <w:tr>
        <w:trPr>
          <w:trHeight w:val="229"/>
        </w:trPr>
        <w:tc>
          <w:tcPr>
            <w:tcW w:w="6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6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69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Accrued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3"/>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term deposit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term deposit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the net assets of Qterics, Inc.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r>
      <w:tr>
        <w:trPr>
          <w:trHeight w:val="223"/>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line of credit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w:t>
            </w: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purchased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(59,664)</w:t>
            </w:r>
          </w:p>
        </w:tc>
      </w:tr>
      <w:tr>
        <w:trPr>
          <w:trHeight w:val="223"/>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(22,026)</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60,813</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Universal Electronics Inc. ("UEI"), based in Scottsdale, Arizona, designs, develops, manufactures, ships and supports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In addition, over the past 37 years, we have developed a broad portfolio of patented technologies and cloud-based connectivity and control software solutions that we license to our customers, including many leading Fortune 500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 methods for our control solutions vary depending on the sales channel. We license our connectivity and control solution technologies across a variety of channels, primarily to original equipment manufacturers ("OEMs"). We distribute remote control devices, integrated circuits, home security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we sell our wireless control devices and AV accessories under the One For All®, Ecolink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terms "we", "us" and "our" refer to Universal Electronics Inc. and its subsidiaries unless the context indicates to the contrary.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 Actual results may differ from these assumptions and estimates, and they may be adjusted as more information becomes available. Any adjustment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1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 Product revenue is generated through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at a point in time if the criteria for recognizing revenue over time are not met, the title of the goods has transferred and we have a present right to payment.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01" w:lineRule="exact"/>
        <w:rPr>
          <w:sz w:val="20"/>
          <w:szCs w:val="20"/>
          <w:color w:val="auto"/>
        </w:rPr>
      </w:pPr>
    </w:p>
    <w:p>
      <w:pPr>
        <w:jc w:val="both"/>
        <w:ind w:right="20" w:firstLine="2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Contract assets represent the value of revenue recognized over time for which we have not yet invoiced the customer. Generally,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 the customer within 90 days of revenue recognition.</w:t>
      </w:r>
    </w:p>
    <w:p>
      <w:pPr>
        <w:spacing w:after="0" w:line="185"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A contract liability is recorded when consideration is received from a customer prior to fully satisfying a performance obligation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contract. Our contract liabilities primarily consist of cash received in advance of providing our cloud-based software services. These contract liabilities will be recognized as revenues when control of the related product or service is transferred to the customer. See Note 4 for further information concerning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sales-related matters - </w:t>
      </w:r>
      <w:r>
        <w:rPr>
          <w:rFonts w:ascii="Times New Roman" w:cs="Times New Roman" w:eastAsia="Times New Roman" w:hAnsi="Times New Roman"/>
          <w:sz w:val="18"/>
          <w:szCs w:val="18"/>
          <w:color w:val="auto"/>
        </w:rPr>
        <w:t>Trade receivables are recorded at the invoiced amount and do not bear interest. Payment terms are typically on open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consistent with industry practice and do not have significant financing components. We accrue for discounts and rebates based on historical experience and our expectations regarding future sales to our customers. Accruals for discounts and rebates are recorded as a reduction to sales in the same period as the related revenue. Such discounts were $10.5 million and $12.2 million at December 31, 2023 and 2022, respectively. Changes in such accruals may be required if future rebates and incentives differ from our estimates.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deferred tax assets by evaluating both positive and negative evidence that may exist. Any adjustment to the net deferred tax asset valuation allowance would be recorded in the income statement for the period that the adjustment is determined to be required.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further information concerning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salaries, employee benefits, supplies and materials.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totaled $0.6 million, $0.5 million and $0.8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Fees and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Shipping and handling costs associated with in-bound freight or amounts billed to customers are recorded in cost of sales. Other shipping and handling costs are included in selling, general and administrative expenses. Shipping and handling fees and costs totaled $8.3 million, $10.8 million and $11.8 million for the years ended December 31, 2023, 2022 and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grant date fair value of stock-based compensation awards as expense in proportion to vesting during the derived service period, which ranges from one to three years. Forfeitures of stock-based awards are accounted for as they occur. Upon the exercise of stock options or the vesting of restricted stock awards, newly issued shares of our common stock are issued. Our stock-based compensation awards are made at the discretion of the Compensation Committee and are not timed or coordinated with the release of material, non-public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fair value of restricted stock awards with a service condition utilizing the average of the high and low trading prices of our common shares on the date they were granted.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Common Stock Warrants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 See Note 16 for further information regarding performance-based common stock warrants.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Foreign Currency Transactions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term deposit,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19 for further information concerning our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Term Deposit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include cash accounts and all investments purchased with initial maturities of three months or less. Our term deposit, entered into on January 24, 2022, had an initial maturity of one year, but was redeemed prior to December 31, 2022.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consist of remote controls,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lives are as follows:</w:t>
            </w:r>
          </w:p>
        </w:tc>
        <w:tc>
          <w:tcPr>
            <w:tcW w:w="4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25-33 years</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 and equipment</w:t>
            </w: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 years</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3-7 years</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 years</w:t>
            </w:r>
          </w:p>
        </w:tc>
      </w:tr>
      <w:tr>
        <w:trPr>
          <w:trHeight w:val="175"/>
        </w:trPr>
        <w:tc>
          <w:tcPr>
            <w:tcW w:w="6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Leasehold and building improvements</w:t>
            </w:r>
          </w:p>
        </w:tc>
        <w:tc>
          <w:tcPr>
            <w:tcW w:w="47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Lesser of lease term or useful life</w:t>
            </w:r>
          </w:p>
        </w:tc>
      </w:tr>
      <w:tr>
        <w:trPr>
          <w:trHeight w:val="234"/>
        </w:trPr>
        <w:tc>
          <w:tcPr>
            <w:tcW w:w="644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(approximately 2 to 10 years)</w:t>
            </w:r>
          </w:p>
        </w:tc>
      </w:tr>
      <w:tr>
        <w:trPr>
          <w:trHeight w:val="56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See Note 6 for further information concerning our property, plant, and equipment.</w:t>
            </w:r>
          </w:p>
        </w:tc>
        <w:tc>
          <w:tcPr>
            <w:tcW w:w="4780" w:type="dxa"/>
            <w:vAlign w:val="bottom"/>
          </w:tcPr>
          <w:p>
            <w:pPr>
              <w:spacing w:after="0"/>
              <w:rPr>
                <w:sz w:val="24"/>
                <w:szCs w:val="24"/>
                <w:color w:val="auto"/>
              </w:rPr>
            </w:pPr>
          </w:p>
        </w:tc>
      </w:tr>
      <w:tr>
        <w:trPr>
          <w:trHeight w:val="459"/>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78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our annual impairment test, and any required interim tests, using the optional qualitative assessment, weighing the relative impact of factors that are specific to our single reporting unit including our market capitalization compared to the carrying value of our stockholders' equity,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optional qualitative assessment, we perform a quantitative impairment test, using cash flow projections, discounted by our weighted-average cost of capital. In addition to any quantitative impairment analysis, we also consider the implied control premium compared to our market capitalization.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further information concerning goodwill and goodwill impairment.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capitalized software development costs, customer relationships, developed and core technologies, distribution rights,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lives are as follows:</w:t>
            </w:r>
          </w:p>
        </w:tc>
        <w:tc>
          <w:tcPr>
            <w:tcW w:w="544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 years</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10-15 years</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5-15 years</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5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5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 years</w:t>
            </w:r>
          </w:p>
        </w:tc>
      </w:tr>
      <w:tr>
        <w:trPr>
          <w:trHeight w:val="54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See Note 7 for further information concerning intangible assets.</w:t>
            </w:r>
          </w:p>
        </w:tc>
        <w:tc>
          <w:tcPr>
            <w:tcW w:w="544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and Intangible Assets Impairment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its previously estimated useful life; or (5) a significant decline in our stock price for a sustained period.</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further information concerning long-lived assets. See Note 7 for further information concerning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two extensions at the then current market rate. Lease expense for lease payments is recognized on a straight-line basis over the lease term.</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twelve months or less, or on a month-to-month basis,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further information concerning our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10" w:lineRule="exact"/>
        <w:rPr>
          <w:sz w:val="20"/>
          <w:szCs w:val="20"/>
          <w:color w:val="auto"/>
        </w:rPr>
      </w:pPr>
    </w:p>
    <w:p>
      <w:pPr>
        <w:ind w:left="660" w:right="20" w:hanging="409"/>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 from customer contracts, customer lists, distribution agreements, acquired developed technologies, trademarks, trade names and patents;</w:t>
      </w:r>
    </w:p>
    <w:p>
      <w:pPr>
        <w:ind w:left="660" w:hanging="409"/>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complete development of in-process technology into commercially viable products and cash flows from the products once they are completed;</w:t>
      </w:r>
    </w:p>
    <w:p>
      <w:pPr>
        <w:ind w:left="660" w:hanging="409"/>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market position, as well as assumptions regarding the period of time the brand will continue to be used in our product portfolio; and</w:t>
      </w:r>
    </w:p>
    <w:p>
      <w:pPr>
        <w:ind w:left="660" w:hanging="4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utilized in discounted cash flow models.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21 for further information concerning business combinations.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currency exposures are primarily concentrated in the Brazilian Real, British Pound, Chinese Yuan Renminbi, Euro, Hong Kong Dollar, Indian Rupee, Japanese Yen, Korean Won, Mexican Peso and Vietnamese Dong.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Fair-Value Measurements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fair value using the framework established by the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(unadjusted) for identical instruments in active markets.</w:t>
      </w:r>
    </w:p>
    <w:p>
      <w:pPr>
        <w:spacing w:after="0" w:line="77" w:lineRule="exact"/>
        <w:rPr>
          <w:sz w:val="20"/>
          <w:szCs w:val="20"/>
          <w:color w:val="auto"/>
        </w:rPr>
      </w:pPr>
    </w:p>
    <w:p>
      <w:pPr>
        <w:jc w:val="both"/>
        <w:ind w:left="1020" w:right="20" w:hanging="998"/>
        <w:spacing w:after="0" w:line="222" w:lineRule="auto"/>
        <w:tabs>
          <w:tab w:leader="none" w:pos="10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w:t>
      </w:r>
    </w:p>
    <w:p>
      <w:pPr>
        <w:spacing w:after="0" w:line="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market data for substantially the full term of the assets or liabilities.</w:t>
      </w:r>
    </w:p>
    <w:p>
      <w:pPr>
        <w:spacing w:after="0" w:line="5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Prices or valuations that require management inputs that are both significant to the fair value measurement and unobservable.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Accounting Pronouncements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Updates Not Yet Effective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 Improvements to Reportable Segments Disclosures." The guidance enhances disclosures of significant segment expenses by requiring the disclosure of significant segment expenses regularly provided to the chief operating decision maker, extends certain annual disclosures to interim periods, and permits more than one measure of segment profit or loss to be reported under certain conditions. All disclosure requirements are also required for companies with a single reportable segment. The guidance is effective in fiscal years beginning after December 15, 2023, and interim periods within fiscal years beginning after December 15, 2024. Early adoption of the guidance is permitted, including adoption in any interim periods for which financial statements have not been issued. The Company is currently evaluating the guidance and its impact to the financial statements and related disclosures.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Tax Disclosures." The guidance expands disclosures in an entity’s income tax rate reconciliation table and regarding cash taxes paid both in the U.S. and foreign jurisdictions. The guidance will be effective for annual periods beginning after December 15, 2024. The Company is currently evaluating the guidance and its impact to the financial statements and related disclosures.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assessed all other ASUs issued but not yet adopted and concluded that those not disclosed are not relevant to the Company or are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Term Deposit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25, 2022, we entered into a one-year term deposit cash account with Banco Santander (Brasil) S.A., denominated in Brazilian Real. The term deposit earned interest at a variable annual rate based upon the Brazilian CDI overnight interbank rate. As of December 31, 2022, all of this term deposit was redeemed.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and 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324,433</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450,227</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498,554</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96,024</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103,048</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601,602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200,136</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126,551</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601,602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 totaled more than 10% of our net sales: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1"/>
                <w:szCs w:val="11"/>
                <w:color w:val="auto"/>
              </w:rPr>
            </w:pPr>
          </w:p>
        </w:tc>
        <w:tc>
          <w:tcPr>
            <w:tcW w:w="1220" w:type="dxa"/>
            <w:vAlign w:val="bottom"/>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20" w:type="dxa"/>
            <w:vAlign w:val="bottom"/>
          </w:tcPr>
          <w:p>
            <w:pPr>
              <w:spacing w:after="0"/>
              <w:rPr>
                <w:sz w:val="11"/>
                <w:szCs w:val="11"/>
                <w:color w:val="auto"/>
              </w:rPr>
            </w:pPr>
          </w:p>
        </w:tc>
        <w:tc>
          <w:tcPr>
            <w:tcW w:w="1200" w:type="dxa"/>
            <w:vAlign w:val="bottom"/>
          </w:tcPr>
          <w:p>
            <w:pPr>
              <w:jc w:val="right"/>
              <w:ind w:right="248"/>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3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98,361</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3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58,843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3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3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00" w:hanging="368"/>
        <w:spacing w:after="0"/>
        <w:tabs>
          <w:tab w:leader="none" w:pos="7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Sales associated with this customer did not total more than 10% of our net sales for the indicated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gross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accounts receivable is primarily comprised of value added tax and supplier rebate receivables.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associated with this significant customer that totaled more than 10% of our accounts receivable,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2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60" w:type="dxa"/>
            <w:vAlign w:val="bottom"/>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840" w:type="dxa"/>
            <w:vAlign w:val="bottom"/>
          </w:tcPr>
          <w:p>
            <w:pPr>
              <w:jc w:val="center"/>
              <w:ind w:left="391"/>
              <w:spacing w:after="0" w:line="137"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40" w:type="dxa"/>
            <w:vAlign w:val="bottom"/>
          </w:tcPr>
          <w:p>
            <w:pPr>
              <w:spacing w:after="0"/>
              <w:rPr>
                <w:sz w:val="11"/>
                <w:szCs w:val="11"/>
                <w:color w:val="auto"/>
              </w:rPr>
            </w:pP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12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2"/>
                <w:szCs w:val="12"/>
                <w:color w:val="auto"/>
              </w:rPr>
              <w:t>(1)</w:t>
            </w:r>
          </w:p>
        </w:tc>
        <w:tc>
          <w:tcPr>
            <w:tcW w:w="18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2"/>
                <w:szCs w:val="12"/>
                <w:color w:val="auto"/>
                <w:w w:val="99"/>
              </w:rPr>
              <w:t>(1)</w:t>
            </w: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20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88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80" w:hanging="348"/>
        <w:spacing w:after="0"/>
        <w:tabs>
          <w:tab w:leader="none" w:pos="6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Trade receivables associated with this customer did not total more than 10% of our accounts receivable, net for the indicated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current and non-current contract liability balances primarily relating to our firmware update provisioning and digital rights management validation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contract liabilities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liabilities acquired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29" w:lineRule="auto"/>
        <w:tabs>
          <w:tab w:leader="none" w:pos="517"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2022, we recognized $2.4 million of contract liabilities related to the Qterics, Inc. ("Qterics") acquisition. Refer to Note 21 for further information about this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and Significant Supplier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w:t>
      </w:r>
    </w:p>
    <w:p>
      <w:pPr>
        <w:spacing w:after="0" w:line="2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We purchase integrated circuits, components and finished goods from multiple sources. Purchases from the following supplier totaled 10% of our total inventory purchases:</w:t>
      </w: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02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40" w:type="dxa"/>
            <w:vAlign w:val="bottom"/>
          </w:tcPr>
          <w:p>
            <w:pPr>
              <w:spacing w:after="0"/>
              <w:rPr>
                <w:sz w:val="12"/>
                <w:szCs w:val="12"/>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40" w:type="dxa"/>
            <w:vAlign w:val="bottom"/>
          </w:tcPr>
          <w:p>
            <w:pPr>
              <w:spacing w:after="0"/>
              <w:rPr>
                <w:sz w:val="12"/>
                <w:szCs w:val="12"/>
                <w:color w:val="auto"/>
              </w:rPr>
            </w:pPr>
          </w:p>
        </w:tc>
        <w:tc>
          <w:tcPr>
            <w:tcW w:w="1500" w:type="dxa"/>
            <w:vAlign w:val="bottom"/>
            <w:gridSpan w:val="2"/>
          </w:tcPr>
          <w:p>
            <w:pPr>
              <w:ind w:left="280"/>
              <w:spacing w:after="0" w:line="146"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14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2"/>
                <w:szCs w:val="12"/>
                <w:color w:val="auto"/>
              </w:rPr>
            </w:pPr>
          </w:p>
        </w:tc>
        <w:tc>
          <w:tcPr>
            <w:tcW w:w="1520" w:type="dxa"/>
            <w:vAlign w:val="bottom"/>
            <w:gridSpan w:val="2"/>
          </w:tcPr>
          <w:p>
            <w:pPr>
              <w:ind w:left="300"/>
              <w:spacing w:after="0" w:line="146" w:lineRule="exact"/>
              <w:rPr>
                <w:sz w:val="20"/>
                <w:szCs w:val="20"/>
                <w:color w:val="auto"/>
              </w:rPr>
            </w:pPr>
            <w:r>
              <w:rPr>
                <w:rFonts w:ascii="Times New Roman" w:cs="Times New Roman" w:eastAsia="Times New Roman" w:hAnsi="Times New Roman"/>
                <w:sz w:val="14"/>
                <w:szCs w:val="14"/>
                <w:b w:val="1"/>
                <w:bCs w:val="1"/>
                <w:color w:val="auto"/>
              </w:rPr>
              <w:t>Inventory</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3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560" w:type="dxa"/>
            <w:vAlign w:val="bottom"/>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20" w:hanging="188"/>
        <w:spacing w:after="0"/>
        <w:tabs>
          <w:tab w:leader="none" w:pos="5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Purchases associated with this supplier did not total more than 10% of our total inventory purchases for the indicated period.</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trade payable balances from suppliers that totaled more than 10% of our total accounts payable at December 31, 2023 and December 31,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223,377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(170,474)</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$18.0 million, $19.9 million and $22.8 million for the years ended December 31, 2023, 2022 and 2021, respectively.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2023, as part of our manufacturing footprint optimization efforts, we made the decision to close our southwestern China factory and manufacturing operations were stopped in September 2023. We are also planning to downsize and streamline the Mexico operations by moving to a smaller, more efficient facility. As a result of these decisions, we recorded impairment charges of $7.7 million, of which $7.6 million and $0.1 million is recorded in cost of sales and selling, general and administrative expenses, respectively. In addition, during the year ended December 31, 2023, we recorded an additional $0.2 million of impairment charges, recorded in cost of sales, relating to the underutilization of property, plant and equipment in our other PRC-based factories. During the year ended December 31, 2022, we incurred $2.9 million in impairment charges, recorded in cost of sales, relating to the underutilization of certain property, plant and equipment in our Mexico factory. During the year ended December 31, 2021, we incurred $3.3 million in impairment charges, recorded in cost of sales, relating to the underutilization of property, plant and equipment in our PRC-based factories, as a result of our long-term factory planning strategy of reducing our concentration risk in that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was as follows:</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Leasehold and building improvements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Software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Tooling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construction in progress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3260"/>
        <w:spacing w:after="0" w:line="268" w:lineRule="auto"/>
        <w:rPr>
          <w:sz w:val="20"/>
          <w:szCs w:val="20"/>
          <w:color w:val="auto"/>
        </w:rPr>
      </w:pPr>
      <w:r>
        <w:rPr>
          <w:rFonts w:ascii="Times New Roman" w:cs="Times New Roman" w:eastAsia="Times New Roman" w:hAnsi="Times New Roman"/>
          <w:sz w:val="18"/>
          <w:szCs w:val="18"/>
          <w:b w:val="1"/>
          <w:bCs w:val="1"/>
          <w:color w:val="auto"/>
        </w:rPr>
        <w:t>UNIVERSAL ELECTRONICS INC. NOTES TO CONSOLIDATED FINANCIAL STATEMENTS DECEMBER 31, 2023</w:t>
      </w:r>
    </w:p>
    <w:p>
      <w:pPr>
        <w:spacing w:after="0" w:line="200" w:lineRule="exact"/>
        <w:rPr>
          <w:sz w:val="20"/>
          <w:szCs w:val="20"/>
          <w:color w:val="auto"/>
        </w:rPr>
      </w:pPr>
    </w:p>
    <w:p>
      <w:pPr>
        <w:spacing w:after="0" w:line="4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4560" w:type="dxa"/>
        <w:tblCellMar>
          <w:top w:w="0" w:type="dxa"/>
          <w:left w:w="0" w:type="dxa"/>
          <w:bottom w:w="0" w:type="dxa"/>
          <w:right w:w="0" w:type="dxa"/>
        </w:tblCellMar>
      </w:tblP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4"/>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29"/>
        </w:trPr>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29"/>
        </w:trPr>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4"/>
        </w:trPr>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-925195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-625475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-334010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320"/>
            <w:col w:w="7980"/>
          </w:cols>
          <w:pgMar w:left="320" w:top="114" w:right="339" w:bottom="1440" w:gutter="0" w:footer="0" w:header="0"/>
        </w:sectPr>
      </w:pP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most of the assets under construction will be placed into service during the first six months of 2024. We will begin to depreciate the cost of these assets under construction once they are placed into service.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which include property, plant, and equipment, net and operating lease ROU assets,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84,390</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determined that the implied control premium over our market capitalization to be substantial; therefore, we recorded an impairment charge of $49.1 million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ectPr>
          <w:pgSz w:w="11900" w:h="16838" w:orient="portrait"/>
          <w:cols w:equalWidth="0" w:num="1">
            <w:col w:w="11240"/>
          </w:cols>
          <w:pgMar w:left="320" w:top="114" w:right="339" w:bottom="144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Goodwill acquired during the period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Foreign exchange effects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0" w:hanging="853"/>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48,463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713</w:t>
      </w:r>
    </w:p>
    <w:p>
      <w:pPr>
        <w:spacing w:after="0" w:line="22"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49,085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(49,075)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31" w:lineRule="exact"/>
        <w:rPr>
          <w:sz w:val="20"/>
          <w:szCs w:val="20"/>
          <w:color w:val="auto"/>
        </w:rPr>
      </w:pPr>
    </w:p>
    <w:p>
      <w:pPr>
        <w:ind w:left="1160" w:hanging="1153"/>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9100" w:space="720"/>
            <w:col w:w="1420"/>
          </w:cols>
          <w:pgMar w:left="320" w:top="114" w:right="339" w:bottom="1440" w:gutter="0" w:footer="0" w:header="0"/>
          <w:type w:val="continuous"/>
        </w:sectPr>
      </w:pPr>
    </w:p>
    <w:p>
      <w:pPr>
        <w:ind w:left="660" w:right="20" w:hanging="328"/>
        <w:spacing w:after="0" w:line="229" w:lineRule="auto"/>
        <w:tabs>
          <w:tab w:leader="none" w:pos="53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2022, we recognized $0.7 million of goodwill related to the Qterics, Inc. acquisition. Refer to Note 21 for further information about this acquisition.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conducted annual goodwill impairment reviews on December 31, 2022 and 2021. Based on the analysis performed, we determined that our goodwill was not impaired.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8"/>
                <w:szCs w:val="28"/>
                <w:b w:val="1"/>
                <w:bCs w:val="1"/>
                <w:color w:val="auto"/>
                <w:vertAlign w:val="subscript"/>
              </w:rPr>
              <w:t>Net</w:t>
            </w:r>
            <w:r>
              <w:rPr>
                <w:rFonts w:ascii="Times New Roman" w:cs="Times New Roman" w:eastAsia="Times New Roman" w:hAnsi="Times New Roman"/>
                <w:sz w:val="9"/>
                <w:szCs w:val="9"/>
                <w:b w:val="1"/>
                <w:bCs w:val="1"/>
                <w:color w:val="auto"/>
              </w:rPr>
              <w:t xml:space="preserve"> (1)</w:t>
            </w:r>
          </w:p>
        </w:tc>
        <w:tc>
          <w:tcPr>
            <w:tcW w:w="3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820" w:type="dxa"/>
            <w:vAlign w:val="bottom"/>
            <w:vMerge w:val="restart"/>
          </w:tcPr>
          <w:p>
            <w:pPr>
              <w:jc w:val="right"/>
              <w:ind w:right="255"/>
              <w:spacing w:after="0"/>
              <w:rPr>
                <w:sz w:val="20"/>
                <w:szCs w:val="20"/>
                <w:color w:val="auto"/>
              </w:rPr>
            </w:pPr>
            <w:r>
              <w:rPr>
                <w:rFonts w:ascii="Times New Roman" w:cs="Times New Roman" w:eastAsia="Times New Roman" w:hAnsi="Times New Roman"/>
                <w:sz w:val="28"/>
                <w:szCs w:val="28"/>
                <w:b w:val="1"/>
                <w:bCs w:val="1"/>
                <w:color w:val="auto"/>
                <w:vertAlign w:val="subscript"/>
              </w:rPr>
              <w:t>Net</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$45.0 million and $43.7 million on December 31, 2023 and 2022, respectively.</w:t>
      </w:r>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jc w:val="center"/>
              <w:ind w:left="1352"/>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9800" w:type="dxa"/>
            <w:vAlign w:val="bottom"/>
          </w:tcPr>
          <w:p>
            <w:pPr>
              <w:jc w:val="center"/>
              <w:ind w:left="1352"/>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9800" w:type="dxa"/>
            <w:vAlign w:val="bottom"/>
          </w:tcPr>
          <w:p>
            <w:pPr>
              <w:jc w:val="center"/>
              <w:ind w:left="135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51"/>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December 31, 2023 is as follows: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weighted average amortization period of our intangible assets at December 31, 2023 is 6.5 years.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December 31, 2023, our operating leases had remaining lease terms of up to 37 years, including any reasonably probable extensions.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r>
      <w:tr>
        <w:trPr>
          <w:trHeight w:val="223"/>
        </w:trPr>
        <w:tc>
          <w:tcPr>
            <w:tcW w:w="7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20,536</w:t>
            </w:r>
          </w:p>
        </w:tc>
      </w:tr>
      <w:tr>
        <w:trPr>
          <w:trHeight w:val="21"/>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Operating lease expense, including variable and short-term lease costs which were insignificant to the total, operating lease cash flows and supplemental cash flow information were as follows:</w:t>
      </w: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6,555</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Non-cash release of operating lease obligations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 w:hanging="328"/>
        <w:spacing w:after="0" w:line="229"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2021, we were released from our guarantee of the lease obligation related to our Ohio call center which was sold in February 2020.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lease amendments for our southwestern China and Mexico factories during the year ended December 31, 2023 as a part of our manufacturing footprint optimization efforts. As a result of these modifications, our operating lease right-of-use assets decreased by $1.2 million and our total lease liabilities decreased by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p>
      <w:pPr>
        <w:spacing w:after="0" w:line="4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 at December 31, 2023. The reconciliation excludes short-term leases that are not recorded on the 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we did not have any operating leases that had not yet commenced.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Land Lease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one factory within the PRC on which the land is leased from the government as of December 31, 2023. This land lease was prepaid to the PRC government at the time our subsidiary occupied the land. We have obtained a land-use right certificate for the land pertaining to this factory.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factory is located in the city of Yangzhou in the Jiangsu province. The remaining net book value of this operating lease ROU was $2.2 million at December 31, 2023, and is being amortized on a straight-line basis over the remaining term of approximately 35 years. The buildings located on this land had a net book value of $12.3 million at December 31, 2023 and are being depreciated over a remaining weighted average period of approximately 16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Line of Credit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2023, we executed an amendment to our Second Amended and Restated Credit Agreement ("Second Amended Credit Agreement") with U.S. Bank National Association ("U.S. Bank"), which provides for a $125.0 million revolving line of credit ("Credit Line"). Among other things, the amendment to the Second Amended Credit Agreement extended the maturity of the revolving line of credit to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2023.</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Second Amended Credit Agreement, we may elect to pay interest on the Credit Line based on the Secured Overnight Financing Rate ("SOFR") plus an applicable margin (varying from 2.00% to 2.75%), or base rate (based on the prime rate of U.S. Bank or as otherwise specified in the Second Amended Credit Agreement) plus an applicable margin (varying from 0.00% to 0.75%). The applicable margins are calculated quarterly and vary based on our cash flow leverage ratio as set forth in the Second Amended Credit Agreement. The interest rates in effect at December 31, 2023 and 2022 were 8.06% and 5.62%, respectively. There are no commitment fees or unused line fees under the Second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From May 3, 2023 to March 31, 2024 (unless we elect to terminate earlier), our fixed charge coverage ratio and cash flow leverage ratio-based covenants are temporarily replaced with EBITDA-based covenants. Additionally, from May 3, 2023 to March 31, 2024 (unless we elect to terminate the temporary covenant provision earlier), the applicable margins are fixed at 2.75% and 0.75% for SOFR and base rate borrowing, respectively. At December 31, 2023, we were in compliance with the covenants and conditions of the Second Amended Credit Agreement.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we had $55.0 million outstanding under the Credit Line. Our total interest expense on borrowings was $6.0 million, $3.3 million and $0.9 million during the years ended December 31, 2023, 2022 and 2021,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13, 2024, we executed an amendment to our Second Amended Credit Agreement, which adjusts the Credit Line to a two-tiered limit of $85.0 million up to $100.0 million (subject to meeting certain financial conditions) and extends the term to April 30, 2025. Under the amended agreement, we pay interest on the Credit Line based on the SOFR plus a 3.00% margin. The amendment also introduces a facility fee of 0.25%. From January 1, 2024, to September 30, 2024, our covenants are based upon EBITDA and a minimum accounts receivable coverage ratio. From October 1, 2024, to December 31, 2024, our covenants are based upon a minimum fixed charge coverage ratio and a minimum accounts receivable coverage ratio. Subsequent to December 31, 2024, our covenants are based upon a minimum fixed charge coverage ratio and a maximum cash flow leverage ratio.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2022 and 2021, pre-tax income (loss) was attributed to the following jurisdictions: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pre-tax income (loss)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charged to operations was as follows:</w:t>
            </w:r>
          </w:p>
        </w:tc>
        <w:tc>
          <w:tcPr>
            <w:tcW w:w="1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1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were comprised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inventory costs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&amp; development costs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credits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4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pre-tax income from operations as a result of the following:</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statutory U.S.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previously taxed foreign earnings and profits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permanent benefit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undistributed earnings, net of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participation exemption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Liquidation of Cayman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items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Non-territorial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to return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intangible asset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rate change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Withholding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had U.S. federal and state Research and Development ("R&amp;D") income tax credit carryforwards of approximately $5.2 million and $13.5 million, respectively. The federal R&amp;D income tax credits begin expiring in 2039. The state R&amp;D income tax credits do not have an expiration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had U.S. federal, state and local, and foreign net operating loss carryforwards of approximately $19.8 million, $76.7 million and $10.3 million, respectively. The U.S. federal net operating loss carryforwards do not expire while the state and local and foreign net operating loss carryforwards begin to expire in 2024 and 2027, respectively.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Due to cumulative operating losses for the three years ended December 31, 2023, we have recorded a full valuation allowance against our U.S. federal and state deferred tax assets of $34.7 million and $22.8 million, respectively, as we have determined that it is more likely than not that the tax benefits will not be realized in the future. The valuation allowance increased by $15.1 million and $12.1 million during the years ended December 31, 2023 and 2022, respectively. The Company had an overall deferred tax liability as of December 31, 2022 for U.S. federal and state jurisdictions due to having indefinite lived deferred tax liabilities that could not be used as a source of income to offset deferred tax assets. Due to the goodwill impairment recorded during the year ended December 31, 2023 the deferred tax liability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and 2022, we had unrecognized tax benefits of approximately $3.4 million and $3.2 million, respectively, including interest and penalties. In accordance with accounting guidance, we have elected to classify interest and penalties as components of tax expense. Interest and penalties were immaterial for the year ended December 31, 2023, 2022 and 2021. Interest and penalties are included in the unrecognized tax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our gross unrecognized tax benefits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$3.3 million, $3.2 million and $3.0 million of the total amount of unrecognized tax benefits at December 31, 2023, 2022 and 2021, respectively, if not for the U.S. federal and state valuation allowance, would affect the annual effective tax rate, if recognized. We are unaware of any positions for which it is reasonably possible that the total amounts of unrecognized tax benefits will significantly increase within the next twelve months. We do not anticipate a decrease in unrecognized tax benefits within the next twelve months based on federal, state, and foreign statute expirations in various jurisdictions. We have classified uncertain tax positions as non-current income tax liabilities unless expected to be paid within one year.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federal, state and foreign income tax returns. As of December 31, 2023, the open statutes of limitations for our significant tax jurisdictions are as follows: U.S. federal for 2020 through 2022, state and local for 2019 through 2022, and foreign for 2017 through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 Reinvestment Assertion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2023, 2022 and 2021, we recorded a deferred tax liability of $0.4 million, $0.5 million and $0.9 million, respectively, relating to state tax and foreign tax withholding liabilities on future distributions.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CHIPS and Science Act of 2022</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2022, the CHIPS and Science Act of 2022 ("CHIPS Act") was enacted in the United States. The CHIPS Act will provide financial incentives to the semiconductor industry which are primarily directed at manufacturing activities within the United States for the qualifying property placed in service after December 31, 2022. As we currently outsource our manufacturing, the CHIPS Act did not have a material impact to our consolidated tax provision for the year ending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("IRA") was signed into law on August 16, 2022. The bill was meant to address the high inflation rate in the United States through various climate, energy, healthcare and other incentives. These incentives are meant to be paid for by the tax provisions included in the IRA, such as a new 15 percent corporate minimum tax, a 1 percent new excise tax on stock buybacks, additional IRS funding to improve taxpayer compliance and others. The IRA provisions are effective for tax years beginning after December 31, 2022. At this time, none of the IRA tax provisions had a material impact to our consolidated tax provision for the year ending December 31,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salary/wages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vacation/holiday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right="20" w:hanging="328"/>
        <w:spacing w:after="0" w:line="229"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2023, accrued severance expenses of $0.1 million related to the manufacturing footprint optimization efforts are included in this amount. See Note 13 for further information related to our restructuring activities.</w:t>
      </w:r>
    </w:p>
    <w:p>
      <w:pPr>
        <w:spacing w:after="0" w:line="9"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2023 and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Accrued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associated with fulfilled performance obligations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claim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hanging="328"/>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$0.2 million and $0.6 million at December 31, 2023 and 2022, respectively, associated with the purchase of property, plant and equipment.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Price Provisions and Other Anti-Takeover Measures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 costs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2023, we began implementing our plan to restructure and optimize our manufacturing footprint while reducing our concentration risk in the PRC. In conjunction with this plan, as of September 30, 2023, we have stopped all production activities and commenced the shutdown of our southwestern China factory. As a result, we incurred severance and equipment moving costs of $3.4 million and $0.6 million, respectively, during the year ended December 31, 2023, which are included within factory restructuring charges on our consolidated statements of operations. We expect the completion date of this factory restructuring to be in the first quarter of 2024 with total estimated restructuring charges of $4.1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liabilities are included in accrued compensation, accounts payable and other accrued liabilities on our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activities for the year ended December 31, 2023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1"/>
                <w:szCs w:val="11"/>
                <w:color w:val="auto"/>
              </w:rPr>
            </w:pPr>
          </w:p>
        </w:tc>
        <w:tc>
          <w:tcPr>
            <w:tcW w:w="110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Other Exit</w:t>
            </w:r>
          </w:p>
        </w:tc>
        <w:tc>
          <w:tcPr>
            <w:tcW w:w="0" w:type="dxa"/>
            <w:vAlign w:val="bottom"/>
          </w:tcPr>
          <w:p>
            <w:pPr>
              <w:spacing w:after="0"/>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incurred inception to date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estimated expense to be incurred after December 31,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Roku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Lawsuit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Now that the most of the PTAB matters have been concluded, we will ask the District Court to lift this stay.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of Roku, TCL, Hisense and Funai</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In January 2022, Roku filed its appeal of the ITC ruling with the U.S. Court of Appeals for the Federal Circuit (the "USCAFC"). Oral argument for this appeal was held on September 5, 2023 and in January 2024 the USCAFC issued its decision affirming the ITC ruling in full.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Lawsuit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Now that the most of the PTAB matters have been concluded, we will ask the District Court to lift this stay.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 Partes Reviews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Most of these PTAB actions have been completed, so we will petition the District Court to lift the stay on the 2018 and 2020 cases.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Trade Commission Investigation Request made by Roku against UEI and certain UEI Customers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an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Further, on October 23, 2023, the PTBA issued its Final Written Decision invalidating all of the claims Roku alleges we infringe.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Roku's appeal of the ITC case.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The parties have fully briefed their positions on this appeal and oral argument is expected to be set for later in 2024 and a decision sometime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Tongshun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23, 2024, Tongshun Company ("TS") filed suit against one of our subsidiary factories, Gemstar Technology (Yangzhou) Co. Ltd. ("GTY"), claiming among other things, breach of an employment agency, and as is standard in Chinese litigation matters such as these, TS has also requested the Court to order a hold on GTY's bank account for the total claimed amount of RMB 35 million. This asset protection order is a standard request and routinely granted. On February 5, 2024, we learned that the Court accepted the lawsuit filed by TS. The hearing on this matter has been scheduled for early March of this year. We will vigorously defend against these claims.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in India maintains a defined benefit pension plan ("India Plan") for local employees, which is consistent with local statutes and practices. The pension plan was adequately funded on December 31, 2023 based on its latest actuarial report. The India Plan has an independent external manager that advises us of the appropriate funding contribution requirements to which we comply. At December 31, 2023, approximately 56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2023 and 2022 for the India Plan was not material. During the years ended December 31, 2023, 2022 and 2021, the net periodic benefit costs were also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Treasury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October 26, 2023, our Board approved a new share repurchase program with an effective date of November 7, 2023 (the "October 2023 Program"). Pursuant to the October 2023 Program, we are authorized to repurchase up to 1,000,000 shares of our common stock. At December 31, 2023, we had 900,000 shares available for repurchase under the October 2023 Program. We may utilize various methods to effect the repurchases under the October 2023 Program, including open market repurchases, negotiated block transactions, accelerated share repurchases or open market solicitations for shares, some or all of which could be effected through Rule 10b5-1 plans.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repurchase shares of our issued and outstanding common stock to satisfy the cost of stock option exercises and/or income tax withholding obligations relating to the stock-based compensation of our employees and directors.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open market shares repurchased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54,868</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 and director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34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2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10.83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23.97</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45.89 %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48.49 %</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900"/>
        </w:trPr>
        <w:tc>
          <w:tcPr>
            <w:tcW w:w="4120" w:type="dxa"/>
            <w:vAlign w:val="bottom"/>
          </w:tcPr>
          <w:p>
            <w:pPr>
              <w:spacing w:after="0"/>
              <w:rPr>
                <w:sz w:val="24"/>
                <w:szCs w:val="24"/>
                <w:color w:val="auto"/>
              </w:rPr>
            </w:pP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66"/>
              <w:spacing w:after="0"/>
              <w:rPr>
                <w:sz w:val="20"/>
                <w:szCs w:val="20"/>
                <w:color w:val="auto"/>
              </w:rPr>
            </w:pPr>
            <w:r>
              <w:rPr>
                <w:rFonts w:ascii="Times New Roman" w:cs="Times New Roman" w:eastAsia="Times New Roman" w:hAnsi="Times New Roman"/>
                <w:sz w:val="13"/>
                <w:szCs w:val="13"/>
                <w:color w:val="auto"/>
                <w:w w:val="92"/>
              </w:rPr>
              <w:t>2021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8"/>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4"/>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4"/>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w w:val="98"/>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1"/>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rPr>
              <w:t>Aggregate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w w:val="95"/>
              </w:rPr>
              <w:t>Aggregate</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w w:val="98"/>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80" w:type="dxa"/>
            <w:vAlign w:val="bottom"/>
          </w:tcPr>
          <w:p>
            <w:pPr>
              <w:spacing w:after="0"/>
              <w:rPr>
                <w:sz w:val="9"/>
                <w:szCs w:val="9"/>
                <w:color w:val="auto"/>
              </w:rPr>
            </w:pPr>
          </w:p>
        </w:tc>
        <w:tc>
          <w:tcPr>
            <w:tcW w:w="58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color w:val="auto"/>
              </w:rPr>
              <w:t>Aggregate</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5"/>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color w:val="auto"/>
                <w:w w:val="99"/>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Number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9"/>
              </w:rPr>
              <w:t>Remaining</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1"/>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Contractual</w:t>
            </w:r>
          </w:p>
        </w:tc>
        <w:tc>
          <w:tcPr>
            <w:tcW w:w="8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color w:val="auto"/>
                <w:w w:val="98"/>
              </w:rPr>
              <w:t>Intrinsic</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color w:val="auto"/>
                <w:w w:val="98"/>
              </w:rPr>
              <w:t>Value</w:t>
            </w:r>
          </w:p>
        </w:tc>
        <w:tc>
          <w:tcPr>
            <w:tcW w:w="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color w:val="auto"/>
                <w:w w:val="91"/>
              </w:rPr>
              <w:t>Value</w:t>
            </w: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2"/>
              </w:rPr>
              <w:t>Term</w:t>
            </w:r>
          </w:p>
        </w:tc>
        <w:tc>
          <w:tcPr>
            <w:tcW w:w="80" w:type="dxa"/>
            <w:vAlign w:val="bottom"/>
          </w:tcPr>
          <w:p>
            <w:pPr>
              <w:spacing w:after="0"/>
              <w:rPr>
                <w:sz w:val="9"/>
                <w:szCs w:val="9"/>
                <w:color w:val="auto"/>
              </w:rPr>
            </w:pPr>
          </w:p>
        </w:tc>
        <w:tc>
          <w:tcPr>
            <w:tcW w:w="58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(in 000's)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(in 000's)</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6"/>
              </w:rPr>
              <w:t>(in 000's)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7"/>
              </w:rPr>
              <w:t>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 years)</w:t>
            </w:r>
          </w:p>
        </w:tc>
        <w:tc>
          <w:tcPr>
            <w:tcW w:w="80" w:type="dxa"/>
            <w:vAlign w:val="bottom"/>
          </w:tcPr>
          <w:p>
            <w:pPr>
              <w:spacing w:after="0"/>
              <w:rPr>
                <w:sz w:val="12"/>
                <w:szCs w:val="12"/>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rPr>
              <w:t>(in 000's)</w:t>
            </w: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at beginning of the year</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Granted</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Exercised</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w w:val="97"/>
              </w:rPr>
              <w:t>(80)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Forfeited/canceled/expired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7"/>
              </w:rPr>
              <w:t>(77)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1"/>
                <w:szCs w:val="11"/>
                <w:color w:val="auto"/>
              </w:rPr>
              <w:t xml:space="preserve">Outstanding at end of the year </w:t>
            </w:r>
            <w:r>
              <w:rPr>
                <w:rFonts w:ascii="Times New Roman" w:cs="Times New Roman" w:eastAsia="Times New Roman" w:hAnsi="Times New Roman"/>
                <w:sz w:val="14"/>
                <w:szCs w:val="14"/>
                <w:color w:val="auto"/>
                <w:vertAlign w:val="superscript"/>
              </w:rPr>
              <w:t>(1)</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782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880" w:type="dxa"/>
            <w:vAlign w:val="bottom"/>
            <w:tcBorders>
              <w:bottom w:val="single" w:sz="8" w:color="CCEEFF"/>
            </w:tcBorders>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3.15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3,780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95" w:lineRule="exact"/>
              <w:rPr>
                <w:sz w:val="20"/>
                <w:szCs w:val="20"/>
                <w:color w:val="auto"/>
              </w:rPr>
            </w:pPr>
            <w:r>
              <w:rPr>
                <w:rFonts w:ascii="Times New Roman" w:cs="Times New Roman" w:eastAsia="Times New Roman" w:hAnsi="Times New Roman"/>
                <w:sz w:val="11"/>
                <w:szCs w:val="11"/>
                <w:color w:val="auto"/>
                <w:w w:val="99"/>
              </w:rPr>
              <w:t>Vested and expected to vest at the end of the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00" w:type="dxa"/>
            <w:vAlign w:val="bottom"/>
            <w:vMerge w:val="continue"/>
          </w:tcPr>
          <w:p>
            <w:pPr>
              <w:spacing w:after="0"/>
              <w:rPr>
                <w:sz w:val="4"/>
                <w:szCs w:val="4"/>
                <w:color w:val="auto"/>
              </w:rPr>
            </w:pP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901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3.67</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rPr>
              <w:t>782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44.16</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3.45</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45.55</w:t>
            </w:r>
          </w:p>
        </w:tc>
        <w:tc>
          <w:tcPr>
            <w:tcW w:w="8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1"/>
                <w:szCs w:val="11"/>
                <w:color w:val="auto"/>
                <w:w w:val="93"/>
              </w:rPr>
              <w:t>3.15</w:t>
            </w:r>
          </w:p>
        </w:tc>
        <w:tc>
          <w:tcPr>
            <w:tcW w:w="10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3,780</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year </w:t>
            </w:r>
            <w:r>
              <w:rPr>
                <w:rFonts w:ascii="Times New Roman" w:cs="Times New Roman" w:eastAsia="Times New Roman" w:hAnsi="Times New Roman"/>
                <w:sz w:val="14"/>
                <w:szCs w:val="14"/>
                <w:color w:val="auto"/>
                <w:vertAlign w:val="superscript"/>
              </w:rPr>
              <w:t>(1)</w:t>
            </w:r>
          </w:p>
        </w:tc>
        <w:tc>
          <w:tcPr>
            <w:tcW w:w="6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Exercisable at the end of the year </w:t>
            </w:r>
            <w:r>
              <w:rPr>
                <w:rFonts w:ascii="Times New Roman" w:cs="Times New Roman" w:eastAsia="Times New Roman" w:hAnsi="Times New Roman"/>
                <w:sz w:val="14"/>
                <w:szCs w:val="14"/>
                <w:color w:val="auto"/>
                <w:vertAlign w:val="superscript"/>
              </w:rPr>
              <w:t>(1)</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45.77</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44.08</w:t>
            </w:r>
          </w:p>
        </w:tc>
        <w:tc>
          <w:tcPr>
            <w:tcW w:w="880" w:type="dxa"/>
            <w:vAlign w:val="bottom"/>
            <w:gridSpan w:val="3"/>
            <w:shd w:val="clear" w:color="auto" w:fill="CCEEFF"/>
          </w:tcPr>
          <w:p>
            <w:pPr>
              <w:jc w:val="center"/>
              <w:ind w:left="84"/>
              <w:spacing w:after="0"/>
              <w:rPr>
                <w:sz w:val="20"/>
                <w:szCs w:val="20"/>
                <w:color w:val="auto"/>
              </w:rPr>
            </w:pPr>
            <w:r>
              <w:rPr>
                <w:rFonts w:ascii="Times New Roman" w:cs="Times New Roman" w:eastAsia="Times New Roman" w:hAnsi="Times New Roman"/>
                <w:sz w:val="11"/>
                <w:szCs w:val="11"/>
                <w:color w:val="auto"/>
                <w:w w:val="93"/>
              </w:rPr>
              <w:t>2.58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3,608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2023, 2022 and 2021 and the exercise price, multiplied by the number of in-the-money options) that would have been received by the option holders had they all exercised their options on December 31, 2023, 2022 and 2021. This amount will change based on the fair market value of our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option exercises in the year ended December 31, 2023. The value of shares withheld in lieu of receiving cash from option exercises in the years ended December 31, 2022 and 2021 was $1.5 million and $0.6 million, respectively. Cash received from option exercises for the year ended December 31, 2021 was $1.0 million. There was no cash received from option exercises for the year ended December 31, 2022. The actual tax benefit realized from option exercises was $0.1 million and $0.2 million for the years ended December 31, 2022 and 2021,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option groups outstanding at December 31, 2023 and the related weighted average exercise price and life information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34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$24.77 to $34.56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$44.95 to $46.17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$52.85 to $62.70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expect to recognize $2.4 million of total unrecognized pre-tax stock-based compensation expense related to non-vested stock options over a remaining weighted-average life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beginning of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end of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expect to recognize $6.4 million of total unrecognized pre-tax stock-based compensation expense related to non-vested restricted stock awards over a weighted-average life of 1.6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2024, certain executives were granted 116,000 restricted stock awards, in the aggregate, in connection with the 2023 annual review cycle. These awards were granted as part of the executive compensation program and are subject to a three-year vesting period (33.33% on February 7, 2025 and 8.33% each quarter thereafter). The total grant date fair value of these awards was $1.0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certain executives were granted 116,001 performance stock awards, in the aggregate, in connection with the 2023 annual review cycle.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awards vest only upon the satisfaction of a three-year service condition and market conditions based upon the price per share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determining the fair market value of these awards using a Monte Carlo simulation model as of the grant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active stock-based incentive plans include those adopted in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as of December 31, 2023. Only directors and employees meeting certain employment qualifications are eligible to receive stock-based awards.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price of stock option, restricted stock, and performance stock awards granted under our Stock Incentive Plans is the average of the high and low trades of our stock on the grant date. We prohibit the re-pricing or backdating of stock options. Our stock options become exercisable in various proportions over a three-year time frame. Stock options have a maximum ten-year term. Restricted stock awards vest in various proportions over a one- to three-year time period. Performance stock awards granted in February 2024 vest in various proportions over a three-year time frame, subject to share price-based market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our active Stock Incentive Plans was as follows at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Shares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0" w:type="dxa"/>
            <w:vAlign w:val="bottom"/>
          </w:tcPr>
          <w:p>
            <w:pPr>
              <w:spacing w:after="0"/>
              <w:rPr>
                <w:sz w:val="1"/>
                <w:szCs w:val="1"/>
                <w:color w:val="auto"/>
              </w:rPr>
            </w:pPr>
          </w:p>
        </w:tc>
      </w:tr>
      <w:tr>
        <w:trPr>
          <w:trHeight w:val="146"/>
        </w:trPr>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Approval Date</w:t>
            </w:r>
          </w:p>
        </w:tc>
        <w:tc>
          <w:tcPr>
            <w:tcW w:w="1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18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196"/>
        </w:trPr>
        <w:tc>
          <w:tcPr>
            <w:tcW w:w="400" w:type="dxa"/>
            <w:vAlign w:val="bottom"/>
            <w:vMerge w:val="continue"/>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229"/>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2014</w:t>
            </w:r>
          </w:p>
        </w:tc>
        <w:tc>
          <w:tcPr>
            <w:tcW w:w="39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6/12/2014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1,100,000</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189,975</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4080" w:type="dxa"/>
            <w:vAlign w:val="bottom"/>
            <w:tcBorders>
              <w:bottom w:val="single" w:sz="8" w:color="CCEEFF"/>
            </w:tcBorders>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Equity and Incentive Compensation Plan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CCEEFF"/>
            </w:tcBorders>
          </w:tcPr>
          <w:p>
            <w:pPr>
              <w:jc w:val="right"/>
              <w:ind w:right="216"/>
              <w:spacing w:after="0"/>
              <w:rPr>
                <w:sz w:val="20"/>
                <w:szCs w:val="20"/>
                <w:color w:val="auto"/>
              </w:rPr>
            </w:pPr>
            <w:r>
              <w:rPr>
                <w:rFonts w:ascii="Times New Roman" w:cs="Times New Roman" w:eastAsia="Times New Roman" w:hAnsi="Times New Roman"/>
                <w:sz w:val="18"/>
                <w:szCs w:val="18"/>
                <w:color w:val="auto"/>
              </w:rPr>
              <w:t>6/4/2018</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2,289,479</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336,566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1,197,891</w:t>
            </w:r>
          </w:p>
        </w:tc>
        <w:tc>
          <w:tcPr>
            <w:tcW w:w="0" w:type="dxa"/>
            <w:vAlign w:val="bottom"/>
          </w:tcPr>
          <w:p>
            <w:pPr>
              <w:spacing w:after="0"/>
              <w:rPr>
                <w:sz w:val="1"/>
                <w:szCs w:val="1"/>
                <w:color w:val="auto"/>
              </w:rPr>
            </w:pP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336,566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1,387,866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hanging="328"/>
        <w:spacing w:after="0" w:line="242" w:lineRule="auto"/>
        <w:tabs>
          <w:tab w:leader="none" w:pos="64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2018 Equity and Incentive Compensation Plan was amended in June 2021 to add an additional 1,100,000 shares, as approved by our stockholders.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Performance-Based Common Stock Warrants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9, 2016, we issued common stock purchase warrants to Comcast Corporation ("Comcast") at a price of $54.55 per share. On January 1, 2023, all 275,000 of the vested and outstanding warrants expired unexercised.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to net sales recorded in connection with the warrants and the related income tax benefit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Reduction (addition) to net sales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hanging="328"/>
        <w:spacing w:after="0" w:line="229" w:lineRule="auto"/>
        <w:tabs>
          <w:tab w:leader="none" w:pos="747"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December 31, 2021, Comcast did not meet the minimum performance obligations to vest in any portion of the warrants associated with the two-year vesting period ended December 31, 2021. As such, all previously recorded expenses associated with this vesting period were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Other Income (Expense), Net and Loss on Sale of Argentina Subsidiary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29"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19 for further information concerning our foreign currency exchange contracts.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2021, we completed the sale of our subsidiary, One For All Argentina S.R.L, to an unrelated party, recording a loss on sale of $6.1 million. Upon divestiture, the successor entity, OFA Express S.R.L., serves as an authorized distributor of certain of our products in Argentina. OFA Express, S.R.L. is not a related party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(98,238)</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restricted stock and common stock warrants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90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9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28"/>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$3.2 million, a net pre-tax loss of $1.3 million, and a net pre-tax gain of $2.9 million for the years ended December 31, 2023, 2022 and 2021, respectively. See Note 17 for further information concerning our foreign currency exchange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3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Unrealized</w:t>
      </w:r>
    </w:p>
    <w:p>
      <w:pPr>
        <w:jc w:val="center"/>
        <w:ind w:left="6340"/>
        <w:spacing w:after="0" w:line="221" w:lineRule="auto"/>
        <w:rPr>
          <w:sz w:val="20"/>
          <w:szCs w:val="20"/>
          <w:color w:val="auto"/>
        </w:rPr>
      </w:pPr>
      <w:r>
        <w:rPr>
          <w:rFonts w:ascii="Times New Roman" w:cs="Times New Roman" w:eastAsia="Times New Roman" w:hAnsi="Times New Roman"/>
          <w:sz w:val="14"/>
          <w:szCs w:val="14"/>
          <w:b w:val="1"/>
          <w:bCs w:val="1"/>
          <w:color w:val="auto"/>
        </w:rPr>
        <w:t>Gain/(Loss) Recorded</w:t>
      </w:r>
    </w:p>
    <w:p>
      <w:pPr>
        <w:ind w:left="8280"/>
        <w:spacing w:after="0" w:line="221" w:lineRule="auto"/>
        <w:rPr>
          <w:sz w:val="20"/>
          <w:szCs w:val="20"/>
          <w:color w:val="auto"/>
        </w:rPr>
      </w:pPr>
      <w:r>
        <w:rPr>
          <w:rFonts w:ascii="Times New Roman" w:cs="Times New Roman" w:eastAsia="Times New Roman" w:hAnsi="Times New Roman"/>
          <w:sz w:val="14"/>
          <w:szCs w:val="14"/>
          <w:b w:val="1"/>
          <w:bCs w:val="1"/>
          <w:color w:val="auto"/>
        </w:rPr>
        <w:t>at Balance Sheet</w:t>
      </w:r>
    </w:p>
    <w:tbl>
      <w:tblPr>
        <w:tblLayout w:type="fixed"/>
        <w:tblInd w:w="0" w:type="dxa"/>
        <w:tblCellMar>
          <w:top w:w="0" w:type="dxa"/>
          <w:left w:w="0" w:type="dxa"/>
          <w:bottom w:w="0" w:type="dxa"/>
          <w:right w:w="0" w:type="dxa"/>
        </w:tblCellMar>
      </w:tblPr>
      <w:tr>
        <w:trPr>
          <w:trHeight w:val="129"/>
        </w:trPr>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2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Notional Value</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9"/>
                <w:szCs w:val="9"/>
                <w:b w:val="1"/>
                <w:bCs w:val="1"/>
                <w:color w:val="auto"/>
              </w:rPr>
              <w:t>(1)</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USD/Chinese Yuan</w:t>
            </w: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7.1181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r>
        <w:trPr>
          <w:trHeight w:val="229"/>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January 6, 2023</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USD/Chinese Yuan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2022</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7.0358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January 6, 2023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220" w:hanging="328"/>
        <w:spacing w:after="0" w:line="229" w:lineRule="auto"/>
        <w:tabs>
          <w:tab w:leader="none" w:pos="64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Employee Benefit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$1.3 million, $1.2 million and $1.1 million of expense for company contributions for the years ended December 31, 2023, 2022 and 2021,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Business Combinations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consolidated income statement for the year ended December 31, 2023 includes net sales of $2.1 million and net income of $16 thousand attributable to Qterics. Our consolidated income statement for the year ended December 31, 2022 includes net sales of $2.1 million and net income of $145 thousand attributable to Qterics for the period commencing on February 17, 2022.</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purchase price allocation as of December 31, 2023 was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Estimated Lives</w:t>
            </w:r>
          </w:p>
        </w:tc>
        <w:tc>
          <w:tcPr>
            <w:tcW w:w="15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2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5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6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consolidated goodwill balance was impaired during the year ended December 31, 2023. Please see Note 7 for further information.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developed technology, trade names and customer relationships intangible assets are expected to be deductible for income tax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of combined results of our operations and the operations of Qterics as if the transaction had occurred on January 1, 2021, is immaterially different from the net sales, net income and income per share amounts reported in the Consolidated Statements of Operations for the years ended December 31, 2022 and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Grant Thornton LLP, an independent registered public accounting firm, as stated in its attestation report which is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2023 that have materially affected, or are reasonably likely to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Universal Electronics Inc. (a Delaware corporation) and subsidiaries (the "Company")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2023, and our report dated March 14, 2024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 401 of Regulation S-K with respect to our directors will be contained in and is hereby incorporated by reference to our definitive Proxy Statement for our 2024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Code of Conduct. </w:t>
      </w:r>
      <w:r>
        <w:rPr>
          <w:rFonts w:ascii="Times New Roman" w:cs="Times New Roman" w:eastAsia="Times New Roman" w:hAnsi="Times New Roman"/>
          <w:sz w:val="18"/>
          <w:szCs w:val="18"/>
          <w:color w:val="auto"/>
        </w:rPr>
        <w:t>We have adopted a code of conduct that applies to all of our employees, including without limitation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financial officer and principal accounting officer. A copy of the Code of Conduct is included as Exhibit 14.1 to this Annual Report on Form 10-K for the year ended December 31, 2023. The Code of Conduct is also available on our website, </w:t>
      </w:r>
      <w:r>
        <w:rPr>
          <w:rFonts w:ascii="Times New Roman" w:cs="Times New Roman" w:eastAsia="Times New Roman" w:hAnsi="Times New Roman"/>
          <w:sz w:val="18"/>
          <w:szCs w:val="18"/>
          <w:u w:val="single" w:color="auto"/>
          <w:color w:val="auto"/>
        </w:rPr>
        <w:t>www.uei.com</w:t>
      </w:r>
      <w:r>
        <w:rPr>
          <w:rFonts w:ascii="Times New Roman" w:cs="Times New Roman" w:eastAsia="Times New Roman" w:hAnsi="Times New Roman"/>
          <w:sz w:val="18"/>
          <w:szCs w:val="18"/>
          <w:color w:val="auto"/>
        </w:rPr>
        <w:t xml:space="preserve"> under the caption "Governance" and then "Committee composition, documents and confidential ethics line"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Items 405 and 407(c)(3), (d)(4) and (d)(5) of Regulation S-K will be contained in and is hereby incorporated by reference to our definitive Proxy Statement for our 2024 Annual Meeting of Stockholders to be filed pursuant to Regulation 14A promulgated by the Securities and Exchange Commission under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Items 402 and 407(e)(4) and (e)(5) of Regulation S-K will be contained in and is hereby incorporated by reference to our definitive Proxy Statement for our 2024 Annual Meeting of Stockholders to be filed pursuant to Regulation 14A promulgated by the SEC under the Exchange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403 of Regulation S-K will be contained in and is hereby incorporated by reference to our definitive Proxy Statement for our 2024 Annual Meeting of Stockholders to be filed pursuant to Regulation 14A promulgated by the SEC under the Exchange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equity compensation plans at December 31, 2023:</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28"/>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901,457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336,566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901,457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336,566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Notes to Consolidated Financial Statements - Note 15" for a description of each of our stock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Items 404 and 407(a) of Regulation S-K will be contained in and is hereby incorporated by reference to our definitive Proxy Statement for our 2024 Annual Meeting of Stockholders to be filed pursuant to Regulation 14A promulgated by the SEC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and is hereby incorporated by reference to our definitive Proxy Statement for our 2024 Annual Meeting of Stockholders to be filed pursuant to Regulation 14A promulgated by the SEC under the Exchange Act.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2"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this portion of ITEM 15 under ITEM 8 of this Report on Form 10-K.</w:t>
      </w:r>
    </w:p>
    <w:p>
      <w:pPr>
        <w:spacing w:after="0" w:line="24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5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1"/>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5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Document Description</w:t>
            </w:r>
          </w:p>
        </w:tc>
        <w:tc>
          <w:tcPr>
            <w:tcW w:w="0" w:type="dxa"/>
            <w:vAlign w:val="bottom"/>
          </w:tcPr>
          <w:p>
            <w:pPr>
              <w:spacing w:after="0"/>
              <w:rPr>
                <w:sz w:val="1"/>
                <w:szCs w:val="1"/>
                <w:color w:val="auto"/>
              </w:rPr>
            </w:pPr>
          </w:p>
        </w:tc>
      </w:tr>
      <w:tr>
        <w:trPr>
          <w:trHeight w:val="190"/>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900" w:hanging="561"/>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64" w:lineRule="exact"/>
        <w:rPr>
          <w:sz w:val="20"/>
          <w:szCs w:val="20"/>
          <w:color w:val="auto"/>
        </w:rPr>
      </w:pPr>
    </w:p>
    <w:p>
      <w:pPr>
        <w:jc w:val="both"/>
        <w:ind w:left="900" w:hanging="561"/>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64" w:lineRule="exact"/>
        <w:rPr>
          <w:sz w:val="20"/>
          <w:szCs w:val="20"/>
          <w:color w:val="auto"/>
        </w:rPr>
      </w:pPr>
    </w:p>
    <w:p>
      <w:pPr>
        <w:jc w:val="both"/>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04">
        <w:r>
          <w:rPr>
            <w:rFonts w:ascii="Times New Roman" w:cs="Times New Roman" w:eastAsia="Times New Roman" w:hAnsi="Times New Roman"/>
            <w:sz w:val="18"/>
            <w:szCs w:val="18"/>
            <w:u w:val="single" w:color="auto"/>
            <w:color w:val="0000FF"/>
          </w:rPr>
          <w:t>Certificate of Amendment to Restated Certificate of Incorporation of Universal Electronics Inc. (incorporated by reference to Exhibit 3.3 to the</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Company's Annual Report on Form 10-K for the year ended December 31, 2017 filed on March 13, 2018 (File No. 0-21044))</w:t>
        </w:r>
      </w:hyperlink>
    </w:p>
    <w:p>
      <w:pPr>
        <w:spacing w:after="0" w:line="64" w:lineRule="exact"/>
        <w:rPr>
          <w:sz w:val="20"/>
          <w:szCs w:val="20"/>
          <w:color w:val="auto"/>
        </w:rPr>
      </w:pPr>
    </w:p>
    <w:p>
      <w:pPr>
        <w:jc w:val="both"/>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05">
        <w:r>
          <w:rPr>
            <w:rFonts w:ascii="Times New Roman" w:cs="Times New Roman" w:eastAsia="Times New Roman" w:hAnsi="Times New Roman"/>
            <w:sz w:val="18"/>
            <w:szCs w:val="18"/>
            <w:u w:val="single" w:color="auto"/>
            <w:color w:val="0000FF"/>
          </w:rPr>
          <w:t>Amended and Restated By-laws of Universal Electronics Inc. (incorporated by reference to Exhibit 3.4 to the Company's Annual Report on</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Form 10-K for the year ended December 31, 2017 filed on March 13, 2018 (File No.0-21044))</w:t>
        </w:r>
      </w:hyperlink>
    </w:p>
    <w:p>
      <w:pPr>
        <w:spacing w:after="0" w:line="64" w:lineRule="exact"/>
        <w:rPr>
          <w:sz w:val="20"/>
          <w:szCs w:val="20"/>
          <w:color w:val="auto"/>
        </w:rPr>
      </w:pPr>
    </w:p>
    <w:p>
      <w:pPr>
        <w:jc w:val="both"/>
        <w:ind w:left="900" w:hanging="561"/>
        <w:spacing w:after="0" w:line="216" w:lineRule="auto"/>
        <w:tabs>
          <w:tab w:leader="none" w:pos="8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w:t>
      </w:r>
    </w:p>
    <w:p>
      <w:pPr>
        <w:ind w:left="900"/>
        <w:spacing w:after="0" w:line="204" w:lineRule="auto"/>
        <w:rPr>
          <w:sz w:val="20"/>
          <w:szCs w:val="20"/>
          <w:color w:val="auto"/>
        </w:rPr>
      </w:pPr>
      <w:r>
        <w:rPr>
          <w:rFonts w:ascii="Times New Roman" w:cs="Times New Roman" w:eastAsia="Times New Roman" w:hAnsi="Times New Roman"/>
          <w:sz w:val="18"/>
          <w:szCs w:val="18"/>
          <w:color w:val="auto"/>
        </w:rPr>
        <w:t>Exhibit 3.3 to the Company's Annual Report on Form 10-K for the year ended December 31, 1995 filed on April 1, 1996 (File No. 0-21044))</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(paper file)</w:t>
      </w:r>
    </w:p>
    <w:p>
      <w:pPr>
        <w:spacing w:after="0" w:line="70" w:lineRule="exact"/>
        <w:rPr>
          <w:sz w:val="20"/>
          <w:szCs w:val="20"/>
          <w:color w:val="auto"/>
        </w:rPr>
      </w:pPr>
    </w:p>
    <w:p>
      <w:pPr>
        <w:ind w:left="900" w:hanging="561"/>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06">
        <w:r>
          <w:rPr>
            <w:rFonts w:ascii="Times New Roman" w:cs="Times New Roman" w:eastAsia="Times New Roman" w:hAnsi="Times New Roman"/>
            <w:sz w:val="18"/>
            <w:szCs w:val="18"/>
            <w:u w:val="single" w:color="auto"/>
            <w:color w:val="0000FF"/>
          </w:rPr>
          <w:t>Description of Securities (incorporated by reference to Exhibit 4.3 to the Company's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December 31, 2019, filed on March 16, 2020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07">
        <w:r>
          <w:rPr>
            <w:rFonts w:ascii="Times New Roman" w:cs="Times New Roman" w:eastAsia="Times New Roman" w:hAnsi="Times New Roman"/>
            <w:sz w:val="18"/>
            <w:szCs w:val="18"/>
            <w:u w:val="single" w:color="auto"/>
            <w:color w:val="0000FF"/>
          </w:rPr>
          <w:t>Form of Salary Continuation Agreement by and between Universal Electronics Inc. and certain employees (incorporated by reference to</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Exhibit 10.25 to the Company's Annual Report on Form 10-K for the year ended December 31, 1997, filed on March 30, 1998 (File No. 0-</w:t>
        </w:r>
      </w:hyperlink>
      <w:hyperlink r:id="rId107">
        <w:r>
          <w:rPr>
            <w:rFonts w:ascii="Times New Roman" w:cs="Times New Roman" w:eastAsia="Times New Roman" w:hAnsi="Times New Roman"/>
            <w:sz w:val="18"/>
            <w:szCs w:val="18"/>
            <w:u w:val="single" w:color="auto"/>
            <w:color w:val="0000FF"/>
          </w:rPr>
          <w:t>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sz w:val="20"/>
          <w:szCs w:val="20"/>
          <w:color w:val="auto"/>
        </w:rPr>
      </w:pPr>
      <w:r>
        <w:rPr>
          <w:rFonts w:ascii="Times New Roman" w:cs="Times New Roman" w:eastAsia="Times New Roman" w:hAnsi="Times New Roman"/>
          <w:sz w:val="18"/>
          <w:szCs w:val="18"/>
          <w:color w:val="auto"/>
        </w:rPr>
        <w:t>*10.2</w:t>
        <w:tab/>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sz w:val="20"/>
          <w:szCs w:val="20"/>
          <w:color w:val="auto"/>
        </w:rPr>
      </w:pPr>
      <w:r>
        <w:rPr>
          <w:rFonts w:ascii="Times New Roman" w:cs="Times New Roman" w:eastAsia="Times New Roman" w:hAnsi="Times New Roman"/>
          <w:sz w:val="18"/>
          <w:szCs w:val="18"/>
          <w:color w:val="auto"/>
        </w:rPr>
        <w:t>*10.3</w:t>
        <w:tab/>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08">
        <w:r>
          <w:rPr>
            <w:rFonts w:ascii="Times New Roman" w:cs="Times New Roman" w:eastAsia="Times New Roman" w:hAnsi="Times New Roman"/>
            <w:sz w:val="18"/>
            <w:szCs w:val="18"/>
            <w:u w:val="single" w:color="auto"/>
            <w:color w:val="0000FF"/>
          </w:rPr>
          <w:t>Form of Executive Officer Employment Agreement dated April 23, 2003 by and between Universal Electronics Inc. and Paul D. Arling</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(incorporated by reference to Exhibit 10.42 to the Company's Annual Report on Form 10-K for the year ended December 31, 2003 filed on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March 14, 2004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09">
        <w:r>
          <w:rPr>
            <w:rFonts w:ascii="Times New Roman" w:cs="Times New Roman" w:eastAsia="Times New Roman" w:hAnsi="Times New Roman"/>
            <w:sz w:val="18"/>
            <w:szCs w:val="18"/>
            <w:u w:val="single" w:color="auto"/>
            <w:color w:val="0000FF"/>
          </w:rPr>
          <w:t>Form of Indemnification Agreements, dated as of January 2, 2007 between the Company and each director and certain officers of the Company</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(incorporated by reference to Exhibit 10.28 to the Company's Annual Report on Form 10-K for the year ended December 31, 2006 filed on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March 16, 2007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06"/>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10">
        <w:r>
          <w:rPr>
            <w:rFonts w:ascii="Times New Roman" w:cs="Times New Roman" w:eastAsia="Times New Roman" w:hAnsi="Times New Roman"/>
            <w:sz w:val="18"/>
            <w:szCs w:val="18"/>
            <w:u w:val="single" w:color="auto"/>
            <w:color w:val="0000FF"/>
          </w:rPr>
          <w:t>Security Agreement dated November 1, 2010 from Universal Electronics Inc. to U.S. Bank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Exhibit 10.31 to the Company's Annual Report on Form 10-K for the year ended December 31, 2010 filed on March 16, 2011 (File No. 0-</w:t>
        </w:r>
      </w:hyperlink>
      <w:hyperlink r:id="rId110">
        <w:r>
          <w:rPr>
            <w:rFonts w:ascii="Times New Roman" w:cs="Times New Roman" w:eastAsia="Times New Roman" w:hAnsi="Times New Roman"/>
            <w:sz w:val="18"/>
            <w:szCs w:val="18"/>
            <w:u w:val="single" w:color="auto"/>
            <w:color w:val="0000FF"/>
          </w:rPr>
          <w:t>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11">
        <w:r>
          <w:rPr>
            <w:rFonts w:ascii="Times New Roman" w:cs="Times New Roman" w:eastAsia="Times New Roman" w:hAnsi="Times New Roman"/>
            <w:sz w:val="18"/>
            <w:szCs w:val="18"/>
            <w:u w:val="single" w:color="auto"/>
            <w:color w:val="0000FF"/>
          </w:rPr>
          <w:t>Form of Second Amendment to Executive Officer Employment Agreement dated February 29, 2008 by and between Universal Electronics Inc.</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and Paul D. Arling (incorporated by reference to Exhibit 10.31 to the Company's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31, 2012 filed on March 14, 2013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12">
        <w:r>
          <w:rPr>
            <w:rFonts w:ascii="Times New Roman" w:cs="Times New Roman" w:eastAsia="Times New Roman" w:hAnsi="Times New Roman"/>
            <w:sz w:val="18"/>
            <w:szCs w:val="18"/>
            <w:u w:val="single" w:color="auto"/>
            <w:color w:val="0000FF"/>
          </w:rPr>
          <w:t>Universal Electronics Inc. 2014 Stock Incentive Plan (incorporated by reference to Exhibit 4.5 to the Company's Registration Statement on</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Form S-8 filed on August 12, 2014 (File No. 333-198083))</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13">
        <w:r>
          <w:rPr>
            <w:rFonts w:ascii="Times New Roman" w:cs="Times New Roman" w:eastAsia="Times New Roman" w:hAnsi="Times New Roman"/>
            <w:sz w:val="18"/>
            <w:szCs w:val="18"/>
            <w:u w:val="single" w:color="auto"/>
            <w:color w:val="0000FF"/>
          </w:rPr>
          <w:t>Form of Option Agreement used in connection with the Universal Electronics Inc. 2014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Exhibit 4.6 to the Company's Registration Statement on Form S-8 filed on August 12, 2014 (File No. 333-198083))</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14">
        <w:r>
          <w:rPr>
            <w:rFonts w:ascii="Times New Roman" w:cs="Times New Roman" w:eastAsia="Times New Roman" w:hAnsi="Times New Roman"/>
            <w:sz w:val="18"/>
            <w:szCs w:val="18"/>
            <w:u w:val="single" w:color="auto"/>
            <w:color w:val="0000FF"/>
          </w:rPr>
          <w:t>Second Amended and Restated Credit Agreement dated October 27, 2017 between Universal Electronics Inc. and U.S. Bank National</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Association and Wells Fargo Bank, National Association (incorporated by reference to Exhibit 10.39 to the Company's Annual Report on form</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10-K for the year ended December 31, 2017 filed on March 13, 2018 (File No. 0-21044))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1"/>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5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Document Description</w:t>
            </w:r>
          </w:p>
        </w:tc>
        <w:tc>
          <w:tcPr>
            <w:tcW w:w="0" w:type="dxa"/>
            <w:vAlign w:val="bottom"/>
          </w:tcPr>
          <w:p>
            <w:pPr>
              <w:spacing w:after="0"/>
              <w:rPr>
                <w:sz w:val="1"/>
                <w:szCs w:val="1"/>
                <w:color w:val="auto"/>
              </w:rPr>
            </w:pPr>
          </w:p>
        </w:tc>
      </w:tr>
      <w:tr>
        <w:trPr>
          <w:trHeight w:val="190"/>
        </w:trPr>
        <w:tc>
          <w:tcPr>
            <w:tcW w:w="3220" w:type="dxa"/>
            <w:vAlign w:val="bottom"/>
          </w:tcPr>
          <w:p>
            <w:pPr>
              <w:jc w:val="center"/>
              <w:ind w:right="226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900" w:hanging="648"/>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16">
        <w:r>
          <w:rPr>
            <w:rFonts w:ascii="Times New Roman" w:cs="Times New Roman" w:eastAsia="Times New Roman" w:hAnsi="Times New Roman"/>
            <w:sz w:val="18"/>
            <w:szCs w:val="18"/>
            <w:u w:val="single" w:color="auto"/>
            <w:color w:val="0000FF"/>
          </w:rPr>
          <w:t>First Amendment to Second Amended and Restated Credit Agreement dated as of May 4, 2018 between Universal Electronics Inc. and U.S.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Bank National Association and Wells Fargo Bank, National Association (incorporated in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Report on Form 10-Q for the quarter ended June 30, 2018 filed on August 8, 2018 (File 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17">
        <w:r>
          <w:rPr>
            <w:rFonts w:ascii="Times New Roman" w:cs="Times New Roman" w:eastAsia="Times New Roman" w:hAnsi="Times New Roman"/>
            <w:sz w:val="18"/>
            <w:szCs w:val="18"/>
            <w:u w:val="single" w:color="auto"/>
            <w:color w:val="0000FF"/>
          </w:rPr>
          <w:t>Universal Electronics Inc. 2018 Equity and Incentive Compensation Plan (incorporated by reference to Exhibit 4.5 to the Company's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Registration Statement on Form S-8 filed on September 26, 2018 (File No. 333-227594))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18">
        <w:r>
          <w:rPr>
            <w:rFonts w:ascii="Times New Roman" w:cs="Times New Roman" w:eastAsia="Times New Roman" w:hAnsi="Times New Roman"/>
            <w:sz w:val="18"/>
            <w:szCs w:val="18"/>
            <w:u w:val="single" w:color="auto"/>
            <w:color w:val="0000FF"/>
          </w:rPr>
          <w:t>Form of Restricted Stock Agreement under the 2018 Equity and Incentive Compensation Plan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Company's Quarterly Report on Form 10-Q for the quarter ended June 30, 2018 filed on August 8, 2018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19">
        <w:r>
          <w:rPr>
            <w:rFonts w:ascii="Times New Roman" w:cs="Times New Roman" w:eastAsia="Times New Roman" w:hAnsi="Times New Roman"/>
            <w:sz w:val="18"/>
            <w:szCs w:val="18"/>
            <w:u w:val="single" w:color="auto"/>
            <w:color w:val="0000FF"/>
          </w:rPr>
          <w:t>Form of Stock Option Agreement under the 2018 Equity and Incentive Compensation Plan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Company's Quarterly Report on Form 10-Q for the quarter ended June 30, 2018 filed on August 8, 2018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20">
        <w:r>
          <w:rPr>
            <w:rFonts w:ascii="Times New Roman" w:cs="Times New Roman" w:eastAsia="Times New Roman" w:hAnsi="Times New Roman"/>
            <w:sz w:val="18"/>
            <w:szCs w:val="18"/>
            <w:u w:val="single" w:color="auto"/>
            <w:color w:val="0000FF"/>
          </w:rPr>
          <w:t>Second Amendment to Second Amended and Restated Credit Agreement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Report on Form 8-K dated December 27, 2018 filed on January 3, 2019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1">
        <w:r>
          <w:rPr>
            <w:rFonts w:ascii="Times New Roman" w:cs="Times New Roman" w:eastAsia="Times New Roman" w:hAnsi="Times New Roman"/>
            <w:sz w:val="18"/>
            <w:szCs w:val="18"/>
            <w:u w:val="single" w:color="auto"/>
            <w:color w:val="0000FF"/>
          </w:rPr>
          <w:t>Third Amendment to Second Amended and Restated Credit Agreement (incorporated by reference to Exhibit 10.33 to the Company's Annual</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10-K for the year ended December 31, 2020 filed on March 5, 2021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22">
        <w:r>
          <w:rPr>
            <w:rFonts w:ascii="Times New Roman" w:cs="Times New Roman" w:eastAsia="Times New Roman" w:hAnsi="Times New Roman"/>
            <w:sz w:val="18"/>
            <w:szCs w:val="18"/>
            <w:u w:val="single" w:color="auto"/>
            <w:color w:val="0000FF"/>
          </w:rPr>
          <w:t>Fourth Amendment to Second Amended and Restated Credit Agreement (incorporated by reference to Exhibit 10.34 to the Company's Annual</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Report on Form 10-K for the year ended December 31, 2020 filed on March 5, 2021 (File No. 0-21044))</w:t>
        </w:r>
      </w:hyperlink>
    </w:p>
    <w:p>
      <w:pPr>
        <w:spacing w:after="0" w:line="64" w:lineRule="exact"/>
        <w:rPr>
          <w:sz w:val="20"/>
          <w:szCs w:val="20"/>
          <w:color w:val="auto"/>
        </w:rPr>
      </w:pPr>
    </w:p>
    <w:p>
      <w:pPr>
        <w:jc w:val="both"/>
        <w:ind w:left="900" w:right="2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23">
        <w:r>
          <w:rPr>
            <w:rFonts w:ascii="Times New Roman" w:cs="Times New Roman" w:eastAsia="Times New Roman" w:hAnsi="Times New Roman"/>
            <w:sz w:val="18"/>
            <w:szCs w:val="18"/>
            <w:u w:val="single" w:color="auto"/>
            <w:color w:val="0000FF"/>
          </w:rPr>
          <w:t>First Amendment to Universal Electronics Inc. 2018 Equity and Incentive Compensation Plan (incorporated by reference to Exhibit 4.6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Company's Registration Statement on Form S-8 filed on August 5, 2021 (File No. 333-258488))</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24">
        <w:r>
          <w:rPr>
            <w:rFonts w:ascii="Times New Roman" w:cs="Times New Roman" w:eastAsia="Times New Roman" w:hAnsi="Times New Roman"/>
            <w:sz w:val="18"/>
            <w:szCs w:val="18"/>
            <w:u w:val="single" w:color="auto"/>
            <w:color w:val="0000FF"/>
          </w:rPr>
          <w:t>Fifth Amendment to the Second Amended and Restated Credit Agreement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Report on Form 8-K filed on October 28, 2021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25">
        <w:r>
          <w:rPr>
            <w:rFonts w:ascii="Times New Roman" w:cs="Times New Roman" w:eastAsia="Times New Roman" w:hAnsi="Times New Roman"/>
            <w:sz w:val="18"/>
            <w:szCs w:val="18"/>
            <w:u w:val="single" w:color="auto"/>
            <w:color w:val="0000FF"/>
          </w:rPr>
          <w:t>Termination of Pledge Agreement dated October 25, 2021 between UEI Hong Kong Private Limited and Enson Assets Limited to U.S. Bank</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National Association (incorporated by reference to Exhibit 10.2 to the Company's Current Report on Form 8-K filed on October 28, 2021 (File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No. 0-21044))</w:t>
        </w:r>
      </w:hyperlink>
    </w:p>
    <w:p>
      <w:pPr>
        <w:spacing w:after="0" w:line="63" w:lineRule="exact"/>
        <w:rPr>
          <w:rFonts w:ascii="Times New Roman" w:cs="Times New Roman" w:eastAsia="Times New Roman" w:hAnsi="Times New Roman"/>
          <w:sz w:val="18"/>
          <w:szCs w:val="18"/>
          <w:u w:val="single" w:color="auto"/>
          <w:color w:val="0000FF"/>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26">
        <w:r>
          <w:rPr>
            <w:rFonts w:ascii="Times New Roman" w:cs="Times New Roman" w:eastAsia="Times New Roman" w:hAnsi="Times New Roman"/>
            <w:sz w:val="18"/>
            <w:szCs w:val="18"/>
            <w:u w:val="single" w:color="auto"/>
            <w:color w:val="0000FF"/>
          </w:rPr>
          <w:t>Continuing Guaranty dated October 25, 2021 between Universal Electronics BV and U.S. Bank National Association (incorporated by</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reference to Exhibit 10.3 to the Company's Current Report on Form 8-K filed on October 28, 2021 (File No. 0-21044))</w:t>
        </w:r>
      </w:hyperlink>
    </w:p>
    <w:p>
      <w:pPr>
        <w:spacing w:after="0" w:line="64" w:lineRule="exact"/>
        <w:rPr>
          <w:sz w:val="20"/>
          <w:szCs w:val="20"/>
          <w:color w:val="auto"/>
        </w:rPr>
      </w:pPr>
    </w:p>
    <w:p>
      <w:pPr>
        <w:jc w:val="both"/>
        <w:ind w:left="900" w:hanging="65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27">
        <w:r>
          <w:rPr>
            <w:rFonts w:ascii="Times New Roman" w:cs="Times New Roman" w:eastAsia="Times New Roman" w:hAnsi="Times New Roman"/>
            <w:sz w:val="18"/>
            <w:szCs w:val="18"/>
            <w:u w:val="single" w:color="auto"/>
            <w:color w:val="0000FF"/>
          </w:rPr>
          <w:t>Sixth Amendment to the Second Amended and Restated Credit Agreement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Quarterly Report on Form 10-Q for the quarter ended March 31, 2023 filed on May 9, 2023 (File No. 0-21044))</w:t>
        </w:r>
      </w:hyperlink>
    </w:p>
    <w:p>
      <w:pPr>
        <w:spacing w:after="0" w:line="64" w:lineRule="exact"/>
        <w:rPr>
          <w:sz w:val="20"/>
          <w:szCs w:val="20"/>
          <w:color w:val="auto"/>
        </w:rPr>
      </w:pPr>
    </w:p>
    <w:p>
      <w:pPr>
        <w:jc w:val="both"/>
        <w:ind w:left="900" w:hanging="652"/>
        <w:spacing w:after="0" w:line="22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28">
        <w:r>
          <w:rPr>
            <w:rFonts w:ascii="Times New Roman" w:cs="Times New Roman" w:eastAsia="Times New Roman" w:hAnsi="Times New Roman"/>
            <w:sz w:val="18"/>
            <w:szCs w:val="18"/>
            <w:u w:val="single" w:color="auto"/>
            <w:color w:val="0000FF"/>
          </w:rPr>
          <w:t>Cooperation Agreement, dated December 21, 2023, by and among Universal Electronics Inc., Toro 18 Holdings LLC, Immersion Corporation,</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William C. Martin and Eric Singer (incorporated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December 26, 2023 (File No. 0-21044))</w:t>
        </w:r>
      </w:hyperlink>
    </w:p>
    <w:p>
      <w:pPr>
        <w:spacing w:after="0" w:line="63" w:lineRule="exact"/>
        <w:rPr>
          <w:rFonts w:ascii="Times New Roman" w:cs="Times New Roman" w:eastAsia="Times New Roman" w:hAnsi="Times New Roman"/>
          <w:sz w:val="18"/>
          <w:szCs w:val="18"/>
          <w:u w:val="single" w:color="auto"/>
          <w:color w:val="0000FF"/>
        </w:rPr>
      </w:pPr>
    </w:p>
    <w:p>
      <w:pPr>
        <w:ind w:left="240"/>
        <w:spacing w:after="0"/>
        <w:tabs>
          <w:tab w:leader="none" w:pos="88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u w:val="single" w:color="auto"/>
          <w:color w:val="0000FF"/>
        </w:rPr>
        <w:t>Seventh Amendment to the Second Amended and Restated Credit Agreement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u w:val="single" w:color="auto"/>
          <w:color w:val="0000FF"/>
        </w:rPr>
        <w:t>Code of Conduct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List of Subsidiaries of the Registrant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(filed as part of the signature page hereto)</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13a-14(a) Certifications of the Chief Executive Officer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 Certifications of the Chief Financial Officer (principal financial officer and principal accounting officer) (filed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Section 1350 Certifications of the Chief Executive Officer (furnished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Section 1350 Certifications of the Chief Financial Officer (principal financial officer and principal accounting officer) (furnished herewith)</w:t>
      </w:r>
    </w:p>
    <w:p>
      <w:pPr>
        <w:spacing w:after="0" w:line="77" w:lineRule="exact"/>
        <w:rPr>
          <w:rFonts w:ascii="Times New Roman" w:cs="Times New Roman" w:eastAsia="Times New Roman" w:hAnsi="Times New Roman"/>
          <w:sz w:val="18"/>
          <w:szCs w:val="18"/>
          <w:u w:val="single" w:color="auto"/>
          <w:color w:val="0000FF"/>
        </w:rPr>
      </w:pPr>
    </w:p>
    <w:p>
      <w:pPr>
        <w:ind w:left="280"/>
        <w:spacing w:after="0"/>
        <w:tabs>
          <w:tab w:leader="none" w:pos="88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u w:val="single" w:color="auto"/>
          <w:color w:val="0000FF"/>
        </w:rPr>
        <w:t>Universal Electronics Compensation Recoupment Policy (filed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4"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540" w:type="dxa"/>
            <w:vAlign w:val="bottom"/>
            <w:vMerge w:val="restart"/>
          </w:tcPr>
          <w:p>
            <w:pPr>
              <w:spacing w:after="0"/>
              <w:rPr>
                <w:sz w:val="13"/>
                <w:szCs w:val="13"/>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4540" w:type="dxa"/>
            <w:vAlign w:val="bottom"/>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6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101.SCH  </w:t>
            </w: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83"/>
        </w:trPr>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5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6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101.DEF  </w:t>
            </w:r>
            <w:r>
              <w:rPr>
                <w:rFonts w:ascii="Times New Roman" w:cs="Times New Roman" w:eastAsia="Times New Roman" w:hAnsi="Times New Roman"/>
                <w:sz w:val="17"/>
                <w:szCs w:val="17"/>
                <w:color w:val="auto"/>
              </w:rPr>
              <w:t>Inline XBRL Taxonomy Extension Linkbase Document</w:t>
            </w:r>
          </w:p>
        </w:tc>
        <w:tc>
          <w:tcPr>
            <w:tcW w:w="0" w:type="dxa"/>
            <w:vAlign w:val="bottom"/>
          </w:tcPr>
          <w:p>
            <w:pPr>
              <w:spacing w:after="0"/>
              <w:rPr>
                <w:sz w:val="1"/>
                <w:szCs w:val="1"/>
                <w:color w:val="auto"/>
              </w:rPr>
            </w:pPr>
          </w:p>
        </w:tc>
      </w:tr>
      <w:tr>
        <w:trPr>
          <w:trHeight w:val="284"/>
        </w:trPr>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5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5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00" w:hanging="582"/>
        <w:spacing w:after="0"/>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900" w:hanging="505"/>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compensation plan or arrangement identified pursuant to Items 15(a)(3) and 15(c) of Form 10-K.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Scottsdale, State of Arizona.</w:t>
      </w: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D. Arling</w:t>
            </w:r>
          </w:p>
        </w:tc>
      </w:tr>
      <w:tr>
        <w:trPr>
          <w:trHeight w:val="216"/>
        </w:trPr>
        <w:tc>
          <w:tcPr>
            <w:tcW w:w="9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D. Arling</w:t>
            </w:r>
          </w:p>
        </w:tc>
      </w:tr>
      <w:tr>
        <w:trPr>
          <w:trHeight w:val="236"/>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37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14, 2024</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Satjiv S. Chahil</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Sue Ann R. Hamilton</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C. Mulligan</w:t>
      </w:r>
    </w:p>
    <w:p>
      <w:pPr>
        <w:ind w:left="20"/>
        <w:spacing w:after="0"/>
        <w:rPr>
          <w:sz w:val="20"/>
          <w:szCs w:val="20"/>
          <w:color w:val="auto"/>
        </w:rPr>
      </w:pPr>
      <w:r>
        <w:rPr>
          <w:rFonts w:ascii="Times New Roman" w:cs="Times New Roman" w:eastAsia="Times New Roman" w:hAnsi="Times New Roman"/>
          <w:sz w:val="18"/>
          <w:szCs w:val="18"/>
          <w:i w:val="1"/>
          <w:iCs w:val="1"/>
          <w:color w:val="auto"/>
        </w:rPr>
        <w:t>Lead 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Romulo C. Pontual</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Eric B. Singer</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K. Zinser</w:t>
      </w:r>
    </w:p>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960"/>
        <w:spacing w:after="0"/>
        <w:tabs>
          <w:tab w:leader="none" w:pos="37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D. Arling</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628"/>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Bryan M. Hackworth</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5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Satjiv S. Chahil</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5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Sue Ann R. Hamilton</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5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C. Mulligan</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72"/>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Romulo C. Pontual</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5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B. Singer</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r>
        <w:trPr>
          <w:trHeight w:val="45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K. Zinser</w:t>
            </w: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March 14, 2024</w:t>
            </w:r>
          </w:p>
        </w:tc>
      </w:tr>
    </w:tbl>
    <w:p>
      <w:pPr>
        <w:spacing w:after="0" w:line="200" w:lineRule="exact"/>
        <w:rPr>
          <w:sz w:val="20"/>
          <w:szCs w:val="20"/>
          <w:color w:val="auto"/>
        </w:rPr>
      </w:pPr>
    </w:p>
    <w:p>
      <w:pPr>
        <w:sectPr>
          <w:pgSz w:w="11900" w:h="16838" w:orient="portrait"/>
          <w:cols w:equalWidth="0" w:num="2">
            <w:col w:w="5560" w:space="720"/>
            <w:col w:w="496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4" w:right="3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10.24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SECOND AMENDED AND RESTATED CREDIT AGREEMENT</w:t>
      </w:r>
    </w:p>
    <w:p>
      <w:pPr>
        <w:spacing w:after="0" w:line="22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THIS SEVENTH AMENDMENT TO SECOND AMENDED AND RESTATED CREDIT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March 13, 2024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UNIVERSAL ELECTRONICS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the lenders from time to time parties hereto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national banking association as administrative agent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has reference to the following facts and circumstances (the “</w:t>
      </w: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172" w:lineRule="exact"/>
        <w:rPr>
          <w:sz w:val="20"/>
          <w:szCs w:val="20"/>
          <w:color w:val="auto"/>
        </w:rPr>
      </w:pPr>
    </w:p>
    <w:p>
      <w:pPr>
        <w:jc w:val="both"/>
        <w:ind w:firstLine="656"/>
        <w:spacing w:after="0" w:line="218" w:lineRule="auto"/>
        <w:tabs>
          <w:tab w:leader="none" w:pos="1039" w:val="left"/>
        </w:tabs>
        <w:numPr>
          <w:ilvl w:val="1"/>
          <w:numId w:val="40"/>
        </w:numPr>
        <w:rPr>
          <w:rFonts w:ascii="Arial" w:cs="Arial" w:eastAsia="Arial" w:hAnsi="Arial"/>
          <w:sz w:val="18"/>
          <w:szCs w:val="18"/>
          <w:color w:val="auto"/>
        </w:rPr>
      </w:pPr>
      <w:r>
        <w:rPr>
          <w:rFonts w:ascii="Arial" w:cs="Arial" w:eastAsia="Arial" w:hAnsi="Arial"/>
          <w:sz w:val="18"/>
          <w:szCs w:val="18"/>
          <w:color w:val="auto"/>
        </w:rPr>
        <w:t>Borrower, Lender and the Administrative Agent have executed a Second Amended and Restated Credit Agreement dated as of October 27, 2017, as amended by a First Amendment to Second Amended and Restated Credit Agreement dated as of May 4, 2018, December 18, 2023, a Second Amendment to Second Amended and Restated Credit Agreement dated as of December 20, 2018, a Third Amendment to Second Amended and Restated Credit Agreement dated as of November 1, 2019, a Fourth Amendment to Second Amended and Restated Credit Agreement dated as of January 7, 2021, a Fifth Amendment to Second Amended and Restated Credit Agreement dated as of October 25, 2021, and a Sixth Amendment to Second Amended and Restated Credit Agreement dated as of May 3, 2023 (as amended,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capitalized terms not otherwise defined herein shall have the same meanings as ascribed to them in the Credit Agreement); and</w:t>
      </w:r>
    </w:p>
    <w:p>
      <w:pPr>
        <w:spacing w:after="0" w:line="183" w:lineRule="exact"/>
        <w:rPr>
          <w:rFonts w:ascii="Arial" w:cs="Arial" w:eastAsia="Arial" w:hAnsi="Arial"/>
          <w:sz w:val="18"/>
          <w:szCs w:val="18"/>
          <w:color w:val="auto"/>
        </w:rPr>
      </w:pPr>
    </w:p>
    <w:p>
      <w:pPr>
        <w:jc w:val="both"/>
        <w:ind w:firstLine="656"/>
        <w:spacing w:after="0" w:line="218" w:lineRule="auto"/>
        <w:tabs>
          <w:tab w:leader="none" w:pos="11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Borrower’s obligations under the Credit Agreement and the Note executed by Borrower thereunder are described in and secured by certain security documents (collectively, the “</w:t>
      </w:r>
      <w:r>
        <w:rPr>
          <w:rFonts w:ascii="Arial" w:cs="Arial" w:eastAsia="Arial" w:hAnsi="Arial"/>
          <w:sz w:val="18"/>
          <w:szCs w:val="18"/>
          <w:b w:val="1"/>
          <w:bCs w:val="1"/>
          <w:color w:val="auto"/>
        </w:rPr>
        <w:t>Security Documents</w:t>
      </w:r>
      <w:r>
        <w:rPr>
          <w:rFonts w:ascii="Arial" w:cs="Arial" w:eastAsia="Arial" w:hAnsi="Arial"/>
          <w:sz w:val="18"/>
          <w:szCs w:val="18"/>
          <w:color w:val="auto"/>
        </w:rPr>
        <w:t>”), including, but not limited to (i) a Security Agreement dated as of October 2, 2012, executed by Borrower in favor of the Administrative Agent, as amended by an Amendment to Security Agreement dated as of October 27, 2017, (ii) a Confirmatory Grant of Security Interest in Trademarks dated as of September 14, 2012, executed by Borrower in favor of the Administrative Agent, (iii) a Confirmatory Grant of Security Interests in Patents dated as of September 14, 2012, executed by Borrower in favor of the Administrative Agent, and (iv) a Continuing Guaranty dated as of October 25, 2021, executed by Universal Electronics BV in favor of Administrative Agent.</w:t>
      </w:r>
    </w:p>
    <w:p>
      <w:pPr>
        <w:spacing w:after="0" w:line="182" w:lineRule="exact"/>
        <w:rPr>
          <w:rFonts w:ascii="Arial" w:cs="Arial" w:eastAsia="Arial" w:hAnsi="Arial"/>
          <w:sz w:val="18"/>
          <w:szCs w:val="18"/>
          <w:color w:val="auto"/>
        </w:rPr>
      </w:pPr>
    </w:p>
    <w:p>
      <w:pPr>
        <w:jc w:val="both"/>
        <w:ind w:firstLine="262"/>
        <w:spacing w:after="0" w:line="233" w:lineRule="auto"/>
        <w:tabs>
          <w:tab w:leader="none" w:pos="6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Borrower has requested the Lenders and the Administrative Agent to amend the terms of the Credit Agreement in the manner set forth herein; and the Lenders and the Administrative Agent are willing to agree to amend the terms of the Credit Agreement on the terms and conditions set forth herein.</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Borrower, Lender and the Administrative Agent hereby agree as follows:</w:t>
      </w:r>
    </w:p>
    <w:p>
      <w:pPr>
        <w:spacing w:after="0" w:line="166" w:lineRule="exact"/>
        <w:rPr>
          <w:sz w:val="20"/>
          <w:szCs w:val="20"/>
          <w:color w:val="auto"/>
        </w:rPr>
      </w:pPr>
    </w:p>
    <w:p>
      <w:pPr>
        <w:ind w:left="560" w:hanging="352"/>
        <w:spacing w:after="0"/>
        <w:tabs>
          <w:tab w:leader="none" w:pos="5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are true and correct, and, with the defined terms set forth herein, are incorporated by this reference.</w:t>
      </w:r>
    </w:p>
    <w:p>
      <w:pPr>
        <w:spacing w:after="0" w:line="211" w:lineRule="exact"/>
        <w:rPr>
          <w:rFonts w:ascii="Arial" w:cs="Arial" w:eastAsia="Arial" w:hAnsi="Arial"/>
          <w:sz w:val="18"/>
          <w:szCs w:val="18"/>
          <w:b w:val="1"/>
          <w:bCs w:val="1"/>
          <w:color w:val="auto"/>
        </w:rPr>
      </w:pPr>
    </w:p>
    <w:p>
      <w:pPr>
        <w:ind w:left="560" w:hanging="352"/>
        <w:spacing w:after="0"/>
        <w:tabs>
          <w:tab w:leader="none" w:pos="5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the Credit Agreement his hereby amended as follows:</w:t>
      </w:r>
    </w:p>
    <w:p>
      <w:pPr>
        <w:spacing w:after="0" w:line="225" w:lineRule="exact"/>
        <w:rPr>
          <w:rFonts w:ascii="Arial" w:cs="Arial" w:eastAsia="Arial" w:hAnsi="Arial"/>
          <w:sz w:val="18"/>
          <w:szCs w:val="18"/>
          <w:b w:val="1"/>
          <w:bCs w:val="1"/>
          <w:color w:val="auto"/>
        </w:rPr>
      </w:pPr>
    </w:p>
    <w:p>
      <w:pPr>
        <w:jc w:val="both"/>
        <w:ind w:firstLine="1304"/>
        <w:spacing w:after="0" w:line="227" w:lineRule="auto"/>
        <w:tabs>
          <w:tab w:leader="none" w:pos="2001"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definitions of “Applicable Margin”, “Consolidated Cash Flow Leverage Ratio”, “Consolidated EBITDA”, “Consolidated Fixed Charge Ratio”, “Facility Termination Date”, and “Revolving Commitment” set forth in Section 1.1 of the Credit Agreement are deleted and the following substituted in lieu thereof:</w:t>
      </w:r>
    </w:p>
    <w:p>
      <w:pPr>
        <w:spacing w:after="0" w:line="196" w:lineRule="exact"/>
        <w:rPr>
          <w:sz w:val="20"/>
          <w:szCs w:val="20"/>
          <w:color w:val="auto"/>
        </w:rPr>
      </w:pPr>
    </w:p>
    <w:p>
      <w:pPr>
        <w:jc w:val="both"/>
        <w:ind w:left="660" w:right="660" w:firstLine="648"/>
        <w:spacing w:after="0"/>
        <w:rPr>
          <w:sz w:val="20"/>
          <w:szCs w:val="20"/>
          <w:color w:val="auto"/>
        </w:rPr>
      </w:pPr>
      <w:r>
        <w:rPr>
          <w:rFonts w:ascii="Arial" w:cs="Arial" w:eastAsia="Arial" w:hAnsi="Arial"/>
          <w:sz w:val="18"/>
          <w:szCs w:val="18"/>
          <w:color w:val="auto"/>
        </w:rPr>
        <w:t>“Applicable Margin” means (a) with respect to a SOFR Borrowing, 3.00%, and (b) with respect to a Base Rate Borrowing, 0.00%.</w:t>
      </w:r>
    </w:p>
    <w:p>
      <w:pPr>
        <w:spacing w:after="0" w:line="180" w:lineRule="exact"/>
        <w:rPr>
          <w:sz w:val="20"/>
          <w:szCs w:val="20"/>
          <w:color w:val="auto"/>
        </w:rPr>
      </w:pPr>
    </w:p>
    <w:p>
      <w:pPr>
        <w:jc w:val="both"/>
        <w:ind w:left="660" w:right="660" w:firstLine="648"/>
        <w:spacing w:after="0"/>
        <w:rPr>
          <w:sz w:val="20"/>
          <w:szCs w:val="20"/>
          <w:color w:val="auto"/>
        </w:rPr>
      </w:pPr>
      <w:r>
        <w:rPr>
          <w:rFonts w:ascii="Arial" w:cs="Arial" w:eastAsia="Arial" w:hAnsi="Arial"/>
          <w:sz w:val="18"/>
          <w:szCs w:val="18"/>
          <w:color w:val="auto"/>
        </w:rPr>
        <w:t>“Consolidated Cash Flow Leverage Ratio” means, at any time, the ratio of (i) Consolidated Total Funded Debt, as of such date, to (ii) Consolidated EBITDA measured on a trailing 12-month basis.</w:t>
      </w:r>
    </w:p>
    <w:p>
      <w:pPr>
        <w:spacing w:after="0" w:line="194" w:lineRule="exact"/>
        <w:rPr>
          <w:sz w:val="20"/>
          <w:szCs w:val="20"/>
          <w:color w:val="auto"/>
        </w:rPr>
      </w:pPr>
    </w:p>
    <w:p>
      <w:pPr>
        <w:jc w:val="both"/>
        <w:ind w:left="660" w:right="640" w:firstLine="648"/>
        <w:spacing w:after="0" w:line="215" w:lineRule="auto"/>
        <w:rPr>
          <w:sz w:val="20"/>
          <w:szCs w:val="20"/>
          <w:color w:val="auto"/>
        </w:rPr>
      </w:pPr>
      <w:r>
        <w:rPr>
          <w:rFonts w:ascii="Arial" w:cs="Arial" w:eastAsia="Arial" w:hAnsi="Arial"/>
          <w:sz w:val="18"/>
          <w:szCs w:val="18"/>
          <w:color w:val="auto"/>
        </w:rPr>
        <w:t xml:space="preserve">“Consolidated EBITDA” means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from revenues in determining Consolidated Net Income and without duplication, (i) Consolidated Interest Expense, (ii) expense for taxes paid in cash or accrued, (iii) depreciation, (iv) amortization, (v) extraordinary expenses, charges or losses incurred other than in the ordinary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course of business, (vi) non-cash expenses related to stock</w:t>
      </w:r>
    </w:p>
    <w:p>
      <w:pPr>
        <w:sectPr>
          <w:pgSz w:w="11900" w:h="16838" w:orient="portrait"/>
          <w:cols w:equalWidth="0" w:num="1">
            <w:col w:w="11240"/>
          </w:cols>
          <w:pgMar w:left="320" w:top="1403" w:right="339" w:bottom="1440" w:gutter="0" w:footer="0" w:header="0"/>
        </w:sectPr>
      </w:pPr>
    </w:p>
    <w:bookmarkStart w:id="88" w:name="page89"/>
    <w:bookmarkEnd w:id="88"/>
    <w:p>
      <w:pPr>
        <w:jc w:val="both"/>
        <w:ind w:left="452"/>
        <w:spacing w:after="0" w:line="221" w:lineRule="auto"/>
        <w:rPr>
          <w:sz w:val="20"/>
          <w:szCs w:val="20"/>
          <w:color w:val="auto"/>
        </w:rPr>
      </w:pPr>
      <w:r>
        <w:rPr>
          <w:rFonts w:ascii="Arial" w:cs="Arial" w:eastAsia="Arial" w:hAnsi="Arial"/>
          <w:sz w:val="18"/>
          <w:szCs w:val="18"/>
          <w:color w:val="auto"/>
        </w:rPr>
        <w:t>based compensation, and (vii) the actual cash amount of severance payments made with respect to the Borrower’s Mexico plant during fiscal year ending December 31, 2024 up to a maximum amount of $3,000,000, and (viii) other add-backs</w:t>
      </w:r>
    </w:p>
    <w:p>
      <w:pPr>
        <w:spacing w:after="0" w:line="1" w:lineRule="exact"/>
        <w:rPr>
          <w:sz w:val="20"/>
          <w:szCs w:val="20"/>
          <w:color w:val="auto"/>
        </w:rPr>
      </w:pPr>
    </w:p>
    <w:p>
      <w:pPr>
        <w:jc w:val="both"/>
        <w:ind w:left="452"/>
        <w:spacing w:after="0" w:line="208" w:lineRule="auto"/>
        <w:rPr>
          <w:sz w:val="20"/>
          <w:szCs w:val="20"/>
          <w:color w:val="auto"/>
        </w:rPr>
      </w:pPr>
      <w:r>
        <w:rPr>
          <w:rFonts w:ascii="Arial" w:cs="Arial" w:eastAsia="Arial" w:hAnsi="Arial"/>
          <w:sz w:val="18"/>
          <w:szCs w:val="18"/>
          <w:color w:val="auto"/>
        </w:rPr>
        <w:t xml:space="preserve">determined by Administrative Agent in its sole and absolute discretion, </w:t>
      </w:r>
      <w:r>
        <w:rPr>
          <w:rFonts w:ascii="Arial" w:cs="Arial" w:eastAsia="Arial" w:hAnsi="Arial"/>
          <w:sz w:val="18"/>
          <w:szCs w:val="18"/>
          <w:i w:val="1"/>
          <w:iCs w:val="1"/>
          <w:color w:val="auto"/>
        </w:rPr>
        <w:t>minus</w:t>
      </w:r>
      <w:r>
        <w:rPr>
          <w:rFonts w:ascii="Arial" w:cs="Arial" w:eastAsia="Arial" w:hAnsi="Arial"/>
          <w:sz w:val="18"/>
          <w:szCs w:val="18"/>
          <w:color w:val="auto"/>
        </w:rPr>
        <w:t>, to the extent included in Consolidated Net Income, (1) extraordinary income or gains realized other than in the ordinary course of business, (2) income tax credits and refunds (to the extent not netted from tax expense), and (3) any cash payments made during such period in respect of items</w:t>
      </w:r>
    </w:p>
    <w:p>
      <w:pPr>
        <w:spacing w:after="0" w:line="2" w:lineRule="exact"/>
        <w:rPr>
          <w:sz w:val="20"/>
          <w:szCs w:val="20"/>
          <w:color w:val="auto"/>
        </w:rPr>
      </w:pPr>
    </w:p>
    <w:p>
      <w:pPr>
        <w:jc w:val="both"/>
        <w:ind w:left="452"/>
        <w:spacing w:after="0" w:line="229" w:lineRule="auto"/>
        <w:rPr>
          <w:sz w:val="20"/>
          <w:szCs w:val="20"/>
          <w:color w:val="auto"/>
        </w:rPr>
      </w:pPr>
      <w:r>
        <w:rPr>
          <w:rFonts w:ascii="Arial" w:cs="Arial" w:eastAsia="Arial" w:hAnsi="Arial"/>
          <w:sz w:val="18"/>
          <w:szCs w:val="18"/>
          <w:color w:val="auto"/>
        </w:rPr>
        <w:t>described in clauses (v) or (vi) above subsequent to the fiscal quarter in which the relevant non-cash expenses, charges or losses were incurred, all calculated for the Borrower and its Subsidiaries on a consolidated basis.</w:t>
      </w:r>
    </w:p>
    <w:p>
      <w:pPr>
        <w:spacing w:after="0" w:line="181" w:lineRule="exact"/>
        <w:rPr>
          <w:sz w:val="20"/>
          <w:szCs w:val="20"/>
          <w:color w:val="auto"/>
        </w:rPr>
      </w:pPr>
    </w:p>
    <w:p>
      <w:pPr>
        <w:ind w:left="1092"/>
        <w:spacing w:after="0"/>
        <w:rPr>
          <w:sz w:val="20"/>
          <w:szCs w:val="20"/>
          <w:color w:val="auto"/>
        </w:rPr>
      </w:pPr>
      <w:r>
        <w:rPr>
          <w:rFonts w:ascii="Arial" w:cs="Arial" w:eastAsia="Arial" w:hAnsi="Arial"/>
          <w:sz w:val="18"/>
          <w:szCs w:val="18"/>
          <w:color w:val="auto"/>
        </w:rPr>
        <w:t>“Consolidated Fixed Charge Coverage Ratio” means, at any time, the ratio of (i) Consolidated EBITDA, plus</w:t>
      </w:r>
    </w:p>
    <w:p>
      <w:pPr>
        <w:jc w:val="both"/>
        <w:ind w:left="452"/>
        <w:spacing w:after="0" w:line="208" w:lineRule="auto"/>
        <w:rPr>
          <w:sz w:val="20"/>
          <w:szCs w:val="20"/>
          <w:color w:val="auto"/>
        </w:rPr>
      </w:pPr>
      <w:r>
        <w:rPr>
          <w:rFonts w:ascii="Arial" w:cs="Arial" w:eastAsia="Arial" w:hAnsi="Arial"/>
          <w:sz w:val="18"/>
          <w:szCs w:val="18"/>
          <w:color w:val="auto"/>
        </w:rPr>
        <w:t>Consolidated Rentals, minus Consolidated Maintenance Capital Expenditures, minus Restricted Payments, minus cash taxes to (ii) cash Consolidated Interest Expense, plus Consolidated Rentals, plus scheduled principal payments with respect to Consolidated Funded Indebtedness paid or payable in cash for such period, all calculated for the Borrower and its</w:t>
      </w:r>
    </w:p>
    <w:p>
      <w:pPr>
        <w:spacing w:after="0" w:line="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Subsidiaries on a consolidated basis.</w:t>
      </w:r>
    </w:p>
    <w:p>
      <w:pPr>
        <w:spacing w:after="0" w:line="194" w:lineRule="exact"/>
        <w:rPr>
          <w:sz w:val="20"/>
          <w:szCs w:val="20"/>
          <w:color w:val="auto"/>
        </w:rPr>
      </w:pPr>
    </w:p>
    <w:p>
      <w:pPr>
        <w:jc w:val="both"/>
        <w:ind w:left="452" w:firstLine="648"/>
        <w:spacing w:after="0"/>
        <w:rPr>
          <w:sz w:val="20"/>
          <w:szCs w:val="20"/>
          <w:color w:val="auto"/>
        </w:rPr>
      </w:pPr>
      <w:r>
        <w:rPr>
          <w:rFonts w:ascii="Arial" w:cs="Arial" w:eastAsia="Arial" w:hAnsi="Arial"/>
          <w:sz w:val="18"/>
          <w:szCs w:val="18"/>
          <w:color w:val="auto"/>
        </w:rPr>
        <w:t>“Facility Termination Date” means April 30, 2025, or an earlier date on which the Revolving Commitment Amount is reduced to zero or the Revolving Commitment is otherwise terminated pursuant to the terms hereof.</w:t>
      </w:r>
    </w:p>
    <w:p>
      <w:pPr>
        <w:spacing w:after="0" w:line="194" w:lineRule="exact"/>
        <w:rPr>
          <w:sz w:val="20"/>
          <w:szCs w:val="20"/>
          <w:color w:val="auto"/>
        </w:rPr>
      </w:pPr>
    </w:p>
    <w:p>
      <w:pPr>
        <w:jc w:val="both"/>
        <w:ind w:left="452" w:firstLine="648"/>
        <w:spacing w:after="0" w:line="215" w:lineRule="auto"/>
        <w:rPr>
          <w:sz w:val="20"/>
          <w:szCs w:val="20"/>
          <w:color w:val="auto"/>
        </w:rPr>
      </w:pPr>
      <w:r>
        <w:rPr>
          <w:rFonts w:ascii="Arial" w:cs="Arial" w:eastAsia="Arial" w:hAnsi="Arial"/>
          <w:sz w:val="18"/>
          <w:szCs w:val="18"/>
          <w:color w:val="auto"/>
        </w:rPr>
        <w:t>“Revolving Commitment” means, for each Lender, the obligation, if any, of such Lender to make Revolving Loans to, and participate in Facility LCs issued upon the application of and Swing Line Loan made to, the Borrower, expressed as an amount representing the maximum possible aggregate amount of such lender’s Revolving Exposure hereunder. The amount</w:t>
      </w:r>
    </w:p>
    <w:p>
      <w:pPr>
        <w:spacing w:after="0" w:line="2" w:lineRule="exact"/>
        <w:rPr>
          <w:sz w:val="20"/>
          <w:szCs w:val="20"/>
          <w:color w:val="auto"/>
        </w:rPr>
      </w:pPr>
    </w:p>
    <w:p>
      <w:pPr>
        <w:jc w:val="both"/>
        <w:ind w:left="452"/>
        <w:spacing w:after="0" w:line="208" w:lineRule="auto"/>
        <w:rPr>
          <w:sz w:val="20"/>
          <w:szCs w:val="20"/>
          <w:color w:val="auto"/>
        </w:rPr>
      </w:pPr>
      <w:r>
        <w:rPr>
          <w:rFonts w:ascii="Arial" w:cs="Arial" w:eastAsia="Arial" w:hAnsi="Arial"/>
          <w:sz w:val="18"/>
          <w:szCs w:val="18"/>
          <w:color w:val="auto"/>
        </w:rPr>
        <w:t>of each Revolving Lender’s Revolving Commitment is set forth on Schedule 2, as it may be modified (i) as a result of any assignment that has become effective pursuant to Section 12.3, or (ii) otherwise from time to time pursuant to the terms hereof. As of the Seventh Amendment Date and continuing until the Facility Termination Date, the aggregate amount of the</w:t>
      </w:r>
    </w:p>
    <w:p>
      <w:pPr>
        <w:spacing w:after="0" w:line="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Lenders’ Revolving Commitments is $100,000,000.</w:t>
      </w:r>
    </w:p>
    <w:p>
      <w:pPr>
        <w:spacing w:after="0" w:line="194" w:lineRule="exact"/>
        <w:rPr>
          <w:sz w:val="20"/>
          <w:szCs w:val="20"/>
          <w:color w:val="auto"/>
        </w:rPr>
      </w:pPr>
    </w:p>
    <w:p>
      <w:pPr>
        <w:ind w:left="1072" w:hanging="424"/>
        <w:spacing w:after="0"/>
        <w:tabs>
          <w:tab w:leader="none" w:pos="10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definitions of “Factory Transition Period” and “Pricing Schedule” are deleted in their entirety.</w:t>
      </w:r>
    </w:p>
    <w:p>
      <w:pPr>
        <w:spacing w:after="0" w:line="211" w:lineRule="exact"/>
        <w:rPr>
          <w:rFonts w:ascii="Arial" w:cs="Arial" w:eastAsia="Arial" w:hAnsi="Arial"/>
          <w:sz w:val="18"/>
          <w:szCs w:val="18"/>
          <w:color w:val="auto"/>
        </w:rPr>
      </w:pPr>
    </w:p>
    <w:p>
      <w:pPr>
        <w:ind w:left="-208" w:firstLine="863"/>
        <w:spacing w:after="0" w:line="256" w:lineRule="auto"/>
        <w:tabs>
          <w:tab w:leader="none" w:pos="10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definitions of “Accounts”, “Borrowing Base”, “Net Eligible Accounts”, “Revolving Credit Usage Cap” and “Seventh Amendment Effective Date” are added to Section 1.1 of the Credit Agreement in their proper alphabetical locations:</w:t>
      </w:r>
    </w:p>
    <w:p>
      <w:pPr>
        <w:spacing w:after="0" w:line="166" w:lineRule="exact"/>
        <w:rPr>
          <w:sz w:val="20"/>
          <w:szCs w:val="20"/>
          <w:color w:val="auto"/>
        </w:rPr>
      </w:pPr>
    </w:p>
    <w:p>
      <w:pPr>
        <w:ind w:left="452" w:firstLine="206"/>
        <w:spacing w:after="0" w:line="221" w:lineRule="auto"/>
        <w:rPr>
          <w:sz w:val="20"/>
          <w:szCs w:val="20"/>
          <w:color w:val="auto"/>
        </w:rPr>
      </w:pPr>
      <w:r>
        <w:rPr>
          <w:rFonts w:ascii="Arial" w:cs="Arial" w:eastAsia="Arial" w:hAnsi="Arial"/>
          <w:sz w:val="18"/>
          <w:szCs w:val="18"/>
          <w:color w:val="auto"/>
        </w:rPr>
        <w:t>“Accounts” means all “accounts” (as such term is defined in the Uniform Commercial Code as in effect from time to time in the State of Arizona) of Borrower, including, without limitation, the unpaid portion of the obligation of a customer of Borrower</w:t>
      </w:r>
    </w:p>
    <w:p>
      <w:pPr>
        <w:spacing w:after="0" w:line="1" w:lineRule="exact"/>
        <w:rPr>
          <w:sz w:val="20"/>
          <w:szCs w:val="20"/>
          <w:color w:val="auto"/>
        </w:rPr>
      </w:pPr>
    </w:p>
    <w:p>
      <w:pPr>
        <w:ind w:left="452"/>
        <w:spacing w:after="0" w:line="229" w:lineRule="auto"/>
        <w:rPr>
          <w:sz w:val="20"/>
          <w:szCs w:val="20"/>
          <w:color w:val="auto"/>
        </w:rPr>
      </w:pPr>
      <w:r>
        <w:rPr>
          <w:rFonts w:ascii="Arial" w:cs="Arial" w:eastAsia="Arial" w:hAnsi="Arial"/>
          <w:sz w:val="18"/>
          <w:szCs w:val="18"/>
          <w:color w:val="auto"/>
        </w:rPr>
        <w:t>in respect of goods purchase by and shipped to such customer and/or the rendition of services of Borrower, as stated on an invoice of Borrower.</w:t>
      </w:r>
    </w:p>
    <w:p>
      <w:pPr>
        <w:spacing w:after="0" w:line="181" w:lineRule="exact"/>
        <w:rPr>
          <w:sz w:val="20"/>
          <w:szCs w:val="20"/>
          <w:color w:val="auto"/>
        </w:rPr>
      </w:pPr>
    </w:p>
    <w:p>
      <w:pPr>
        <w:ind w:left="452" w:firstLine="648"/>
        <w:spacing w:after="0" w:line="256" w:lineRule="auto"/>
        <w:rPr>
          <w:sz w:val="20"/>
          <w:szCs w:val="20"/>
          <w:color w:val="auto"/>
        </w:rPr>
      </w:pPr>
      <w:r>
        <w:rPr>
          <w:rFonts w:ascii="Arial" w:cs="Arial" w:eastAsia="Arial" w:hAnsi="Arial"/>
          <w:sz w:val="18"/>
          <w:szCs w:val="18"/>
          <w:color w:val="auto"/>
        </w:rPr>
        <w:t>“Borrowing Base” means, as of any date of determination by Administrative Agent, an amount in Dollars equal to 75% of the book value of Net Eligible Accounts.</w:t>
      </w:r>
    </w:p>
    <w:p>
      <w:pPr>
        <w:spacing w:after="0" w:line="166" w:lineRule="exact"/>
        <w:rPr>
          <w:sz w:val="20"/>
          <w:szCs w:val="20"/>
          <w:color w:val="auto"/>
        </w:rPr>
      </w:pPr>
    </w:p>
    <w:p>
      <w:pPr>
        <w:ind w:left="452" w:firstLine="648"/>
        <w:spacing w:after="0" w:line="221" w:lineRule="auto"/>
        <w:rPr>
          <w:sz w:val="20"/>
          <w:szCs w:val="20"/>
          <w:color w:val="auto"/>
        </w:rPr>
      </w:pPr>
      <w:r>
        <w:rPr>
          <w:rFonts w:ascii="Arial" w:cs="Arial" w:eastAsia="Arial" w:hAnsi="Arial"/>
          <w:sz w:val="18"/>
          <w:szCs w:val="18"/>
          <w:color w:val="auto"/>
        </w:rPr>
        <w:t>“Net Eligible Accounts” means Accounts owned by Borrower that are less than ninety (90) days following their due date, less reserves for doubtful accounts and returns and other reserves established by Administrative Agent from time to</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time in its sole and absolute discretion.</w:t>
      </w:r>
    </w:p>
    <w:p>
      <w:pPr>
        <w:spacing w:after="0" w:line="194" w:lineRule="exact"/>
        <w:rPr>
          <w:sz w:val="20"/>
          <w:szCs w:val="20"/>
          <w:color w:val="auto"/>
        </w:rPr>
      </w:pPr>
    </w:p>
    <w:p>
      <w:pPr>
        <w:ind w:left="452" w:firstLine="262"/>
        <w:spacing w:after="0"/>
        <w:rPr>
          <w:sz w:val="20"/>
          <w:szCs w:val="20"/>
          <w:color w:val="auto"/>
        </w:rPr>
      </w:pPr>
      <w:r>
        <w:rPr>
          <w:rFonts w:ascii="Arial" w:cs="Arial" w:eastAsia="Arial" w:hAnsi="Arial"/>
          <w:sz w:val="18"/>
          <w:szCs w:val="18"/>
          <w:color w:val="auto"/>
        </w:rPr>
        <w:t>“Revolving Credit Usage Cap” means $85,000,000 or such higher amount as agreed to in writing by the Administrative Agent in its sole and absolute discretion.</w:t>
      </w:r>
    </w:p>
    <w:p>
      <w:pPr>
        <w:spacing w:after="0" w:line="180" w:lineRule="exact"/>
        <w:rPr>
          <w:sz w:val="20"/>
          <w:szCs w:val="20"/>
          <w:color w:val="auto"/>
        </w:rPr>
      </w:pPr>
    </w:p>
    <w:p>
      <w:pPr>
        <w:ind w:left="452" w:firstLine="325"/>
        <w:spacing w:after="0" w:line="256" w:lineRule="auto"/>
        <w:rPr>
          <w:sz w:val="20"/>
          <w:szCs w:val="20"/>
          <w:color w:val="auto"/>
        </w:rPr>
      </w:pPr>
      <w:r>
        <w:rPr>
          <w:rFonts w:ascii="Arial" w:cs="Arial" w:eastAsia="Arial" w:hAnsi="Arial"/>
          <w:sz w:val="18"/>
          <w:szCs w:val="18"/>
          <w:color w:val="auto"/>
        </w:rPr>
        <w:t>“Seventh Amendment Date” means the effective date of that certain Seventh Amendment to Second Amended and Restated Credit Agreement dated as of March 13, 2024.</w:t>
      </w:r>
    </w:p>
    <w:p>
      <w:pPr>
        <w:spacing w:after="0" w:line="166" w:lineRule="exact"/>
        <w:rPr>
          <w:sz w:val="20"/>
          <w:szCs w:val="20"/>
          <w:color w:val="auto"/>
        </w:rPr>
      </w:pPr>
    </w:p>
    <w:p>
      <w:pPr>
        <w:ind w:left="-208" w:firstLine="897"/>
        <w:spacing w:after="0"/>
        <w:tabs>
          <w:tab w:leader="none" w:pos="11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Section 2.1 of the Credit Agreement titled “Revolving Loan Commitment” is deleted in its entirety and the following substituted in lieu thereof: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112" w:hanging="112"/>
        <w:spacing w:after="0"/>
        <w:tabs>
          <w:tab w:leader="none" w:pos="1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372"/>
          </w:cols>
          <w:pgMar w:left="528" w:top="1403" w:right="999" w:bottom="1440" w:gutter="0" w:footer="0" w:header="0"/>
        </w:sectPr>
      </w:pPr>
    </w:p>
    <w:bookmarkStart w:id="89" w:name="page90"/>
    <w:bookmarkEnd w:id="89"/>
    <w:p>
      <w:pPr>
        <w:ind w:left="1300"/>
        <w:spacing w:after="0"/>
        <w:tabs>
          <w:tab w:leader="none" w:pos="1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From and after the Seventh Amendment Effective Date and prior to the Facility Termination Date, each Lender</w:t>
      </w:r>
    </w:p>
    <w:p>
      <w:pPr>
        <w:jc w:val="both"/>
        <w:ind w:left="660" w:right="20"/>
        <w:spacing w:after="0" w:line="221" w:lineRule="auto"/>
        <w:rPr>
          <w:sz w:val="20"/>
          <w:szCs w:val="20"/>
          <w:color w:val="auto"/>
        </w:rPr>
      </w:pPr>
      <w:r>
        <w:rPr>
          <w:rFonts w:ascii="Arial" w:cs="Arial" w:eastAsia="Arial" w:hAnsi="Arial"/>
          <w:sz w:val="18"/>
          <w:szCs w:val="18"/>
          <w:color w:val="auto"/>
        </w:rPr>
        <w:t>severally agrees, on the terms and conditions set forth in this Agreement, to make Revolving Loans to the Borrower in Dollars and participate in Facility LCs issued upon the request of the Borrower, only if, after giving effect to the making of each such loan and the issuance of each such Facility L/C,</w:t>
      </w:r>
    </w:p>
    <w:p>
      <w:pPr>
        <w:spacing w:after="0" w:line="193" w:lineRule="exact"/>
        <w:rPr>
          <w:sz w:val="20"/>
          <w:szCs w:val="20"/>
          <w:color w:val="auto"/>
        </w:rPr>
      </w:pPr>
    </w:p>
    <w:p>
      <w:pPr>
        <w:ind w:left="1940" w:hanging="636"/>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Dollar amount of such Lender’s Revolving Exposure does not exceed its Revolving Commitment; and</w:t>
      </w:r>
    </w:p>
    <w:p>
      <w:pPr>
        <w:spacing w:after="0" w:line="198" w:lineRule="exact"/>
        <w:rPr>
          <w:rFonts w:ascii="Arial" w:cs="Arial" w:eastAsia="Arial" w:hAnsi="Arial"/>
          <w:sz w:val="18"/>
          <w:szCs w:val="18"/>
          <w:color w:val="auto"/>
        </w:rPr>
      </w:pPr>
    </w:p>
    <w:p>
      <w:pPr>
        <w:ind w:left="1940" w:hanging="636"/>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aggregate Revolving Exposures do not exceed the </w:t>
      </w:r>
      <w:r>
        <w:rPr>
          <w:rFonts w:ascii="Arial" w:cs="Arial" w:eastAsia="Arial" w:hAnsi="Arial"/>
          <w:sz w:val="18"/>
          <w:szCs w:val="18"/>
          <w:i w:val="1"/>
          <w:iCs w:val="1"/>
          <w:u w:val="single" w:color="auto"/>
          <w:color w:val="auto"/>
        </w:rPr>
        <w:t>lesser of</w:t>
      </w:r>
      <w:r>
        <w:rPr>
          <w:rFonts w:ascii="Arial" w:cs="Arial" w:eastAsia="Arial" w:hAnsi="Arial"/>
          <w:sz w:val="18"/>
          <w:szCs w:val="18"/>
          <w:color w:val="auto"/>
        </w:rPr>
        <w:t xml:space="preserve"> (a) the aggregate Revolving Commitment,</w:t>
      </w:r>
    </w:p>
    <w:p>
      <w:pPr>
        <w:ind w:left="1960"/>
        <w:spacing w:after="0" w:line="219" w:lineRule="auto"/>
        <w:rPr>
          <w:rFonts w:ascii="Arial" w:cs="Arial" w:eastAsia="Arial" w:hAnsi="Arial"/>
          <w:sz w:val="18"/>
          <w:szCs w:val="18"/>
          <w:color w:val="auto"/>
        </w:rPr>
      </w:pPr>
      <w:r>
        <w:rPr>
          <w:rFonts w:ascii="Arial" w:cs="Arial" w:eastAsia="Arial" w:hAnsi="Arial"/>
          <w:sz w:val="18"/>
          <w:szCs w:val="18"/>
          <w:color w:val="auto"/>
        </w:rPr>
        <w:t>(b) the Borrowing Base, if applicable, and (c) the Revolving Credit Usage Cap, if applicable. The Borrowing</w:t>
      </w:r>
    </w:p>
    <w:p>
      <w:pPr>
        <w:jc w:val="both"/>
        <w:ind w:left="1960"/>
        <w:spacing w:after="0" w:line="208" w:lineRule="auto"/>
        <w:rPr>
          <w:sz w:val="20"/>
          <w:szCs w:val="20"/>
          <w:color w:val="auto"/>
        </w:rPr>
      </w:pPr>
      <w:r>
        <w:rPr>
          <w:rFonts w:ascii="Arial" w:cs="Arial" w:eastAsia="Arial" w:hAnsi="Arial"/>
          <w:sz w:val="18"/>
          <w:szCs w:val="18"/>
          <w:color w:val="auto"/>
        </w:rPr>
        <w:t>Base and the Revolving Credit Usage Cap shall apply and shall limit the amount of Borrowings available to Borrower unless and until Borrower has achieved both (x) a Consolidated Fixed Charge Coverage Ratio in excess of 2.00 to 1.00 determined as of the end of the most recent fiscal quarter, and (y) a Consolidated</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Cash Flow Leverage Ratio below 3.0 to 1.00, determined as of the end of the most recent fiscal quarter.</w:t>
      </w:r>
    </w:p>
    <w:p>
      <w:pPr>
        <w:spacing w:after="0" w:line="194" w:lineRule="exact"/>
        <w:rPr>
          <w:sz w:val="20"/>
          <w:szCs w:val="20"/>
          <w:color w:val="auto"/>
        </w:rPr>
      </w:pPr>
    </w:p>
    <w:p>
      <w:pPr>
        <w:ind w:left="660" w:right="20" w:firstLine="648"/>
        <w:spacing w:after="0"/>
        <w:rPr>
          <w:sz w:val="20"/>
          <w:szCs w:val="20"/>
          <w:color w:val="auto"/>
        </w:rPr>
      </w:pPr>
      <w:r>
        <w:rPr>
          <w:rFonts w:ascii="Arial" w:cs="Arial" w:eastAsia="Arial" w:hAnsi="Arial"/>
          <w:sz w:val="18"/>
          <w:szCs w:val="18"/>
          <w:color w:val="auto"/>
        </w:rPr>
        <w:t>For purposes of calculating the Cash Flow Leverage Ratio under this Section 2.1, Consolidated Total Funded Debt shall be determined on a pro forma basis after giving effect to any requested Borrowing.”</w:t>
      </w:r>
    </w:p>
    <w:p>
      <w:pPr>
        <w:spacing w:after="0" w:line="180" w:lineRule="exact"/>
        <w:rPr>
          <w:sz w:val="20"/>
          <w:szCs w:val="20"/>
          <w:color w:val="auto"/>
        </w:rPr>
      </w:pPr>
    </w:p>
    <w:p>
      <w:pPr>
        <w:ind w:left="1740" w:hanging="436"/>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2.5 of the Credit Agreement titled “Other Fees” is deleted in its entirety and the following substituted in</w:t>
      </w:r>
    </w:p>
    <w:p>
      <w:pPr>
        <w:spacing w:after="0"/>
        <w:rPr>
          <w:sz w:val="20"/>
          <w:szCs w:val="20"/>
          <w:color w:val="auto"/>
        </w:rPr>
      </w:pPr>
      <w:r>
        <w:rPr>
          <w:rFonts w:ascii="Arial" w:cs="Arial" w:eastAsia="Arial" w:hAnsi="Arial"/>
          <w:sz w:val="18"/>
          <w:szCs w:val="18"/>
          <w:color w:val="auto"/>
        </w:rPr>
        <w:t>lieu thereof:</w:t>
      </w:r>
    </w:p>
    <w:p>
      <w:pPr>
        <w:spacing w:after="0" w:line="194" w:lineRule="exact"/>
        <w:rPr>
          <w:sz w:val="20"/>
          <w:szCs w:val="20"/>
          <w:color w:val="auto"/>
        </w:rPr>
      </w:pPr>
    </w:p>
    <w:p>
      <w:pPr>
        <w:ind w:left="1300"/>
        <w:spacing w:after="0"/>
        <w:tabs>
          <w:tab w:leader="none" w:pos="1940" w:val="left"/>
          <w:tab w:leader="none" w:pos="2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Borrower shall pay to each Lender a commitment fee (the “Commitment Fee”) at a per annum</w:t>
      </w:r>
    </w:p>
    <w:p>
      <w:pPr>
        <w:jc w:val="both"/>
        <w:ind w:left="660" w:right="20"/>
        <w:spacing w:after="0" w:line="221" w:lineRule="auto"/>
        <w:rPr>
          <w:sz w:val="20"/>
          <w:szCs w:val="20"/>
          <w:color w:val="auto"/>
        </w:rPr>
      </w:pPr>
      <w:r>
        <w:rPr>
          <w:rFonts w:ascii="Arial" w:cs="Arial" w:eastAsia="Arial" w:hAnsi="Arial"/>
          <w:sz w:val="18"/>
          <w:szCs w:val="18"/>
          <w:color w:val="auto"/>
        </w:rPr>
        <w:t>rate equal to one quarter of one percent (.25%) of the Lender’s Revolving Commitment from the Seventh Amendment Date until the Facility Termination Date, payable in arrears on each Interest Payment Date for a SOFR Loan or Payment Date for a Base Rate Loan.”</w:t>
      </w:r>
    </w:p>
    <w:p>
      <w:pPr>
        <w:spacing w:after="0" w:line="193" w:lineRule="exact"/>
        <w:rPr>
          <w:sz w:val="20"/>
          <w:szCs w:val="20"/>
          <w:color w:val="auto"/>
        </w:rPr>
      </w:pPr>
    </w:p>
    <w:p>
      <w:pPr>
        <w:ind w:right="20" w:firstLine="1304"/>
        <w:spacing w:after="0"/>
        <w:tabs>
          <w:tab w:leader="none" w:pos="16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Subparagraphs (c), (h) and (i) of Section 6.1 of the Credit Agreement titled “Financial Reporting” are deleted in their entirety and the following substituted in lieu thereof:</w:t>
      </w:r>
    </w:p>
    <w:p>
      <w:pPr>
        <w:spacing w:after="0" w:line="180"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18"/>
          <w:szCs w:val="18"/>
          <w:color w:val="auto"/>
        </w:rPr>
        <w:t>“(c)</w:t>
        <w:tab/>
        <w:t>Within 30 days after the close of each calendar month, for itself and its Subsidiaries, consolidated unaudited</w:t>
      </w:r>
    </w:p>
    <w:p>
      <w:pPr>
        <w:jc w:val="both"/>
        <w:ind w:left="1300" w:right="20"/>
        <w:spacing w:after="0" w:line="208" w:lineRule="auto"/>
        <w:rPr>
          <w:sz w:val="20"/>
          <w:szCs w:val="20"/>
          <w:color w:val="auto"/>
        </w:rPr>
      </w:pPr>
      <w:r>
        <w:rPr>
          <w:rFonts w:ascii="Arial" w:cs="Arial" w:eastAsia="Arial" w:hAnsi="Arial"/>
          <w:sz w:val="18"/>
          <w:szCs w:val="18"/>
          <w:color w:val="auto"/>
        </w:rPr>
        <w:t>balance sheets as of the close of each such period and consolidated profit and loss and reconciliation of surplus statements (including sufficient detail for independent calculation of the financial covenants set forth in Section 6.21), a statement of cash flows for the period from the beginning of such fiscal year to the end of such month, and a report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the Borrowing Base as of the end of such month, all certified by its chief financial officer.”</w:t>
      </w:r>
    </w:p>
    <w:p>
      <w:pPr>
        <w:spacing w:after="0" w:line="194"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18"/>
          <w:szCs w:val="18"/>
          <w:color w:val="auto"/>
        </w:rPr>
        <w:t>“(h)</w:t>
        <w:tab/>
        <w:t>Reserved.”</w:t>
      </w:r>
    </w:p>
    <w:p>
      <w:pPr>
        <w:spacing w:after="0" w:line="21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Within 15 days following the end of each calendar month (or if, and so long as, the aggregate</w:t>
      </w:r>
    </w:p>
    <w:p>
      <w:pPr>
        <w:jc w:val="both"/>
        <w:ind w:left="1300" w:right="20"/>
        <w:spacing w:after="0" w:line="229" w:lineRule="auto"/>
        <w:rPr>
          <w:sz w:val="20"/>
          <w:szCs w:val="20"/>
          <w:color w:val="auto"/>
        </w:rPr>
      </w:pPr>
      <w:r>
        <w:rPr>
          <w:rFonts w:ascii="Arial" w:cs="Arial" w:eastAsia="Arial" w:hAnsi="Arial"/>
          <w:sz w:val="18"/>
          <w:szCs w:val="18"/>
          <w:color w:val="auto"/>
        </w:rPr>
        <w:t>Revolving Exposure is greater than $70 million, every other week), a 13-week cash flow forecast for itself and its Subsidiaries, prepared by its chief financial officer;”</w:t>
      </w:r>
    </w:p>
    <w:p>
      <w:pPr>
        <w:spacing w:after="0" w:line="181" w:lineRule="exact"/>
        <w:rPr>
          <w:sz w:val="20"/>
          <w:szCs w:val="20"/>
          <w:color w:val="auto"/>
        </w:rPr>
      </w:pPr>
    </w:p>
    <w:p>
      <w:pPr>
        <w:ind w:right="20" w:firstLine="1304"/>
        <w:spacing w:after="0" w:line="256" w:lineRule="auto"/>
        <w:tabs>
          <w:tab w:leader="none" w:pos="17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6.19 of the Credit Agreement titled “Restricted Payments” is deleted in its entirety and the following substituted in lieu thereof:</w:t>
      </w:r>
    </w:p>
    <w:p>
      <w:pPr>
        <w:spacing w:after="0" w:line="16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212" w:lineRule="exact"/>
        <w:rPr>
          <w:sz w:val="20"/>
          <w:szCs w:val="20"/>
          <w:color w:val="auto"/>
        </w:rPr>
      </w:pPr>
    </w:p>
    <w:p>
      <w:pPr>
        <w:ind w:left="660" w:right="20" w:firstLine="648"/>
        <w:spacing w:after="0" w:line="221" w:lineRule="auto"/>
        <w:rPr>
          <w:sz w:val="20"/>
          <w:szCs w:val="20"/>
          <w:color w:val="auto"/>
        </w:rPr>
      </w:pPr>
      <w:r>
        <w:rPr>
          <w:rFonts w:ascii="Arial" w:cs="Arial" w:eastAsia="Arial" w:hAnsi="Arial"/>
          <w:sz w:val="18"/>
          <w:szCs w:val="18"/>
          <w:color w:val="auto"/>
        </w:rPr>
        <w:t>The Borrower will not, nor will it permit any Restricted Subsidiary to, make any Restricted Payment, except that (i) any Subsidiary may declare and pay dividends or make distributions to the Borrower or to a Wholly-Owned Subsidiary of the</w:t>
      </w:r>
    </w:p>
    <w:p>
      <w:pPr>
        <w:spacing w:after="0" w:line="1" w:lineRule="exact"/>
        <w:rPr>
          <w:sz w:val="20"/>
          <w:szCs w:val="20"/>
          <w:color w:val="auto"/>
        </w:rPr>
      </w:pPr>
    </w:p>
    <w:p>
      <w:pPr>
        <w:ind w:left="660" w:right="20"/>
        <w:spacing w:after="0" w:line="229" w:lineRule="auto"/>
        <w:rPr>
          <w:sz w:val="20"/>
          <w:szCs w:val="20"/>
          <w:color w:val="auto"/>
        </w:rPr>
      </w:pPr>
      <w:r>
        <w:rPr>
          <w:rFonts w:ascii="Arial" w:cs="Arial" w:eastAsia="Arial" w:hAnsi="Arial"/>
          <w:sz w:val="18"/>
          <w:szCs w:val="18"/>
          <w:color w:val="auto"/>
        </w:rPr>
        <w:t>Borrower subject to continuing compliance with Section 6.27, (ii) the Borrower may declare and pay dividends on its capital stock or repurchase shares of the Borrower’s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600"/>
          </w:cols>
          <w:pgMar w:left="320" w:top="1403" w:right="97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provided that (x) such Restricted Payments do not exceed $4 million, and (y) no Default or Event of Default shall exist before or after giving effect to such dividends or repurchase as a result thereof.”</w:t>
      </w:r>
    </w:p>
    <w:p>
      <w:pPr>
        <w:spacing w:after="0" w:line="194" w:lineRule="exact"/>
        <w:rPr>
          <w:sz w:val="20"/>
          <w:szCs w:val="20"/>
          <w:color w:val="auto"/>
        </w:rPr>
      </w:pPr>
    </w:p>
    <w:p>
      <w:pPr>
        <w:ind w:firstLine="1304"/>
        <w:spacing w:after="0"/>
        <w:tabs>
          <w:tab w:leader="none" w:pos="17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6.21 of the Credit Agreement titled “Financial Covenants” is deleted in its entirety and the following substituted in lieu thereof:</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jc w:val="both"/>
        <w:ind w:left="1960" w:hanging="656"/>
        <w:spacing w:after="0" w:line="225" w:lineRule="auto"/>
        <w:tabs>
          <w:tab w:leader="none" w:pos="19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Borrower will not permit the Consolidated Fixed Charge Coverage Ratio to be less than (a) 1.00 to 1.00 measured as of the fiscal quarter ending December 31, 2024 on a trailing 12-month basis, and (b) 2.00 to 1.00 measured as of the end of the fiscal quarter ending March 31, 2025 and each fiscal quarter thereafter on a trailing 12-month basis.</w:t>
      </w:r>
    </w:p>
    <w:p>
      <w:pPr>
        <w:spacing w:after="0" w:line="182" w:lineRule="exact"/>
        <w:rPr>
          <w:rFonts w:ascii="Arial" w:cs="Arial" w:eastAsia="Arial" w:hAnsi="Arial"/>
          <w:sz w:val="18"/>
          <w:szCs w:val="18"/>
          <w:color w:val="auto"/>
        </w:rPr>
      </w:pPr>
    </w:p>
    <w:p>
      <w:pPr>
        <w:jc w:val="both"/>
        <w:ind w:left="1960" w:hanging="656"/>
        <w:spacing w:after="0" w:line="233" w:lineRule="auto"/>
        <w:tabs>
          <w:tab w:leader="none" w:pos="195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Consolidated Cash Flow Leverage Ratio</w:t>
      </w:r>
      <w:r>
        <w:rPr>
          <w:rFonts w:ascii="Arial" w:cs="Arial" w:eastAsia="Arial" w:hAnsi="Arial"/>
          <w:sz w:val="18"/>
          <w:szCs w:val="18"/>
          <w:color w:val="auto"/>
        </w:rPr>
        <w:t>. Beginning March 31, 2025, Borrower will not permit the Consolidated Cash Flow Leverage Ratio measured as of the last day of any fiscal quarter (with EBITDA calculated on a trailing 12-month basis) to be greater than or equal to 3.00 to 1.00.</w:t>
      </w:r>
    </w:p>
    <w:p>
      <w:pPr>
        <w:spacing w:after="0" w:line="180" w:lineRule="exact"/>
        <w:rPr>
          <w:rFonts w:ascii="Arial" w:cs="Arial" w:eastAsia="Arial" w:hAnsi="Arial"/>
          <w:sz w:val="18"/>
          <w:szCs w:val="18"/>
          <w:color w:val="auto"/>
        </w:rPr>
      </w:pPr>
    </w:p>
    <w:p>
      <w:pPr>
        <w:jc w:val="both"/>
        <w:ind w:left="1960" w:hanging="656"/>
        <w:spacing w:after="0" w:line="233" w:lineRule="auto"/>
        <w:tabs>
          <w:tab w:leader="none" w:pos="200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As of the last day of each Test Period ending on the relevant date set forth below, Borrower shall have Consolidated EBITDA for such Test Period of not less than the amount designated below as the Minimum Consolidated EBITDA for such Test Period:</w:t>
      </w:r>
    </w:p>
    <w:p>
      <w:pPr>
        <w:spacing w:after="0" w:line="220" w:lineRule="exact"/>
        <w:rPr>
          <w:sz w:val="20"/>
          <w:szCs w:val="20"/>
          <w:color w:val="auto"/>
        </w:rPr>
      </w:pPr>
    </w:p>
    <w:tbl>
      <w:tblPr>
        <w:tblLayout w:type="fixed"/>
        <w:tblInd w:w="1310" w:type="dxa"/>
        <w:tblCellMar>
          <w:top w:w="0" w:type="dxa"/>
          <w:left w:w="0" w:type="dxa"/>
          <w:bottom w:w="0" w:type="dxa"/>
          <w:right w:w="0" w:type="dxa"/>
        </w:tblCellMar>
      </w:tblPr>
      <w:tr>
        <w:trPr>
          <w:trHeight w:val="243"/>
        </w:trPr>
        <w:tc>
          <w:tcPr>
            <w:tcW w:w="41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Test Period</w:t>
            </w:r>
          </w:p>
        </w:tc>
        <w:tc>
          <w:tcPr>
            <w:tcW w:w="42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Minimum Consolidated EBITDA</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January 1, 2024 through March 31, 2024</w:t>
            </w:r>
          </w:p>
        </w:tc>
        <w:tc>
          <w:tcPr>
            <w:tcW w:w="4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January 1, 2024 through June 30, 2024</w:t>
            </w:r>
          </w:p>
        </w:tc>
        <w:tc>
          <w:tcPr>
            <w:tcW w:w="4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169"/>
        </w:trPr>
        <w:tc>
          <w:tcPr>
            <w:tcW w:w="41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January 1, 2024 through September 30,</w:t>
            </w:r>
          </w:p>
        </w:tc>
        <w:tc>
          <w:tcPr>
            <w:tcW w:w="42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43"/>
        </w:trPr>
        <w:tc>
          <w:tcPr>
            <w:tcW w:w="4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2024</w:t>
            </w:r>
          </w:p>
        </w:tc>
        <w:tc>
          <w:tcPr>
            <w:tcW w:w="42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680" w:hanging="376"/>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Subparagraph (a) of Section 13.1 titled “Notices Generally” is deleted in its entirety and the following substituted</w:t>
      </w:r>
    </w:p>
    <w:p>
      <w:pPr>
        <w:spacing w:after="0"/>
        <w:rPr>
          <w:sz w:val="20"/>
          <w:szCs w:val="20"/>
          <w:color w:val="auto"/>
        </w:rPr>
      </w:pPr>
      <w:r>
        <w:rPr>
          <w:rFonts w:ascii="Arial" w:cs="Arial" w:eastAsia="Arial" w:hAnsi="Arial"/>
          <w:sz w:val="18"/>
          <w:szCs w:val="18"/>
          <w:color w:val="auto"/>
        </w:rPr>
        <w:t>in lieu thereof:</w:t>
      </w:r>
    </w:p>
    <w:p>
      <w:pPr>
        <w:spacing w:after="0" w:line="194" w:lineRule="exact"/>
        <w:rPr>
          <w:sz w:val="20"/>
          <w:szCs w:val="20"/>
          <w:color w:val="auto"/>
        </w:rPr>
      </w:pPr>
    </w:p>
    <w:p>
      <w:pPr>
        <w:jc w:val="both"/>
        <w:ind w:left="1300"/>
        <w:spacing w:after="0"/>
        <w:tabs>
          <w:tab w:leader="none" w:pos="1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w:t>
      </w:r>
    </w:p>
    <w:p>
      <w:pPr>
        <w:jc w:val="both"/>
        <w:ind w:left="1300"/>
        <w:spacing w:after="0" w:line="221" w:lineRule="auto"/>
        <w:rPr>
          <w:sz w:val="20"/>
          <w:szCs w:val="20"/>
          <w:color w:val="auto"/>
        </w:rPr>
      </w:pPr>
      <w:r>
        <w:rPr>
          <w:rFonts w:ascii="Arial" w:cs="Arial" w:eastAsia="Arial" w:hAnsi="Arial"/>
          <w:sz w:val="18"/>
          <w:szCs w:val="18"/>
          <w:color w:val="auto"/>
        </w:rPr>
        <w:t>telephone (and except as provided in paragraph (b) below), all notice s and other communications provided for herein shall be in writing and shall be delivered by hand or overnight courier service, mailed by certified or registered mail or sent by facsimile as follows:</w:t>
      </w:r>
    </w:p>
    <w:p>
      <w:pPr>
        <w:spacing w:after="0" w:line="193" w:lineRule="exact"/>
        <w:rPr>
          <w:sz w:val="20"/>
          <w:szCs w:val="20"/>
          <w:color w:val="auto"/>
        </w:rPr>
      </w:pPr>
    </w:p>
    <w:p>
      <w:pPr>
        <w:ind w:left="2600" w:hanging="648"/>
        <w:spacing w:after="0"/>
        <w:tabs>
          <w:tab w:leader="none" w:pos="25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to the Borrower, to it at 15147 N. Scottsdale Road, Suite H300, Scottsdale, AZ 85254, Attention: Chief Financial Officer;</w:t>
      </w:r>
    </w:p>
    <w:p>
      <w:pPr>
        <w:spacing w:after="0" w:line="180" w:lineRule="exact"/>
        <w:rPr>
          <w:rFonts w:ascii="Arial" w:cs="Arial" w:eastAsia="Arial" w:hAnsi="Arial"/>
          <w:sz w:val="18"/>
          <w:szCs w:val="18"/>
          <w:color w:val="auto"/>
        </w:rPr>
      </w:pPr>
    </w:p>
    <w:p>
      <w:pPr>
        <w:ind w:left="2600" w:hanging="648"/>
        <w:spacing w:after="0" w:line="263" w:lineRule="auto"/>
        <w:tabs>
          <w:tab w:leader="none" w:pos="25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to the Administrative Agent or the LC Issuer, to U.S. Bank National Association at One U.S. Bank Plaza St. Louis, Mail Code SL-MO-T7CP, 505 N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Saint Louis, MO 63101; or</w:t>
      </w:r>
    </w:p>
    <w:p>
      <w:pPr>
        <w:spacing w:after="0" w:line="90" w:lineRule="exact"/>
        <w:rPr>
          <w:rFonts w:ascii="Arial" w:cs="Arial" w:eastAsia="Arial" w:hAnsi="Arial"/>
          <w:sz w:val="18"/>
          <w:szCs w:val="18"/>
          <w:color w:val="auto"/>
        </w:rPr>
      </w:pPr>
    </w:p>
    <w:p>
      <w:pPr>
        <w:ind w:left="2600" w:hanging="648"/>
        <w:spacing w:after="0"/>
        <w:tabs>
          <w:tab w:leader="none" w:pos="25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to a Lender other than U.S. Bank National Association, to it at its address (or facsimile number) set forth in its Administrative Questionnaire.”</w:t>
      </w:r>
    </w:p>
    <w:p>
      <w:pPr>
        <w:spacing w:after="0" w:line="180" w:lineRule="exact"/>
        <w:rPr>
          <w:rFonts w:ascii="Arial" w:cs="Arial" w:eastAsia="Arial" w:hAnsi="Arial"/>
          <w:sz w:val="18"/>
          <w:szCs w:val="18"/>
          <w:color w:val="auto"/>
        </w:rPr>
      </w:pPr>
    </w:p>
    <w:p>
      <w:pPr>
        <w:ind w:left="1660" w:hanging="356"/>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15.1 of the Credit Agreement titled “Choice of Law” is deleted in its entirety and the following substituted</w:t>
      </w:r>
    </w:p>
    <w:p>
      <w:pPr>
        <w:spacing w:after="0"/>
        <w:rPr>
          <w:sz w:val="20"/>
          <w:szCs w:val="20"/>
          <w:color w:val="auto"/>
        </w:rPr>
      </w:pPr>
      <w:r>
        <w:rPr>
          <w:rFonts w:ascii="Arial" w:cs="Arial" w:eastAsia="Arial" w:hAnsi="Arial"/>
          <w:sz w:val="18"/>
          <w:szCs w:val="18"/>
          <w:color w:val="auto"/>
        </w:rPr>
        <w:t>in lieu thereof:</w:t>
      </w:r>
    </w:p>
    <w:p>
      <w:pPr>
        <w:spacing w:after="0" w:line="19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“15.1</w:t>
        <w:tab/>
        <w:t>Choice of Law.</w:t>
      </w:r>
    </w:p>
    <w:p>
      <w:pPr>
        <w:spacing w:after="0" w:line="225" w:lineRule="exact"/>
        <w:rPr>
          <w:sz w:val="20"/>
          <w:szCs w:val="20"/>
          <w:color w:val="auto"/>
        </w:rPr>
      </w:pPr>
    </w:p>
    <w:p>
      <w:pPr>
        <w:ind w:left="660" w:firstLine="648"/>
        <w:spacing w:after="0"/>
        <w:rPr>
          <w:sz w:val="20"/>
          <w:szCs w:val="20"/>
          <w:color w:val="auto"/>
        </w:rPr>
      </w:pPr>
      <w:r>
        <w:rPr>
          <w:rFonts w:ascii="Arial" w:cs="Arial" w:eastAsia="Arial" w:hAnsi="Arial"/>
          <w:sz w:val="18"/>
          <w:szCs w:val="18"/>
          <w:color w:val="auto"/>
        </w:rPr>
        <w:t>This Agreement and the other Loan Documents and any claims, controversy, dispute or cause of action (whether in contract or tort or otherwise) based upon,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580"/>
          </w:cols>
          <w:pgMar w:left="320" w:top="1403" w:right="999" w:bottom="1440" w:gutter="0" w:footer="0" w:header="0"/>
        </w:sectPr>
      </w:pPr>
    </w:p>
    <w:bookmarkStart w:id="91" w:name="page92"/>
    <w:bookmarkEnd w:id="91"/>
    <w:p>
      <w:pPr>
        <w:ind w:left="452" w:right="640"/>
        <w:spacing w:after="0" w:line="221" w:lineRule="auto"/>
        <w:rPr>
          <w:sz w:val="20"/>
          <w:szCs w:val="20"/>
          <w:color w:val="auto"/>
        </w:rPr>
      </w:pPr>
      <w:r>
        <w:rPr>
          <w:rFonts w:ascii="Arial" w:cs="Arial" w:eastAsia="Arial" w:hAnsi="Arial"/>
          <w:sz w:val="18"/>
          <w:szCs w:val="18"/>
          <w:color w:val="auto"/>
        </w:rPr>
        <w:t>out of or relating to this Agreement or any other Loan Document (except, as to any other Loan Document, as expressly set forth therein) and the transactions contemplated hereby and thereby shall be governed by, and construed in accordance</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with, the law of the State of Arizona.”</w:t>
      </w:r>
    </w:p>
    <w:p>
      <w:pPr>
        <w:spacing w:after="0" w:line="194" w:lineRule="exact"/>
        <w:rPr>
          <w:sz w:val="20"/>
          <w:szCs w:val="20"/>
          <w:color w:val="auto"/>
        </w:rPr>
      </w:pPr>
    </w:p>
    <w:p>
      <w:pPr>
        <w:ind w:left="-208" w:right="640" w:firstLine="1304"/>
        <w:spacing w:after="0"/>
        <w:tabs>
          <w:tab w:leader="none" w:pos="15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15.2 of the Credit Agreement titled “Consent to Jurisdiction” is deleted in its entirety and the following substituted in lieu thereof:</w:t>
      </w:r>
    </w:p>
    <w:p>
      <w:pPr>
        <w:spacing w:after="0" w:line="194" w:lineRule="exact"/>
        <w:rPr>
          <w:sz w:val="20"/>
          <w:szCs w:val="20"/>
          <w:color w:val="auto"/>
        </w:rPr>
      </w:pPr>
    </w:p>
    <w:p>
      <w:pPr>
        <w:ind w:left="1092"/>
        <w:spacing w:after="0"/>
        <w:tabs>
          <w:tab w:leader="none" w:pos="1692" w:val="left"/>
        </w:tabs>
        <w:rPr>
          <w:sz w:val="20"/>
          <w:szCs w:val="20"/>
          <w:color w:val="auto"/>
        </w:rPr>
      </w:pPr>
      <w:r>
        <w:rPr>
          <w:rFonts w:ascii="Arial" w:cs="Arial" w:eastAsia="Arial" w:hAnsi="Arial"/>
          <w:sz w:val="18"/>
          <w:szCs w:val="18"/>
          <w:color w:val="auto"/>
        </w:rPr>
        <w:t>“15.1</w:t>
        <w:tab/>
        <w:t>Jurisdiction.</w:t>
      </w:r>
    </w:p>
    <w:p>
      <w:pPr>
        <w:spacing w:after="0" w:line="212" w:lineRule="exact"/>
        <w:rPr>
          <w:sz w:val="20"/>
          <w:szCs w:val="20"/>
          <w:color w:val="auto"/>
        </w:rPr>
      </w:pPr>
    </w:p>
    <w:p>
      <w:pPr>
        <w:jc w:val="both"/>
        <w:ind w:left="452" w:right="660" w:firstLine="648"/>
        <w:spacing w:after="0" w:line="221" w:lineRule="auto"/>
        <w:rPr>
          <w:sz w:val="20"/>
          <w:szCs w:val="20"/>
          <w:color w:val="auto"/>
        </w:rPr>
      </w:pPr>
      <w:r>
        <w:rPr>
          <w:rFonts w:ascii="Arial" w:cs="Arial" w:eastAsia="Arial" w:hAnsi="Arial"/>
          <w:sz w:val="18"/>
          <w:szCs w:val="18"/>
          <w:color w:val="auto"/>
        </w:rPr>
        <w:t>The Borrower irrevocably and unconditionally agrees that it will not commence any action, litigation or proceeding of any kind or description, whether in law or equity, whether in contract or in tort or otherwise, against Lenders or the</w:t>
      </w:r>
    </w:p>
    <w:p>
      <w:pPr>
        <w:spacing w:after="0" w:line="1" w:lineRule="exact"/>
        <w:rPr>
          <w:sz w:val="20"/>
          <w:szCs w:val="20"/>
          <w:color w:val="auto"/>
        </w:rPr>
      </w:pPr>
    </w:p>
    <w:p>
      <w:pPr>
        <w:jc w:val="both"/>
        <w:ind w:left="452" w:right="640"/>
        <w:spacing w:after="0" w:line="208" w:lineRule="auto"/>
        <w:rPr>
          <w:sz w:val="20"/>
          <w:szCs w:val="20"/>
          <w:color w:val="auto"/>
        </w:rPr>
      </w:pPr>
      <w:r>
        <w:rPr>
          <w:rFonts w:ascii="Arial" w:cs="Arial" w:eastAsia="Arial" w:hAnsi="Arial"/>
          <w:sz w:val="18"/>
          <w:szCs w:val="18"/>
          <w:color w:val="auto"/>
        </w:rPr>
        <w:t>Administrative Agent in any way relating to this Agreement or any other Loan Document or the transactions relating hereto or thereto, in any forum other than the courts of the State of Arizona sitting in Maricopa County, Arizona, and of the United States District Court for the District of Arizona, Phoenix Division and any appellate court from any thereof, and each of the</w:t>
      </w:r>
    </w:p>
    <w:p>
      <w:pPr>
        <w:spacing w:after="0" w:line="2" w:lineRule="exact"/>
        <w:rPr>
          <w:sz w:val="20"/>
          <w:szCs w:val="20"/>
          <w:color w:val="auto"/>
        </w:rPr>
      </w:pPr>
    </w:p>
    <w:p>
      <w:pPr>
        <w:jc w:val="both"/>
        <w:ind w:left="452" w:right="660"/>
        <w:spacing w:after="0" w:line="221" w:lineRule="auto"/>
        <w:rPr>
          <w:sz w:val="20"/>
          <w:szCs w:val="20"/>
          <w:color w:val="auto"/>
        </w:rPr>
      </w:pPr>
      <w:r>
        <w:rPr>
          <w:rFonts w:ascii="Arial" w:cs="Arial" w:eastAsia="Arial" w:hAnsi="Arial"/>
          <w:sz w:val="17"/>
          <w:szCs w:val="17"/>
          <w:color w:val="auto"/>
        </w:rPr>
        <w:t>parties hereto irrevocably and unconditionally submits to the jurisdiction of such courts and agrees that all claims in respect of any such action, litigation or proceeding may be heard and determined in such state court or, to the fullest extent permitted by applicable law, in such federal court. Each of the parties hereto agrees that a final judgment in any such action, litigation</w:t>
      </w:r>
    </w:p>
    <w:p>
      <w:pPr>
        <w:jc w:val="both"/>
        <w:ind w:left="452" w:right="640"/>
        <w:spacing w:after="0" w:line="221" w:lineRule="auto"/>
        <w:rPr>
          <w:sz w:val="20"/>
          <w:szCs w:val="20"/>
          <w:color w:val="auto"/>
        </w:rPr>
      </w:pPr>
      <w:r>
        <w:rPr>
          <w:rFonts w:ascii="Arial" w:cs="Arial" w:eastAsia="Arial" w:hAnsi="Arial"/>
          <w:sz w:val="17"/>
          <w:szCs w:val="17"/>
          <w:color w:val="auto"/>
        </w:rPr>
        <w:t>or proceeding shall be conclusive and may be enforced in other jurisdictions by suit on the judgment or in any other manner provided by law. Nothing in this Agreement or in any other Loan Document shall affect any right that the Administrative Agent or Lenders may otherwise have to bring any action or proceeding relating to this Agreement or any other Loan Document</w:t>
      </w:r>
    </w:p>
    <w:p>
      <w:pPr>
        <w:ind w:left="452"/>
        <w:spacing w:after="0"/>
        <w:rPr>
          <w:sz w:val="20"/>
          <w:szCs w:val="20"/>
          <w:color w:val="auto"/>
        </w:rPr>
      </w:pPr>
      <w:r>
        <w:rPr>
          <w:rFonts w:ascii="Arial" w:cs="Arial" w:eastAsia="Arial" w:hAnsi="Arial"/>
          <w:sz w:val="18"/>
          <w:szCs w:val="18"/>
          <w:color w:val="auto"/>
        </w:rPr>
        <w:t>against the Borrower or its properties in the courts of any jurisdiction.”</w:t>
      </w:r>
    </w:p>
    <w:p>
      <w:pPr>
        <w:spacing w:after="0" w:line="200" w:lineRule="exact"/>
        <w:rPr>
          <w:sz w:val="20"/>
          <w:szCs w:val="20"/>
          <w:color w:val="auto"/>
        </w:rPr>
      </w:pPr>
    </w:p>
    <w:p>
      <w:pPr>
        <w:spacing w:after="0" w:line="237" w:lineRule="exact"/>
        <w:rPr>
          <w:sz w:val="20"/>
          <w:szCs w:val="20"/>
          <w:color w:val="auto"/>
        </w:rPr>
      </w:pPr>
    </w:p>
    <w:p>
      <w:pPr>
        <w:ind w:left="1452" w:hanging="356"/>
        <w:spacing w:after="0"/>
        <w:tabs>
          <w:tab w:leader="none" w:pos="145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Section 15.4 of the Credit Agreement titled “Judicial Reference Agreement” is deleted in its entirety.</w:t>
      </w:r>
    </w:p>
    <w:p>
      <w:pPr>
        <w:spacing w:after="0" w:line="211" w:lineRule="exact"/>
        <w:rPr>
          <w:rFonts w:ascii="Arial" w:cs="Arial" w:eastAsia="Arial" w:hAnsi="Arial"/>
          <w:sz w:val="18"/>
          <w:szCs w:val="18"/>
          <w:color w:val="auto"/>
        </w:rPr>
      </w:pPr>
    </w:p>
    <w:p>
      <w:pPr>
        <w:ind w:left="-208" w:right="660" w:firstLine="1304"/>
        <w:spacing w:after="0" w:line="256" w:lineRule="auto"/>
        <w:tabs>
          <w:tab w:leader="none" w:pos="1583"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and all references in the Credit Agreement to the “California Uniform Commercial Code” are deleted and replaced with “Arizona Uniform Commercial Code”.</w:t>
      </w:r>
    </w:p>
    <w:p>
      <w:pPr>
        <w:spacing w:after="0" w:line="165" w:lineRule="exact"/>
        <w:rPr>
          <w:rFonts w:ascii="Arial" w:cs="Arial" w:eastAsia="Arial" w:hAnsi="Arial"/>
          <w:sz w:val="18"/>
          <w:szCs w:val="18"/>
          <w:color w:val="auto"/>
        </w:rPr>
      </w:pPr>
    </w:p>
    <w:p>
      <w:pPr>
        <w:ind w:left="1512" w:hanging="416"/>
        <w:spacing w:after="0"/>
        <w:tabs>
          <w:tab w:leader="none" w:pos="151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Schedule 1 of the Credit Agreement (the Pricing Schedule) is deleted in its entirety.</w:t>
      </w:r>
    </w:p>
    <w:p>
      <w:pPr>
        <w:spacing w:after="0" w:line="211" w:lineRule="exact"/>
        <w:rPr>
          <w:rFonts w:ascii="Arial" w:cs="Arial" w:eastAsia="Arial" w:hAnsi="Arial"/>
          <w:sz w:val="18"/>
          <w:szCs w:val="18"/>
          <w:color w:val="auto"/>
        </w:rPr>
      </w:pPr>
    </w:p>
    <w:p>
      <w:pPr>
        <w:ind w:left="-208" w:right="660" w:firstLine="1304"/>
        <w:spacing w:after="0" w:line="256" w:lineRule="auto"/>
        <w:tabs>
          <w:tab w:leader="none" w:pos="1556" w:val="left"/>
        </w:tabs>
        <w:numPr>
          <w:ilvl w:val="2"/>
          <w:numId w:val="55"/>
        </w:numPr>
        <w:rPr>
          <w:rFonts w:ascii="Arial" w:cs="Arial" w:eastAsia="Arial" w:hAnsi="Arial"/>
          <w:sz w:val="18"/>
          <w:szCs w:val="18"/>
          <w:color w:val="auto"/>
        </w:rPr>
      </w:pPr>
      <w:r>
        <w:rPr>
          <w:rFonts w:ascii="Arial" w:cs="Arial" w:eastAsia="Arial" w:hAnsi="Arial"/>
          <w:sz w:val="18"/>
          <w:szCs w:val="18"/>
          <w:color w:val="auto"/>
        </w:rPr>
        <w:t>Schedule 2 of the Credit Agreement (the Revolving Commitments) is deleted in its entirety and replaced with Schedule 2 attached to this Amendment.</w:t>
      </w:r>
    </w:p>
    <w:p>
      <w:pPr>
        <w:spacing w:after="0" w:line="165" w:lineRule="exact"/>
        <w:rPr>
          <w:rFonts w:ascii="Arial" w:cs="Arial" w:eastAsia="Arial" w:hAnsi="Arial"/>
          <w:sz w:val="18"/>
          <w:szCs w:val="18"/>
          <w:color w:val="auto"/>
        </w:rPr>
      </w:pPr>
    </w:p>
    <w:p>
      <w:pPr>
        <w:jc w:val="both"/>
        <w:ind w:left="-208" w:firstLine="656"/>
        <w:spacing w:after="0" w:line="218" w:lineRule="auto"/>
        <w:tabs>
          <w:tab w:leader="none" w:pos="817"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Updated Intellectual Property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By no later than the Effective Date of this Amendment, Borrower shall furnish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with a supplement to Schedule A of the Security Agreement identifying any and all trademarks, patents, copyrights, trade secrets or licenses in which Borrower maintains an interest that are not currently described on Schedule A to the Security Agreement (the “Supplemental Intellectual Property Schedule”). The Administrative Agent is hereby authorized to modify and supplement the Security Agreement (and each of the other applicable Security Documents) to include the Supplemental Intellectual Property Schedule as an exhibit thereto (as described in Section 8.6 of the Security Agreement) and the provisions of the Security Agreement (and the other applicable Security Documents) shall automatically apply to the intellectual property descried in the Supplemental Intellectual Property Schedule.</w:t>
      </w:r>
    </w:p>
    <w:p>
      <w:pPr>
        <w:spacing w:after="0" w:line="182" w:lineRule="exact"/>
        <w:rPr>
          <w:rFonts w:ascii="Arial" w:cs="Arial" w:eastAsia="Arial" w:hAnsi="Arial"/>
          <w:sz w:val="18"/>
          <w:szCs w:val="18"/>
          <w:b w:val="1"/>
          <w:bCs w:val="1"/>
          <w:color w:val="auto"/>
        </w:rPr>
      </w:pPr>
    </w:p>
    <w:p>
      <w:pPr>
        <w:jc w:val="both"/>
        <w:ind w:left="-208" w:firstLine="656"/>
        <w:spacing w:after="0" w:line="221" w:lineRule="auto"/>
        <w:tabs>
          <w:tab w:leader="none" w:pos="938"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the Note and the Security Documents, are, and shall remain, the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Borrower and/or other third parties, and all of the provisions, terms, stipulations, conditions, covenants and powers contained therein shall stand and remain in full force and effect, except only as the same are herein and hereby expressly and specifically varied or amended, and the same are hereby ratified and confirmed, and Lenders and the Administrative Agent reserve unto themselves all rights and privileges granted thereunder.</w:t>
      </w:r>
    </w:p>
    <w:p>
      <w:pPr>
        <w:spacing w:after="0" w:line="194" w:lineRule="exact"/>
        <w:rPr>
          <w:rFonts w:ascii="Arial" w:cs="Arial" w:eastAsia="Arial" w:hAnsi="Arial"/>
          <w:sz w:val="18"/>
          <w:szCs w:val="18"/>
          <w:b w:val="1"/>
          <w:bCs w:val="1"/>
          <w:color w:val="auto"/>
        </w:rPr>
      </w:pPr>
    </w:p>
    <w:p>
      <w:pPr>
        <w:jc w:val="both"/>
        <w:ind w:left="-208" w:firstLine="656"/>
        <w:spacing w:after="0" w:line="225" w:lineRule="auto"/>
        <w:tabs>
          <w:tab w:leader="none" w:pos="83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reaffirms all representations, warranties, covenants and agreements recited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the Note, and the Security Documents as of the date hereof, and the same are hereby adopted as representations, warranties, covenants and agreements of Borrower herein. Borrower further represents and warrants that it is not in default under any of its obligations under the Credit Agreement, the Note, and the Security Documents (with the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9" w:lineRule="exact"/>
        <w:rPr>
          <w:rFonts w:ascii="Arial" w:cs="Arial" w:eastAsia="Arial" w:hAnsi="Arial"/>
          <w:sz w:val="18"/>
          <w:szCs w:val="18"/>
          <w:b w:val="1"/>
          <w:bCs w:val="1"/>
          <w:color w:val="auto"/>
        </w:rPr>
      </w:pPr>
    </w:p>
    <w:p>
      <w:pPr>
        <w:ind w:left="112" w:hanging="112"/>
        <w:spacing w:after="0"/>
        <w:tabs>
          <w:tab w:leader="none" w:pos="1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32"/>
          </w:cols>
          <w:pgMar w:left="528" w:top="1403" w:right="339" w:bottom="1440" w:gutter="0" w:footer="0" w:header="0"/>
        </w:sectPr>
      </w:pPr>
    </w:p>
    <w:bookmarkStart w:id="92" w:name="page93"/>
    <w:bookmarkEnd w:id="92"/>
    <w:p>
      <w:pPr>
        <w:spacing w:after="0" w:line="221" w:lineRule="auto"/>
        <w:rPr>
          <w:sz w:val="20"/>
          <w:szCs w:val="20"/>
          <w:color w:val="auto"/>
        </w:rPr>
      </w:pPr>
      <w:r>
        <w:rPr>
          <w:rFonts w:ascii="Arial" w:cs="Arial" w:eastAsia="Arial" w:hAnsi="Arial"/>
          <w:sz w:val="18"/>
          <w:szCs w:val="18"/>
          <w:color w:val="auto"/>
        </w:rPr>
        <w:t>exception of the Existing Covenant Defaults that are being waived by Lenders and the Administrative Agent hereunder), and that it has full power and authority to execute and deliver this Amendment, and that the execution and delivery hereof has been duly authorized, and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necessary and proper acts have been performed or taken.</w:t>
      </w:r>
    </w:p>
    <w:p>
      <w:pPr>
        <w:spacing w:after="0" w:line="194" w:lineRule="exact"/>
        <w:rPr>
          <w:sz w:val="20"/>
          <w:szCs w:val="20"/>
          <w:color w:val="auto"/>
        </w:rPr>
      </w:pPr>
    </w:p>
    <w:p>
      <w:pPr>
        <w:jc w:val="both"/>
        <w:ind w:firstLine="656"/>
        <w:spacing w:after="0" w:line="216" w:lineRule="auto"/>
        <w:tabs>
          <w:tab w:leader="none" w:pos="1119" w:val="left"/>
        </w:tabs>
        <w:numPr>
          <w:ilvl w:val="4"/>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and in order to induce Lenders and the Administrative Agent to enter into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for itself and its members, shareholders, directors, officers, employees, agents, guarantors, successors and assigns, hereby unconditionally release Lenders and the Administrative Agent and each of their shareholders, directors, officers, employees, agents, affiliates, successors and assigns (collectively, the “</w:t>
      </w:r>
      <w:r>
        <w:rPr>
          <w:rFonts w:ascii="Arial" w:cs="Arial" w:eastAsia="Arial" w:hAnsi="Arial"/>
          <w:sz w:val="18"/>
          <w:szCs w:val="18"/>
          <w:b w:val="1"/>
          <w:bCs w:val="1"/>
          <w:color w:val="auto"/>
        </w:rPr>
        <w:t>Lender Released Parties</w:t>
      </w:r>
      <w:r>
        <w:rPr>
          <w:rFonts w:ascii="Arial" w:cs="Arial" w:eastAsia="Arial" w:hAnsi="Arial"/>
          <w:sz w:val="18"/>
          <w:szCs w:val="18"/>
          <w:color w:val="auto"/>
        </w:rPr>
        <w:t>”) of and from any and all liabilities, claims, demands, suits and/or causes of action, if any, whether known or unknown, for any action taken by any of the Lender Released Parties or for any failure by any of the Lender Released Parties to take any action at any time prior to the execution of this Amendment. Borrower expressly acknowledges and agrees that this release applies to all claims for injuries, damages or losses that Borrower may have against the Lender Released Parties (whether those injuries, damages, or losses are known or unknown, foreseen or unforeseen, or patent or latent). This Release is not conditional and is effective notwithstanding the failure of Borrower to satisfy any of the conditions set forth in this Amendment.</w:t>
      </w:r>
    </w:p>
    <w:p>
      <w:pPr>
        <w:spacing w:after="0" w:line="186" w:lineRule="exact"/>
        <w:rPr>
          <w:rFonts w:ascii="Arial" w:cs="Arial" w:eastAsia="Arial" w:hAnsi="Arial"/>
          <w:sz w:val="18"/>
          <w:szCs w:val="18"/>
          <w:b w:val="1"/>
          <w:bCs w:val="1"/>
          <w:color w:val="auto"/>
        </w:rPr>
      </w:pPr>
    </w:p>
    <w:p>
      <w:pPr>
        <w:jc w:val="both"/>
        <w:ind w:firstLine="656"/>
        <w:spacing w:after="0" w:line="220" w:lineRule="auto"/>
        <w:tabs>
          <w:tab w:leader="none" w:pos="1173" w:val="left"/>
        </w:tabs>
        <w:numPr>
          <w:ilvl w:val="4"/>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Date of this Amendment, Borrower agrees to execute and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at any time and from time to time any and all further conveyances, assignments, confirmations, satisfactions, releases, instruments of further assurance, approvals, consents and any and all such further instruments and documents as may be reasonably necessary, appropriate, expedient or proper in the opinion of the Administrative Agent or its counsel in order to effectuate, complete, perfect or protect the transactions described herein or in the Credit Agreement, the Note, the Security Documents or any other documents executed in connection therewith or contemplated thereby.</w:t>
      </w:r>
    </w:p>
    <w:p>
      <w:pPr>
        <w:spacing w:after="0" w:line="184" w:lineRule="exact"/>
        <w:rPr>
          <w:rFonts w:ascii="Arial" w:cs="Arial" w:eastAsia="Arial" w:hAnsi="Arial"/>
          <w:sz w:val="18"/>
          <w:szCs w:val="18"/>
          <w:b w:val="1"/>
          <w:bCs w:val="1"/>
          <w:color w:val="auto"/>
        </w:rPr>
      </w:pPr>
    </w:p>
    <w:p>
      <w:pPr>
        <w:jc w:val="both"/>
        <w:ind w:firstLine="208"/>
        <w:spacing w:after="0" w:line="233" w:lineRule="auto"/>
        <w:tabs>
          <w:tab w:leader="none" w:pos="55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agrees to pay all reasonable expenses incurred by the Administrative Agent in connection with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Administrative Agent’s legal and recording fees; provided, however, that such expenses shall not exceed $10,000. Said sums are payable on demand and are secured by the Security Documents.</w:t>
      </w:r>
    </w:p>
    <w:p>
      <w:pPr>
        <w:spacing w:after="0" w:line="180" w:lineRule="exact"/>
        <w:rPr>
          <w:rFonts w:ascii="Arial" w:cs="Arial" w:eastAsia="Arial" w:hAnsi="Arial"/>
          <w:sz w:val="18"/>
          <w:szCs w:val="18"/>
          <w:b w:val="1"/>
          <w:bCs w:val="1"/>
          <w:color w:val="auto"/>
        </w:rPr>
      </w:pPr>
    </w:p>
    <w:p>
      <w:pPr>
        <w:ind w:right="20" w:firstLine="289"/>
        <w:spacing w:after="0"/>
        <w:tabs>
          <w:tab w:leader="none" w:pos="725"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by and construed in accordance with the substantive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Arizona (without reference to conflict of law principles) but giving effect to federal laws applicable to national banks.</w:t>
      </w:r>
    </w:p>
    <w:p>
      <w:pPr>
        <w:spacing w:after="0" w:line="193" w:lineRule="exact"/>
        <w:rPr>
          <w:rFonts w:ascii="Arial" w:cs="Arial" w:eastAsia="Arial" w:hAnsi="Arial"/>
          <w:sz w:val="18"/>
          <w:szCs w:val="18"/>
          <w:b w:val="1"/>
          <w:bCs w:val="1"/>
          <w:color w:val="auto"/>
        </w:rPr>
      </w:pPr>
    </w:p>
    <w:p>
      <w:pPr>
        <w:jc w:val="both"/>
        <w:ind w:firstLine="370"/>
        <w:spacing w:after="0" w:line="218" w:lineRule="auto"/>
        <w:tabs>
          <w:tab w:leader="none" w:pos="974" w:val="left"/>
        </w:tabs>
        <w:numPr>
          <w:ilvl w:val="3"/>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Images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(including telecopy</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but all of which together shall constitute one and the same instrument. Borrower hereby acknowledges the receipt of a copy of this Amendment and all other Loan Documents. The Administrative Agent may, on behalf of Borrower, create a microfilm or optical disk or other electronic image of this Amendment and any or all of the Loan Documents. The Administrative Agent may store the electronic images of this Amendment and any other Loan Document in its electronic form and then destroy the paper original as part of the Administrative Agent’s normal business practices, with the electronic image deemed to be an original.</w:t>
      </w:r>
    </w:p>
    <w:p>
      <w:pPr>
        <w:spacing w:after="0" w:line="182" w:lineRule="exact"/>
        <w:rPr>
          <w:rFonts w:ascii="Arial" w:cs="Arial" w:eastAsia="Arial" w:hAnsi="Arial"/>
          <w:sz w:val="18"/>
          <w:szCs w:val="18"/>
          <w:b w:val="1"/>
          <w:bCs w:val="1"/>
          <w:color w:val="auto"/>
        </w:rPr>
      </w:pPr>
    </w:p>
    <w:p>
      <w:pPr>
        <w:ind w:right="20" w:firstLine="289"/>
        <w:spacing w:after="0"/>
        <w:tabs>
          <w:tab w:leader="none" w:pos="802" w:val="left"/>
        </w:tabs>
        <w:numPr>
          <w:ilvl w:val="2"/>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contained in this Amendment to the contrary, this Amendment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unless and until the Administrative shall have received the following, all in form acceptable to Lender:</w:t>
      </w:r>
    </w:p>
    <w:p>
      <w:pPr>
        <w:spacing w:after="0" w:line="194"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Amendment, duly executed by Borrower and each Lender;</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Consent of Guarantors, duly executed by each of the Guarantors;</w:t>
      </w:r>
    </w:p>
    <w:p>
      <w:pPr>
        <w:spacing w:after="0" w:line="211" w:lineRule="exact"/>
        <w:rPr>
          <w:rFonts w:ascii="Arial" w:cs="Arial" w:eastAsia="Arial" w:hAnsi="Arial"/>
          <w:sz w:val="18"/>
          <w:szCs w:val="18"/>
          <w:color w:val="auto"/>
        </w:rPr>
      </w:pPr>
    </w:p>
    <w:p>
      <w:pPr>
        <w:ind w:left="1060" w:hanging="40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Borrowing Resolutions of the Board of Directors of Borrower, duly executed by the Secretary of Borrower; and</w:t>
      </w:r>
    </w:p>
    <w:p>
      <w:pPr>
        <w:spacing w:after="0" w:line="211"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other documents and information as required by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and Lender have executed this Amendment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1403" w:right="339" w:bottom="1440" w:gutter="0" w:footer="0" w:header="0"/>
        </w:sectPr>
      </w:pPr>
    </w:p>
    <w:bookmarkStart w:id="93" w:name="page94"/>
    <w:bookmarkEnd w:id="93"/>
    <w:p>
      <w:pPr>
        <w:jc w:val="center"/>
        <w:ind w:right="-920"/>
        <w:spacing w:after="0"/>
        <w:rPr>
          <w:sz w:val="20"/>
          <w:szCs w:val="20"/>
          <w:color w:val="auto"/>
        </w:rPr>
      </w:pPr>
      <w:r>
        <w:rPr>
          <w:rFonts w:ascii="Arial" w:cs="Arial" w:eastAsia="Arial" w:hAnsi="Arial"/>
          <w:sz w:val="18"/>
          <w:szCs w:val="18"/>
          <w:b w:val="1"/>
          <w:bCs w:val="1"/>
          <w:color w:val="auto"/>
        </w:rPr>
        <w:t>SIGNATURE PAGE-</w:t>
      </w:r>
    </w:p>
    <w:p>
      <w:pPr>
        <w:jc w:val="center"/>
        <w:ind w:right="-920"/>
        <w:spacing w:after="0" w:line="232" w:lineRule="auto"/>
        <w:rPr>
          <w:sz w:val="20"/>
          <w:szCs w:val="20"/>
          <w:color w:val="auto"/>
        </w:rPr>
      </w:pPr>
      <w:r>
        <w:rPr>
          <w:rFonts w:ascii="Arial" w:cs="Arial" w:eastAsia="Arial" w:hAnsi="Arial"/>
          <w:sz w:val="17"/>
          <w:szCs w:val="17"/>
          <w:b w:val="1"/>
          <w:bCs w:val="1"/>
          <w:color w:val="auto"/>
        </w:rPr>
        <w:t>SEVENTH AMENDMENT TO SECOND AMENDED AND RESTATED CREDIT AGREEMENT</w:t>
      </w:r>
    </w:p>
    <w:p>
      <w:pPr>
        <w:ind w:left="4520"/>
        <w:spacing w:after="0"/>
        <w:rPr>
          <w:sz w:val="20"/>
          <w:szCs w:val="20"/>
          <w:color w:val="auto"/>
        </w:rPr>
      </w:pPr>
      <w:r>
        <w:rPr>
          <w:rFonts w:ascii="Arial" w:cs="Arial" w:eastAsia="Arial" w:hAnsi="Arial"/>
          <w:sz w:val="18"/>
          <w:szCs w:val="18"/>
          <w:b w:val="1"/>
          <w:bCs w:val="1"/>
          <w:color w:val="auto"/>
        </w:rPr>
        <w:t>dated March 13,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UNIVERSAL ELECTRONICS INC.</w:t>
      </w:r>
    </w:p>
    <w:p>
      <w:pPr>
        <w:spacing w:after="0" w:line="200" w:lineRule="exact"/>
        <w:rPr>
          <w:sz w:val="20"/>
          <w:szCs w:val="20"/>
          <w:color w:val="auto"/>
        </w:rPr>
      </w:pP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By: /s/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-7620</wp:posOffset>
            </wp:positionV>
            <wp:extent cx="14662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ind w:left="1200"/>
        <w:spacing w:after="0" w:line="203" w:lineRule="auto"/>
        <w:rPr>
          <w:sz w:val="20"/>
          <w:szCs w:val="20"/>
          <w:color w:val="auto"/>
        </w:rPr>
      </w:pPr>
      <w:r>
        <w:rPr>
          <w:rFonts w:ascii="Arial" w:cs="Arial" w:eastAsia="Arial" w:hAnsi="Arial"/>
          <w:sz w:val="18"/>
          <w:szCs w:val="18"/>
          <w:color w:val="auto"/>
        </w:rPr>
        <w:t>Name: Bryan M. Hackworth</w:t>
      </w:r>
    </w:p>
    <w:p>
      <w:pPr>
        <w:ind w:left="4340"/>
        <w:spacing w:after="0" w:line="204" w:lineRule="auto"/>
        <w:rPr>
          <w:sz w:val="20"/>
          <w:szCs w:val="20"/>
          <w:color w:val="auto"/>
        </w:rPr>
      </w:pPr>
      <w:r>
        <w:rPr>
          <w:rFonts w:ascii="Arial" w:cs="Arial" w:eastAsia="Arial" w:hAnsi="Arial"/>
          <w:sz w:val="18"/>
          <w:szCs w:val="18"/>
          <w:color w:val="auto"/>
        </w:rPr>
        <w:t>Title: Senior Vice President and Chief Financial Officer</w:t>
      </w:r>
    </w:p>
    <w:p>
      <w:pPr>
        <w:ind w:left="3440"/>
        <w:spacing w:after="0"/>
        <w:rPr>
          <w:sz w:val="20"/>
          <w:szCs w:val="20"/>
          <w:color w:val="auto"/>
        </w:rPr>
      </w:pPr>
      <w:r>
        <w:rPr>
          <w:rFonts w:ascii="Arial" w:cs="Arial" w:eastAsia="Arial" w:hAnsi="Arial"/>
          <w:sz w:val="18"/>
          <w:szCs w:val="18"/>
          <w:color w:val="auto"/>
        </w:rPr>
        <w:t>Lender: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ind w:left="1300"/>
        <w:spacing w:after="0"/>
        <w:rPr>
          <w:sz w:val="20"/>
          <w:szCs w:val="20"/>
          <w:color w:val="auto"/>
        </w:rPr>
      </w:pPr>
      <w:r>
        <w:rPr>
          <w:rFonts w:ascii="Arial" w:cs="Arial" w:eastAsia="Arial" w:hAnsi="Arial"/>
          <w:sz w:val="18"/>
          <w:szCs w:val="18"/>
          <w:color w:val="auto"/>
        </w:rPr>
        <w:t>as a Lender, as LC Issuer and as Administrative Agent</w:t>
      </w:r>
    </w:p>
    <w:p>
      <w:pPr>
        <w:spacing w:after="0" w:line="3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/s/ Timothy M. Hill</w:t>
      </w:r>
    </w:p>
    <w:p>
      <w:pPr>
        <w:ind w:left="3440"/>
        <w:spacing w:after="0" w:line="203" w:lineRule="auto"/>
        <w:rPr>
          <w:sz w:val="20"/>
          <w:szCs w:val="20"/>
          <w:color w:val="auto"/>
        </w:rPr>
      </w:pPr>
      <w:r>
        <w:rPr>
          <w:rFonts w:ascii="Arial" w:cs="Arial" w:eastAsia="Arial" w:hAnsi="Arial"/>
          <w:sz w:val="18"/>
          <w:szCs w:val="18"/>
          <w:color w:val="auto"/>
        </w:rPr>
        <w:t>Name: Timothy M.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-109855</wp:posOffset>
            </wp:positionV>
            <wp:extent cx="1315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9939"/>
          </w:cols>
          <w:pgMar w:left="520" w:top="1390" w:right="1440" w:bottom="1440" w:gutter="0" w:footer="0" w:header="0"/>
        </w:sectPr>
      </w:pPr>
    </w:p>
    <w:bookmarkStart w:id="94" w:name="page95"/>
    <w:bookmarkEnd w:id="94"/>
    <w:p>
      <w:pPr>
        <w:jc w:val="center"/>
        <w:ind w:left="640"/>
        <w:spacing w:after="0"/>
        <w:rPr>
          <w:sz w:val="20"/>
          <w:szCs w:val="20"/>
          <w:color w:val="auto"/>
        </w:rPr>
      </w:pPr>
      <w:r>
        <w:rPr>
          <w:rFonts w:ascii="Arial" w:cs="Arial" w:eastAsia="Arial" w:hAnsi="Arial"/>
          <w:sz w:val="18"/>
          <w:szCs w:val="18"/>
          <w:b w:val="1"/>
          <w:bCs w:val="1"/>
          <w:color w:val="auto"/>
        </w:rPr>
        <w:t>CONSENT OF GUARANTOR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consents to the terms, provisions and conditions contained in that certain Seventh Amendment to Second</w:t>
      </w:r>
    </w:p>
    <w:p>
      <w:pPr>
        <w:jc w:val="both"/>
        <w:spacing w:after="0" w:line="208" w:lineRule="auto"/>
        <w:rPr>
          <w:sz w:val="20"/>
          <w:szCs w:val="20"/>
          <w:color w:val="auto"/>
        </w:rPr>
      </w:pPr>
      <w:r>
        <w:rPr>
          <w:rFonts w:ascii="Arial" w:cs="Arial" w:eastAsia="Arial" w:hAnsi="Arial"/>
          <w:sz w:val="18"/>
          <w:szCs w:val="18"/>
          <w:color w:val="auto"/>
        </w:rPr>
        <w:t xml:space="preserve">Amended and Restated Credit Agreement dated as of March 13, 2024 (the “Amendment”), executed by and between </w:t>
      </w:r>
      <w:r>
        <w:rPr>
          <w:rFonts w:ascii="Arial" w:cs="Arial" w:eastAsia="Arial" w:hAnsi="Arial"/>
          <w:sz w:val="18"/>
          <w:szCs w:val="18"/>
          <w:b w:val="1"/>
          <w:bCs w:val="1"/>
          <w:color w:val="auto"/>
        </w:rPr>
        <w:t>UNIVERSAL</w:t>
      </w:r>
      <w:r>
        <w:rPr>
          <w:rFonts w:ascii="Arial" w:cs="Arial" w:eastAsia="Arial" w:hAnsi="Arial"/>
          <w:sz w:val="18"/>
          <w:szCs w:val="18"/>
          <w:color w:val="auto"/>
        </w:rPr>
        <w:t xml:space="preserve"> </w:t>
      </w:r>
      <w:r>
        <w:rPr>
          <w:rFonts w:ascii="Arial" w:cs="Arial" w:eastAsia="Arial" w:hAnsi="Arial"/>
          <w:sz w:val="18"/>
          <w:szCs w:val="18"/>
          <w:b w:val="1"/>
          <w:bCs w:val="1"/>
          <w:color w:val="auto"/>
        </w:rPr>
        <w:t>ELECTRONICS INC.</w:t>
      </w:r>
      <w:r>
        <w:rPr>
          <w:rFonts w:ascii="Arial" w:cs="Arial" w:eastAsia="Arial" w:hAnsi="Arial"/>
          <w:sz w:val="18"/>
          <w:szCs w:val="18"/>
          <w:color w:val="auto"/>
        </w:rPr>
        <w:t>, a Delaware corporation (“Borrower”) and</w:t>
      </w:r>
      <w:r>
        <w:rPr>
          <w:rFonts w:ascii="Arial" w:cs="Arial" w:eastAsia="Arial" w:hAnsi="Arial"/>
          <w:sz w:val="18"/>
          <w:szCs w:val="18"/>
          <w:b w:val="1"/>
          <w:bCs w:val="1"/>
          <w:color w:val="auto"/>
        </w:rPr>
        <w:t xml:space="preserve"> U.S. BANK NATIONAL ASSOCIATION</w:t>
      </w:r>
      <w:r>
        <w:rPr>
          <w:rFonts w:ascii="Arial" w:cs="Arial" w:eastAsia="Arial" w:hAnsi="Arial"/>
          <w:sz w:val="18"/>
          <w:szCs w:val="18"/>
          <w:color w:val="auto"/>
        </w:rPr>
        <w:t>, as a Lender, the L/C Issuer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(“Lender”). The undersigned hereby (i) acknowledges and agrees that the execution and delivery of the Amendment will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not adversely affect or impair any of its obligations to Lender under that certain Continuing Guaranty dated as of October 25, 2021, executed by the undersigned in favor of Lender with respect to the indebtedness of Borrower to Lender (collectively, the “Guaranty”) (ii) agrees that the payment of all of the indebtedness, liabilities and obligations of Borrower to Lender, including without limitation, all obligations of the Borrower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arising under or in connection with the Credit Agreement described in the Amendment (as defined in the Amendment), is guaranteed to Lender by the undersigned pursuant to the terms of the Guaranty, (iii) warrants and agrees that the Guaranty is in full force and effect on the date hereof and the same is hereby ratified and confirmed, and (iv) the release set forth in Section 6 of the Amendment applies </w:t>
      </w:r>
      <w:r>
        <w:rPr>
          <w:rFonts w:ascii="Arial" w:cs="Arial" w:eastAsia="Arial" w:hAnsi="Arial"/>
          <w:sz w:val="18"/>
          <w:szCs w:val="18"/>
          <w:i w:val="1"/>
          <w:iCs w:val="1"/>
          <w:color w:val="auto"/>
        </w:rPr>
        <w:t>mutatis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the undersigned with full force and effect as though the undersigned were a party to such provisions as set forth therein.</w:t>
      </w:r>
    </w:p>
    <w:p>
      <w:pPr>
        <w:spacing w:after="0" w:line="36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UNIVERSAL ELECTRONICS BV</w:t>
      </w: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Bryan M. Hackworth</w:t>
      </w:r>
    </w:p>
    <w:p>
      <w:pPr>
        <w:ind w:left="4540"/>
        <w:spacing w:after="0" w:line="203" w:lineRule="auto"/>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Bryan M. Hackworth</w:t>
      </w:r>
    </w:p>
    <w:p>
      <w:pPr>
        <w:ind w:left="4540"/>
        <w:spacing w:after="0"/>
        <w:tabs>
          <w:tab w:leader="none" w:pos="516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-19050</wp:posOffset>
            </wp:positionV>
            <wp:extent cx="876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1403" w:right="339" w:bottom="1440" w:gutter="0" w:footer="0" w:header="0"/>
        </w:sectPr>
      </w:pPr>
    </w:p>
    <w:bookmarkStart w:id="95" w:name="page96"/>
    <w:bookmarkEnd w:id="95"/>
    <w:tbl>
      <w:tblPr>
        <w:tblLayout w:type="fixed"/>
        <w:tblInd w:w="127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tcPr>
          <w:p>
            <w:pPr>
              <w:jc w:val="right"/>
              <w:ind w:right="830"/>
              <w:spacing w:after="0"/>
              <w:rPr>
                <w:sz w:val="20"/>
                <w:szCs w:val="20"/>
                <w:color w:val="auto"/>
              </w:rPr>
            </w:pPr>
            <w:r>
              <w:rPr>
                <w:rFonts w:ascii="Arial" w:cs="Arial" w:eastAsia="Arial" w:hAnsi="Arial"/>
                <w:sz w:val="18"/>
                <w:szCs w:val="18"/>
                <w:b w:val="1"/>
                <w:bCs w:val="1"/>
                <w:color w:val="auto"/>
              </w:rPr>
              <w:t>SCHEDULE 2</w:t>
            </w:r>
          </w:p>
        </w:tc>
      </w:tr>
      <w:tr>
        <w:trPr>
          <w:trHeight w:val="247"/>
        </w:trPr>
        <w:tc>
          <w:tcPr>
            <w:tcW w:w="2420" w:type="dxa"/>
            <w:vAlign w:val="bottom"/>
          </w:tcPr>
          <w:p>
            <w:pPr>
              <w:spacing w:after="0"/>
              <w:rPr>
                <w:sz w:val="21"/>
                <w:szCs w:val="21"/>
                <w:color w:val="auto"/>
              </w:rPr>
            </w:pPr>
          </w:p>
        </w:tc>
        <w:tc>
          <w:tcPr>
            <w:tcW w:w="3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REVOLVING COMMITMENTS</w:t>
            </w:r>
          </w:p>
        </w:tc>
      </w:tr>
      <w:tr>
        <w:trPr>
          <w:trHeight w:val="482"/>
        </w:trPr>
        <w:tc>
          <w:tcPr>
            <w:tcW w:w="2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r>
        <w:trPr>
          <w:trHeight w:val="254"/>
        </w:trPr>
        <w:tc>
          <w:tcPr>
            <w:tcW w:w="2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Lender:</w:t>
            </w:r>
          </w:p>
        </w:tc>
        <w:tc>
          <w:tcPr>
            <w:tcW w:w="78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Revolving Commitment:</w:t>
            </w:r>
          </w:p>
        </w:tc>
      </w:tr>
      <w:tr>
        <w:trPr>
          <w:trHeight w:val="37"/>
        </w:trPr>
        <w:tc>
          <w:tcPr>
            <w:tcW w:w="242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r>
      <w:tr>
        <w:trPr>
          <w:trHeight w:val="245"/>
        </w:trPr>
        <w:tc>
          <w:tcPr>
            <w:tcW w:w="2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U.S. BANK NATIONAL</w:t>
            </w:r>
          </w:p>
        </w:tc>
        <w:tc>
          <w:tcPr>
            <w:tcW w:w="780" w:type="dxa"/>
            <w:vAlign w:val="bottom"/>
            <w:tcBorders>
              <w:right w:val="single" w:sz="8" w:color="auto"/>
            </w:tcBorders>
          </w:tcPr>
          <w:p>
            <w:pPr>
              <w:spacing w:after="0"/>
              <w:rPr>
                <w:sz w:val="21"/>
                <w:szCs w:val="21"/>
                <w:color w:val="auto"/>
              </w:rPr>
            </w:pPr>
          </w:p>
        </w:tc>
        <w:tc>
          <w:tcPr>
            <w:tcW w:w="2460" w:type="dxa"/>
            <w:vAlign w:val="bottom"/>
            <w:tcBorders>
              <w:right w:val="single" w:sz="8" w:color="auto"/>
            </w:tcBorders>
          </w:tcPr>
          <w:p>
            <w:pPr>
              <w:jc w:val="right"/>
              <w:ind w:right="1210"/>
              <w:spacing w:after="0"/>
              <w:rPr>
                <w:sz w:val="20"/>
                <w:szCs w:val="20"/>
                <w:color w:val="auto"/>
              </w:rPr>
            </w:pPr>
            <w:r>
              <w:rPr>
                <w:rFonts w:ascii="Arial" w:cs="Arial" w:eastAsia="Arial" w:hAnsi="Arial"/>
                <w:sz w:val="18"/>
                <w:szCs w:val="18"/>
                <w:color w:val="auto"/>
              </w:rPr>
              <w:t>$100,000,000</w:t>
            </w:r>
          </w:p>
        </w:tc>
      </w:tr>
      <w:tr>
        <w:trPr>
          <w:trHeight w:val="239"/>
        </w:trPr>
        <w:tc>
          <w:tcPr>
            <w:tcW w:w="2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ASSOCIATION</w:t>
            </w:r>
          </w:p>
        </w:tc>
        <w:tc>
          <w:tcPr>
            <w:tcW w:w="78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r>
      <w:tr>
        <w:trPr>
          <w:trHeight w:val="37"/>
        </w:trPr>
        <w:tc>
          <w:tcPr>
            <w:tcW w:w="242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r>
      <w:tr>
        <w:trPr>
          <w:trHeight w:val="196"/>
        </w:trPr>
        <w:tc>
          <w:tcPr>
            <w:tcW w:w="242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r>
      <w:tr>
        <w:trPr>
          <w:trHeight w:val="245"/>
        </w:trPr>
        <w:tc>
          <w:tcPr>
            <w:tcW w:w="24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TOTAL REVOLVING</w:t>
            </w:r>
          </w:p>
        </w:tc>
        <w:tc>
          <w:tcPr>
            <w:tcW w:w="780" w:type="dxa"/>
            <w:vAlign w:val="bottom"/>
            <w:tcBorders>
              <w:right w:val="single" w:sz="8" w:color="auto"/>
            </w:tcBorders>
          </w:tcPr>
          <w:p>
            <w:pPr>
              <w:spacing w:after="0"/>
              <w:rPr>
                <w:sz w:val="21"/>
                <w:szCs w:val="21"/>
                <w:color w:val="auto"/>
              </w:rPr>
            </w:pPr>
          </w:p>
        </w:tc>
        <w:tc>
          <w:tcPr>
            <w:tcW w:w="2460" w:type="dxa"/>
            <w:vAlign w:val="bottom"/>
            <w:tcBorders>
              <w:right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$100,000,000</w:t>
            </w:r>
          </w:p>
        </w:tc>
      </w:tr>
      <w:tr>
        <w:trPr>
          <w:trHeight w:val="247"/>
        </w:trPr>
        <w:tc>
          <w:tcPr>
            <w:tcW w:w="24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COMMITMENTS</w:t>
            </w:r>
          </w:p>
        </w:tc>
        <w:tc>
          <w:tcPr>
            <w:tcW w:w="780" w:type="dxa"/>
            <w:vAlign w:val="bottom"/>
            <w:tcBorders>
              <w:right w:val="single" w:sz="8" w:color="auto"/>
            </w:tcBorders>
          </w:tcPr>
          <w:p>
            <w:pPr>
              <w:spacing w:after="0"/>
              <w:rPr>
                <w:sz w:val="21"/>
                <w:szCs w:val="21"/>
                <w:color w:val="auto"/>
              </w:rPr>
            </w:pPr>
          </w:p>
        </w:tc>
        <w:tc>
          <w:tcPr>
            <w:tcW w:w="2460" w:type="dxa"/>
            <w:vAlign w:val="bottom"/>
            <w:tcBorders>
              <w:right w:val="single" w:sz="8" w:color="auto"/>
            </w:tcBorders>
          </w:tcPr>
          <w:p>
            <w:pPr>
              <w:spacing w:after="0"/>
              <w:rPr>
                <w:sz w:val="21"/>
                <w:szCs w:val="21"/>
                <w:color w:val="auto"/>
              </w:rPr>
            </w:pPr>
          </w:p>
        </w:tc>
      </w:tr>
      <w:tr>
        <w:trPr>
          <w:trHeight w:val="29"/>
        </w:trPr>
        <w:tc>
          <w:tcPr>
            <w:tcW w:w="24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9939"/>
          </w:cols>
          <w:pgMar w:left="520" w:top="1377" w:right="1440" w:bottom="1440" w:gutter="0" w:footer="0" w:header="0"/>
        </w:sectPr>
      </w:pPr>
    </w:p>
    <w:bookmarkStart w:id="96" w:name="page97"/>
    <w:bookmarkEnd w:id="96"/>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153670</wp:posOffset>
            </wp:positionV>
            <wp:extent cx="1499870" cy="522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14998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CODE OF CONDUCT</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Letter from Paul D. Arling Chairman and Chief Executive Officer</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To our employees:</w:t>
      </w:r>
    </w:p>
    <w:p>
      <w:pPr>
        <w:spacing w:after="0" w:line="220" w:lineRule="exact"/>
        <w:rPr>
          <w:sz w:val="20"/>
          <w:szCs w:val="20"/>
          <w:color w:val="auto"/>
        </w:rPr>
      </w:pPr>
    </w:p>
    <w:p>
      <w:pPr>
        <w:jc w:val="both"/>
        <w:ind w:left="20" w:right="100"/>
        <w:spacing w:after="0" w:line="225" w:lineRule="auto"/>
        <w:rPr>
          <w:sz w:val="20"/>
          <w:szCs w:val="20"/>
          <w:color w:val="auto"/>
        </w:rPr>
      </w:pPr>
      <w:r>
        <w:rPr>
          <w:rFonts w:ascii="Times New Roman" w:cs="Times New Roman" w:eastAsia="Times New Roman" w:hAnsi="Times New Roman"/>
          <w:sz w:val="22"/>
          <w:szCs w:val="22"/>
          <w:color w:val="auto"/>
        </w:rPr>
        <w:t>The success of Universal Electronics is built on our reputation for integrity and excellence, not just of our products, but also on the way in which we conduct ourselves. We share and uphold a common set of ethical values and objectives, the core of which is our commitment to doing the “right thing,” even though it may not be popular.</w:t>
      </w:r>
    </w:p>
    <w:p>
      <w:pPr>
        <w:spacing w:after="0" w:line="179" w:lineRule="exact"/>
        <w:rPr>
          <w:sz w:val="20"/>
          <w:szCs w:val="20"/>
          <w:color w:val="auto"/>
        </w:rPr>
      </w:pPr>
    </w:p>
    <w:p>
      <w:pPr>
        <w:jc w:val="both"/>
        <w:ind w:left="20" w:right="100"/>
        <w:spacing w:after="0" w:line="217" w:lineRule="auto"/>
        <w:rPr>
          <w:sz w:val="20"/>
          <w:szCs w:val="20"/>
          <w:color w:val="auto"/>
        </w:rPr>
      </w:pPr>
      <w:r>
        <w:rPr>
          <w:rFonts w:ascii="Times New Roman" w:cs="Times New Roman" w:eastAsia="Times New Roman" w:hAnsi="Times New Roman"/>
          <w:sz w:val="22"/>
          <w:szCs w:val="22"/>
          <w:color w:val="auto"/>
        </w:rPr>
        <w:t>The business environment has never been more challenging or complex, particularly for a company like ours which does business all around the world. Now more than ever, each of us needs to understand our individual responsibility for complying with legal requirements and upholding the highest ethical standards. To help guide us in this endeavor, the Board of Directors has adopted a Code of Conduct with which we must all comply – me, you, and every one of our directors, officers, and employees around the world.</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Code provides each of us with a basic guide to certain precepts and practices that are critical to our ability to be a productive company, operating within the law’s requirements and with respect for one another. It does not, however, cover all the situations in which our principles may be called into questions. But if we always put integrity and truthfulness first, we will come through with flying colors.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Please read the Code carefully. Compliance with its provisions is critical to our success. Sincerely,</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Paul D. Arling</w:t>
      </w:r>
    </w:p>
    <w:p>
      <w:pPr>
        <w:ind w:left="20"/>
        <w:spacing w:after="0"/>
        <w:rPr>
          <w:sz w:val="20"/>
          <w:szCs w:val="20"/>
          <w:color w:val="auto"/>
        </w:rPr>
      </w:pPr>
      <w:r>
        <w:rPr>
          <w:rFonts w:ascii="Times New Roman" w:cs="Times New Roman" w:eastAsia="Times New Roman" w:hAnsi="Times New Roman"/>
          <w:sz w:val="22"/>
          <w:szCs w:val="22"/>
          <w:color w:val="auto"/>
        </w:rPr>
        <w:t>Chairman and Chief Executive Officer</w:t>
      </w:r>
    </w:p>
    <w:p>
      <w:pPr>
        <w:spacing w:after="0" w:line="200" w:lineRule="exact"/>
        <w:rPr>
          <w:sz w:val="20"/>
          <w:szCs w:val="20"/>
          <w:color w:val="auto"/>
        </w:rPr>
      </w:pPr>
    </w:p>
    <w:p>
      <w:pPr>
        <w:spacing w:after="0" w:line="3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400" w:top="1440" w:right="339" w:bottom="1440" w:gutter="0" w:footer="0" w:header="0"/>
        </w:sectPr>
      </w:pPr>
    </w:p>
    <w:bookmarkStart w:id="97" w:name="page98"/>
    <w:bookmarkEnd w:id="97"/>
    <w:p>
      <w:pPr>
        <w:jc w:val="center"/>
        <w:ind w:right="260"/>
        <w:spacing w:after="0"/>
        <w:rPr>
          <w:sz w:val="20"/>
          <w:szCs w:val="20"/>
          <w:color w:val="auto"/>
        </w:rPr>
      </w:pPr>
      <w:r>
        <w:rPr>
          <w:rFonts w:ascii="Times New Roman" w:cs="Times New Roman" w:eastAsia="Times New Roman" w:hAnsi="Times New Roman"/>
          <w:sz w:val="22"/>
          <w:szCs w:val="22"/>
          <w:color w:val="auto"/>
        </w:rPr>
        <w:t>UNIVERSAL ELECTRONICS INC. CODE OF CONDUCT</w:t>
      </w: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I. APPLICATION OF THE CODE AND THE COMPANY’S POLICIES</w:t>
      </w:r>
    </w:p>
    <w:p>
      <w:pPr>
        <w:spacing w:after="0" w:line="28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The Board of Directors of Universal Electronics Inc. has adopted the following Code of Conduct as part of its commitment to integrity, honesty, and compliance with law and with the highest standards of ethical conduct. This Code of Conduct sets forth certain basic rules regarding the way in which all UEI directors, officers, and employees must conduct themselves. It also provides guidance as to how to recognize certain ethical and legal issues and how to resolve them in conducting the Company’s business. The Code also provides means of reporting unethical conduct that violates this Code. The Code cannot – and is not intended to – cover every legal and ethical issue that may arise. If you do not know what to do about a problem or are not sure how the requirements of the Code apply, you should consult your supervisor, or seek assistance from one of the persons or departments listed in the Code of Conduct Handbook. You should use good common sense and judgment in handling problems not specifically addressed in the Code, always resolving issues by complying with legal and ethical requirements. If any provision of the Code shall be in conflict with local labor laws and rules, the local labor laws and rules shall take precedence. In such a situation, you should contact the Company’s General Counsel (see contact information at the end of the Code) to determine how such a potential conflict should be resolved.</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All complaints will be investigated, and prompt appropriate corrective action, including, when warranted, disciplinary action, will be taken.</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The Company guarantees that no Employee who in good faith makes a complaint or reports a violation or suspected violation of the Code of Conduct pursuant to these procedures will be penalized in any manner for providing such information.</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II. FAIR DEALING</w:t>
      </w:r>
    </w:p>
    <w:p>
      <w:pPr>
        <w:spacing w:after="0" w:line="28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2"/>
          <w:szCs w:val="22"/>
          <w:color w:val="auto"/>
        </w:rPr>
        <w:t>UEI is committed to dealing with its employees, customers, vendors, competitors and others with whom we work, with fairness, respect and integrity. Relationships forged through fairness and integrity provide keys to the Company’s success. No one should take unfair advantage of another through manipulation, concealment, abuse of privileged information, misrepresentation of material facts, or through any other unfair-dealing practice. Fair dealing also prohibits taking advantage of or otherwise improperly using someone else’s property, including intellectual property.</w:t>
      </w:r>
    </w:p>
    <w:p>
      <w:pPr>
        <w:spacing w:after="0" w:line="17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All positions with the Company are positions of trust and confidence, and the Company expects all employees to be scrupulous in all dealings with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expects all employees to cooperate in any reasonable investigation conducted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40"/>
          </w:cols>
          <w:pgMar w:left="420" w:top="1381" w:right="539" w:bottom="1440" w:gutter="0" w:footer="0" w:header="0"/>
        </w:sectPr>
      </w:pPr>
    </w:p>
    <w:bookmarkStart w:id="98" w:name="page99"/>
    <w:bookmarkEnd w:id="98"/>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Doing Business with Suppliers and Consultants and Related Party Business Dealings</w:t>
      </w:r>
    </w:p>
    <w:p>
      <w:pPr>
        <w:spacing w:after="0" w:line="287" w:lineRule="exact"/>
        <w:rPr>
          <w:sz w:val="20"/>
          <w:szCs w:val="20"/>
          <w:color w:val="auto"/>
        </w:rPr>
      </w:pPr>
    </w:p>
    <w:p>
      <w:pPr>
        <w:jc w:val="both"/>
        <w:ind w:left="3"/>
        <w:spacing w:after="0" w:line="212" w:lineRule="auto"/>
        <w:rPr>
          <w:sz w:val="20"/>
          <w:szCs w:val="20"/>
          <w:color w:val="auto"/>
        </w:rPr>
      </w:pPr>
      <w:r>
        <w:rPr>
          <w:rFonts w:ascii="Times New Roman" w:cs="Times New Roman" w:eastAsia="Times New Roman" w:hAnsi="Times New Roman"/>
          <w:sz w:val="22"/>
          <w:szCs w:val="22"/>
          <w:color w:val="auto"/>
        </w:rPr>
        <w:t>Purchasing decisions should be based on the best combination of quality, integrity, service, delivery, and price. Personal relationships should not be the basis for the purchase of goods or services. You must notify your manager and the Legal Department of any business relationship or proposed business transaction the Company may have with any person or entity in which you or anyone related to you has a direct or indirect interest or from which you or anyone related to you may derive a benefit or where anyone related to you is employed. Any such business relationship must first be approved in writing by an Executive Officer of the Company in consultation with the Company’s Legal Department. This requirement generally does not apply if the related party interest exists solely as a result of your ownership, directly and indirectly, of less than 5 % of the outstanding publicly traded equity securities of such related party.</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Dealing with Customers</w:t>
      </w:r>
    </w:p>
    <w:p>
      <w:pPr>
        <w:spacing w:after="0" w:line="287" w:lineRule="exact"/>
        <w:rPr>
          <w:sz w:val="20"/>
          <w:szCs w:val="20"/>
          <w:color w:val="auto"/>
        </w:rPr>
      </w:pPr>
    </w:p>
    <w:p>
      <w:pPr>
        <w:jc w:val="both"/>
        <w:ind w:left="3"/>
        <w:spacing w:after="0" w:line="220" w:lineRule="auto"/>
        <w:rPr>
          <w:sz w:val="20"/>
          <w:szCs w:val="20"/>
          <w:color w:val="auto"/>
        </w:rPr>
      </w:pPr>
      <w:r>
        <w:rPr>
          <w:rFonts w:ascii="Times New Roman" w:cs="Times New Roman" w:eastAsia="Times New Roman" w:hAnsi="Times New Roman"/>
          <w:sz w:val="22"/>
          <w:szCs w:val="22"/>
          <w:color w:val="auto"/>
        </w:rPr>
        <w:t>Employees must always be truthful and clear with customers about the terms of transactions. The Company provides certain warranties with respect to its products. These warranties are the only ones that Employees can offer to customers. Employees shall use their best efforts to follow the general guidelines provided by the Company and negotiate as much as they possibly could to reach terms which are fair and reasonable to the Company.</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Charitable Contributions</w:t>
      </w:r>
    </w:p>
    <w:p>
      <w:pPr>
        <w:spacing w:after="0" w:line="287" w:lineRule="exact"/>
        <w:rPr>
          <w:sz w:val="20"/>
          <w:szCs w:val="20"/>
          <w:color w:val="auto"/>
        </w:rPr>
      </w:pPr>
    </w:p>
    <w:p>
      <w:pPr>
        <w:jc w:val="both"/>
        <w:ind w:left="3" w:right="20"/>
        <w:spacing w:after="0" w:line="225" w:lineRule="auto"/>
        <w:rPr>
          <w:sz w:val="20"/>
          <w:szCs w:val="20"/>
          <w:color w:val="auto"/>
        </w:rPr>
      </w:pPr>
      <w:r>
        <w:rPr>
          <w:rFonts w:ascii="Times New Roman" w:cs="Times New Roman" w:eastAsia="Times New Roman" w:hAnsi="Times New Roman"/>
          <w:sz w:val="22"/>
          <w:szCs w:val="22"/>
          <w:color w:val="auto"/>
        </w:rPr>
        <w:t>Periodically, Employees may receive requests for corporate contributions from charities and other non-profit organizations. The Company is committed to being a good corporate citizen. All such requests should be referred to the Chief Executive Officer.</w:t>
      </w:r>
    </w:p>
    <w:p>
      <w:pPr>
        <w:spacing w:after="0" w:line="193" w:lineRule="exact"/>
        <w:rPr>
          <w:sz w:val="20"/>
          <w:szCs w:val="20"/>
          <w:color w:val="auto"/>
        </w:rPr>
      </w:pPr>
    </w:p>
    <w:p>
      <w:pPr>
        <w:ind w:left="3" w:right="4660" w:hanging="3"/>
        <w:spacing w:after="0" w:line="512" w:lineRule="auto"/>
        <w:tabs>
          <w:tab w:leader="none" w:pos="353"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ACCURATE FINANCIAL INFORMATION AND DISCLOSURES Keeping Accurate Financial Records</w:t>
      </w:r>
    </w:p>
    <w:p>
      <w:pPr>
        <w:spacing w:after="0" w:line="1" w:lineRule="exact"/>
        <w:rPr>
          <w:sz w:val="20"/>
          <w:szCs w:val="20"/>
          <w:color w:val="auto"/>
        </w:rPr>
      </w:pPr>
    </w:p>
    <w:p>
      <w:pPr>
        <w:jc w:val="both"/>
        <w:ind w:left="3"/>
        <w:spacing w:after="0" w:line="220" w:lineRule="auto"/>
        <w:rPr>
          <w:sz w:val="20"/>
          <w:szCs w:val="20"/>
          <w:color w:val="auto"/>
        </w:rPr>
      </w:pPr>
      <w:r>
        <w:rPr>
          <w:rFonts w:ascii="Times New Roman" w:cs="Times New Roman" w:eastAsia="Times New Roman" w:hAnsi="Times New Roman"/>
          <w:sz w:val="22"/>
          <w:szCs w:val="22"/>
          <w:color w:val="auto"/>
        </w:rPr>
        <w:t>The Company’s financial records and the financial statements that we release to the public in accordance with legal and stock market requirements must always be full, fair, accurate, timely, and understandable. Besides being required by law, UEI’s credibility and reputation for honesty depend on it. The Company’s ability to make accurate and timely disclosures to the public that are required by law depends on accurate and complete financial records.</w:t>
      </w:r>
    </w:p>
    <w:p>
      <w:pPr>
        <w:spacing w:after="0" w:line="179" w:lineRule="exact"/>
        <w:rPr>
          <w:sz w:val="20"/>
          <w:szCs w:val="20"/>
          <w:color w:val="auto"/>
        </w:rPr>
      </w:pPr>
    </w:p>
    <w:p>
      <w:pPr>
        <w:jc w:val="both"/>
        <w:ind w:left="3" w:right="20"/>
        <w:spacing w:after="0" w:line="220" w:lineRule="auto"/>
        <w:rPr>
          <w:sz w:val="20"/>
          <w:szCs w:val="20"/>
          <w:color w:val="auto"/>
        </w:rPr>
      </w:pPr>
      <w:r>
        <w:rPr>
          <w:rFonts w:ascii="Times New Roman" w:cs="Times New Roman" w:eastAsia="Times New Roman" w:hAnsi="Times New Roman"/>
          <w:sz w:val="22"/>
          <w:szCs w:val="22"/>
          <w:color w:val="auto"/>
        </w:rPr>
        <w:t>Therefore, it is very important that all accounting entries, as well as all information on which those entries are based, be correct and complete. Accounting entries must be made in accordance with appropriate accounting standards, and proper records supporting accounting entries must be maintained. Any Employee who becomes aware of inaccurate or uncorrected accounting entries should report the matter in accordance with the procedures set forth in the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43"/>
          </w:cols>
          <w:pgMar w:left="417" w:top="1440" w:right="539" w:bottom="1440" w:gutter="0" w:footer="0" w:header="0"/>
        </w:sectPr>
      </w:pPr>
    </w:p>
    <w:bookmarkStart w:id="99" w:name="page100"/>
    <w:bookmarkEnd w:id="9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Accurate Disclosures</w:t>
      </w:r>
    </w:p>
    <w:p>
      <w:pPr>
        <w:spacing w:after="0" w:line="287" w:lineRule="exact"/>
        <w:rPr>
          <w:sz w:val="20"/>
          <w:szCs w:val="20"/>
          <w:color w:val="auto"/>
        </w:rPr>
      </w:pPr>
    </w:p>
    <w:p>
      <w:pPr>
        <w:jc w:val="both"/>
        <w:ind w:right="100"/>
        <w:spacing w:after="0" w:line="215" w:lineRule="auto"/>
        <w:rPr>
          <w:sz w:val="20"/>
          <w:szCs w:val="20"/>
          <w:color w:val="auto"/>
        </w:rPr>
      </w:pPr>
      <w:r>
        <w:rPr>
          <w:rFonts w:ascii="Times New Roman" w:cs="Times New Roman" w:eastAsia="Times New Roman" w:hAnsi="Times New Roman"/>
          <w:sz w:val="22"/>
          <w:szCs w:val="22"/>
          <w:color w:val="auto"/>
        </w:rPr>
        <w:t>The Company’s stock price depends on the information that the investing public has available. The law and stock market rules require full, fair, accurate, timely, and often detailed reporting of information that could influence investors and impact the Company’s stock price. The Company is committed to fulfilling its responsibilities for full, fair, accurate, and timely disclosures as required by law and stock market rules. No Employee may do anything that would violate these responsibilities or interfere with their proper execution. You must immediately report to your supervisor any event or development that you believe could affect the value of the Company’s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Company Spokesperson</w:t>
      </w:r>
    </w:p>
    <w:p>
      <w:pPr>
        <w:spacing w:after="0" w:line="287"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22"/>
          <w:szCs w:val="22"/>
          <w:color w:val="auto"/>
        </w:rPr>
        <w:t>Only a limited number of senior officers are authorized to discuss UEI’s historical or expected financial performance and other material developments. To avoid confusion to the public, any inquiries or requests from the press, media, financial community or the general public about the Company or its subsidiaries must be referred to the Company’s Chief Executive Officer, or Chief Financial Officer.</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IV.COMPLIANCE WITH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Compliance and Questions about the Law</w:t>
      </w:r>
    </w:p>
    <w:p>
      <w:pPr>
        <w:spacing w:after="0" w:line="301" w:lineRule="exact"/>
        <w:rPr>
          <w:sz w:val="20"/>
          <w:szCs w:val="20"/>
          <w:color w:val="auto"/>
        </w:rPr>
      </w:pPr>
    </w:p>
    <w:p>
      <w:pPr>
        <w:jc w:val="both"/>
        <w:ind w:right="120"/>
        <w:spacing w:after="0" w:line="220" w:lineRule="auto"/>
        <w:rPr>
          <w:sz w:val="20"/>
          <w:szCs w:val="20"/>
          <w:color w:val="auto"/>
        </w:rPr>
      </w:pPr>
      <w:r>
        <w:rPr>
          <w:rFonts w:ascii="Times New Roman" w:cs="Times New Roman" w:eastAsia="Times New Roman" w:hAnsi="Times New Roman"/>
          <w:sz w:val="22"/>
          <w:szCs w:val="22"/>
          <w:color w:val="auto"/>
        </w:rPr>
        <w:t>At UEI, we are committed to operating our business in compliance with the laws and government rules and regulations of the countries, states, and localities in which we operate. Compliance with law forms a basic part of the Company’s integrity as a business enterprise. If you have questions about the law, including the seven areas of the law briefly highlighted in this Code, please contact the Company’s General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Insider Trading</w:t>
      </w:r>
    </w:p>
    <w:p>
      <w:pPr>
        <w:spacing w:after="0" w:line="28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It is illegal to trade in the Company’s securities, including its common stock, on the basis of material “inside” information. “Inside” information is information about which you have knowledge, but which is not yet known to the public. You must keep all such “inside” information confidential until such time as the “inside” information becomes publically known. Examples of inside information include, but are not limited to, financial forecasts, interim sales and earning numbers, dividend changes, possible mergers, acquisitions and joint ventures, new product innovations, major litigation developments, and significant changes in business strategy.</w:t>
      </w:r>
    </w:p>
    <w:p>
      <w:pPr>
        <w:spacing w:after="0" w:line="179" w:lineRule="exact"/>
        <w:rPr>
          <w:sz w:val="20"/>
          <w:szCs w:val="20"/>
          <w:color w:val="auto"/>
        </w:rPr>
      </w:pPr>
    </w:p>
    <w:p>
      <w:pPr>
        <w:jc w:val="both"/>
        <w:ind w:right="100"/>
        <w:spacing w:after="0" w:line="213" w:lineRule="auto"/>
        <w:rPr>
          <w:sz w:val="20"/>
          <w:szCs w:val="20"/>
          <w:color w:val="auto"/>
        </w:rPr>
      </w:pPr>
      <w:r>
        <w:rPr>
          <w:rFonts w:ascii="Times New Roman" w:cs="Times New Roman" w:eastAsia="Times New Roman" w:hAnsi="Times New Roman"/>
          <w:sz w:val="22"/>
          <w:szCs w:val="22"/>
          <w:color w:val="auto"/>
        </w:rPr>
        <w:t>Information is considered material if, when disclosed to the public, it could either affect an investor’s decision to buy the Company’s stock or otherwise have an impact on the Company’s stock price. The prohibitions on insider trading apply to all Employees, regardless of their jobs in the Company and regardless of where or how they may have obtained the inside information. Even after information has become public, you can still not trade in Company securities until it has had time to become generally known in the securities markets. Two full business days after something has become public through a press release or filing with the Securities Exchange Commission, for example, should elapse before you can trade based on that information.</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Besides being illegal to trade in Company securities based on inside information, it is also illegal to pass inside information on to others, including family and friends. The penalties for violating the insider trading laws are severe. You should be sure to read the Company’s policy on insider trading. If you have any questions about the confidentiality of any “inside” information or whether you might violate the Company’s policies on confidentiality, the Code of Conduct, or its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40"/>
          </w:cols>
          <w:pgMar w:left="420" w:top="1440" w:right="439" w:bottom="1440" w:gutter="0" w:footer="0" w:header="0"/>
        </w:sectPr>
      </w:pPr>
    </w:p>
    <w:bookmarkStart w:id="100" w:name="page101"/>
    <w:bookmarkEnd w:id="100"/>
    <w:p>
      <w:pPr>
        <w:ind w:right="1700"/>
        <w:spacing w:after="0" w:line="463" w:lineRule="auto"/>
        <w:rPr>
          <w:sz w:val="20"/>
          <w:szCs w:val="20"/>
          <w:color w:val="auto"/>
        </w:rPr>
      </w:pPr>
      <w:r>
        <w:rPr>
          <w:rFonts w:ascii="Times New Roman" w:cs="Times New Roman" w:eastAsia="Times New Roman" w:hAnsi="Times New Roman"/>
          <w:sz w:val="22"/>
          <w:szCs w:val="22"/>
          <w:color w:val="auto"/>
        </w:rPr>
        <w:t xml:space="preserve">Insider Trading Policy, or otherwise violate the insider trading laws, you should consult the General Counsel. </w:t>
      </w:r>
      <w:r>
        <w:rPr>
          <w:rFonts w:ascii="Times New Roman" w:cs="Times New Roman" w:eastAsia="Times New Roman" w:hAnsi="Times New Roman"/>
          <w:sz w:val="22"/>
          <w:szCs w:val="22"/>
          <w:u w:val="single" w:color="auto"/>
          <w:color w:val="auto"/>
        </w:rPr>
        <w:t>Stock Tipping</w:t>
      </w:r>
    </w:p>
    <w:p>
      <w:pPr>
        <w:spacing w:after="0" w:line="23" w:lineRule="exact"/>
        <w:rPr>
          <w:sz w:val="20"/>
          <w:szCs w:val="20"/>
          <w:color w:val="auto"/>
        </w:rPr>
      </w:pPr>
    </w:p>
    <w:p>
      <w:pPr>
        <w:jc w:val="both"/>
        <w:ind w:right="200"/>
        <w:spacing w:after="0" w:line="225" w:lineRule="auto"/>
        <w:rPr>
          <w:sz w:val="20"/>
          <w:szCs w:val="20"/>
          <w:color w:val="auto"/>
        </w:rPr>
      </w:pPr>
      <w:r>
        <w:rPr>
          <w:rFonts w:ascii="Times New Roman" w:cs="Times New Roman" w:eastAsia="Times New Roman" w:hAnsi="Times New Roman"/>
          <w:sz w:val="22"/>
          <w:szCs w:val="22"/>
          <w:color w:val="auto"/>
        </w:rPr>
        <w:t>Our commitment to integrity requires that we not disclose non-public information to anyone outside the Company. To avoid giving anyone an illegal stock trading advantage, we must each be careful when discussing the Company’s business with individuals outside the Company, including family and friends.</w:t>
      </w:r>
    </w:p>
    <w:p>
      <w:pPr>
        <w:spacing w:after="0" w:line="189" w:lineRule="exact"/>
        <w:rPr>
          <w:sz w:val="20"/>
          <w:szCs w:val="20"/>
          <w:color w:val="auto"/>
        </w:rPr>
      </w:pPr>
    </w:p>
    <w:p>
      <w:pPr>
        <w:jc w:val="both"/>
        <w:ind w:right="100"/>
        <w:spacing w:after="0" w:line="221" w:lineRule="auto"/>
        <w:rPr>
          <w:sz w:val="20"/>
          <w:szCs w:val="20"/>
          <w:color w:val="auto"/>
        </w:rPr>
      </w:pPr>
      <w:r>
        <w:rPr>
          <w:rFonts w:ascii="Times New Roman" w:cs="Times New Roman" w:eastAsia="Times New Roman" w:hAnsi="Times New Roman"/>
          <w:sz w:val="22"/>
          <w:szCs w:val="22"/>
          <w:b w:val="1"/>
          <w:bCs w:val="1"/>
          <w:color w:val="auto"/>
        </w:rPr>
        <w:t>There may also be instances when you or another Employee become aware of non-public information about another company with which UEI does business or is seeking to do business. Consistent with our commitment to integrity, you may not use non-public information as the basis to buy or sell stock or other securities of that company, nor may you pass the information to anyone else for the purpose of trading in that company’s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Bribes and Kickbacks</w:t>
      </w:r>
    </w:p>
    <w:p>
      <w:pPr>
        <w:spacing w:after="0" w:line="287" w:lineRule="exact"/>
        <w:rPr>
          <w:sz w:val="20"/>
          <w:szCs w:val="20"/>
          <w:color w:val="auto"/>
        </w:rPr>
      </w:pPr>
    </w:p>
    <w:p>
      <w:pPr>
        <w:jc w:val="both"/>
        <w:ind w:right="220"/>
        <w:spacing w:after="0" w:line="225" w:lineRule="auto"/>
        <w:rPr>
          <w:sz w:val="20"/>
          <w:szCs w:val="20"/>
          <w:color w:val="auto"/>
        </w:rPr>
      </w:pPr>
      <w:r>
        <w:rPr>
          <w:rFonts w:ascii="Times New Roman" w:cs="Times New Roman" w:eastAsia="Times New Roman" w:hAnsi="Times New Roman"/>
          <w:sz w:val="22"/>
          <w:szCs w:val="22"/>
          <w:color w:val="auto"/>
        </w:rPr>
        <w:t>At all times we must conduct the Company’s business in an honest, ethical fashion. Bribes and payoffs to government officials, suppliers, and others are strictly prohibited. Kickbacks, which are situations in which an Employee receives or gives something in return for business or for making certain business decisions, are strictly prohibited.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Political Contributions</w:t>
      </w:r>
    </w:p>
    <w:p>
      <w:pPr>
        <w:spacing w:after="0" w:line="287" w:lineRule="exact"/>
        <w:rPr>
          <w:sz w:val="20"/>
          <w:szCs w:val="20"/>
          <w:color w:val="auto"/>
        </w:rPr>
      </w:pPr>
    </w:p>
    <w:p>
      <w:pPr>
        <w:jc w:val="both"/>
        <w:ind w:right="220"/>
        <w:spacing w:after="0" w:line="225" w:lineRule="auto"/>
        <w:rPr>
          <w:sz w:val="20"/>
          <w:szCs w:val="20"/>
          <w:color w:val="auto"/>
        </w:rPr>
      </w:pPr>
      <w:r>
        <w:rPr>
          <w:rFonts w:ascii="Times New Roman" w:cs="Times New Roman" w:eastAsia="Times New Roman" w:hAnsi="Times New Roman"/>
          <w:sz w:val="22"/>
          <w:szCs w:val="22"/>
          <w:color w:val="auto"/>
        </w:rPr>
        <w:t>The laws of the United States and other countries may prohibit or restrict contributions by a corporation to political parties or candidates. No Company funds or other assets may be contributed, used, or loaned, directly or indirectly, to any political party or for the campaign of any person for political office.</w:t>
      </w:r>
    </w:p>
    <w:p>
      <w:pPr>
        <w:spacing w:after="0" w:line="179" w:lineRule="exact"/>
        <w:rPr>
          <w:sz w:val="20"/>
          <w:szCs w:val="20"/>
          <w:color w:val="auto"/>
        </w:rPr>
      </w:pPr>
    </w:p>
    <w:p>
      <w:pPr>
        <w:jc w:val="both"/>
        <w:ind w:right="200"/>
        <w:spacing w:after="0" w:line="225" w:lineRule="auto"/>
        <w:rPr>
          <w:sz w:val="20"/>
          <w:szCs w:val="20"/>
          <w:color w:val="auto"/>
        </w:rPr>
      </w:pPr>
      <w:r>
        <w:rPr>
          <w:rFonts w:ascii="Times New Roman" w:cs="Times New Roman" w:eastAsia="Times New Roman" w:hAnsi="Times New Roman"/>
          <w:sz w:val="22"/>
          <w:szCs w:val="22"/>
          <w:color w:val="auto"/>
        </w:rPr>
        <w:t>In addition, no Employee, regardless of his or her position in the Company, may suggest or otherwise place pressure on another Employee or member of an Employee’s family to make contributions in the Employee’s own name. If you have a question about the law on political contributions, contact the General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International Business and the Foreign Corrupt Practices Act</w:t>
      </w:r>
    </w:p>
    <w:p>
      <w:pPr>
        <w:spacing w:after="0" w:line="30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Even though UEI is based in the United States, it is imperative that all of us comply with laws and regulations in the other countries in which the Company does business. In addition to the laws of other countries, there are special laws and regulations which apply to the import and export of products and technical data. The Company’s General Counsel can provide Employees with information about the laws of other countries.</w:t>
      </w:r>
    </w:p>
    <w:p>
      <w:pPr>
        <w:spacing w:after="0" w:line="179" w:lineRule="exact"/>
        <w:rPr>
          <w:sz w:val="20"/>
          <w:szCs w:val="20"/>
          <w:color w:val="auto"/>
        </w:rPr>
      </w:pPr>
    </w:p>
    <w:p>
      <w:pPr>
        <w:jc w:val="both"/>
        <w:ind w:right="200"/>
        <w:spacing w:after="0" w:line="212" w:lineRule="auto"/>
        <w:rPr>
          <w:sz w:val="20"/>
          <w:szCs w:val="20"/>
          <w:color w:val="auto"/>
        </w:rPr>
      </w:pPr>
      <w:r>
        <w:rPr>
          <w:rFonts w:ascii="Times New Roman" w:cs="Times New Roman" w:eastAsia="Times New Roman" w:hAnsi="Times New Roman"/>
          <w:sz w:val="22"/>
          <w:szCs w:val="22"/>
          <w:color w:val="auto"/>
        </w:rPr>
        <w:t>The Foreign Corrupt Practices Act prohibits Employees from offering or paying any money or other thing of value, directly or indirectly, to any foreign government official, foreign political party or its officials, or candidate for public office, for the purpose of improperly obtaining or maintaining business or influencing governmental action favorable to the company. Prohibited payments of this nature include consulting, broker’s, finder’s or other fees paid to third parties where there is reason to believe that any part of such fees will be distributed to, or for the benefit of, foreign officials or political parties for those improper objectives. Examples of prohibited transactions also include split invoicing, which is an attempt to permit a customer to pay lower import duties, as well as “over invoicing” which is intended to enable a customer to take payments improperly outside of her or his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420" w:top="13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u w:val="single" w:color="auto"/>
          <w:color w:val="auto"/>
        </w:rPr>
        <w:t>Antitrust Laws</w:t>
      </w:r>
    </w:p>
    <w:p>
      <w:pPr>
        <w:spacing w:after="0" w:line="2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antitrust laws prohibit competitors, customers, and vendors from making agreements or having understandings that interfere with fair competition in the marketplace or that could result in price fixing. Employees may not conduct any business that violates the antitrust laws of the U.S., any state, any foreign country, or any other international body.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antitrust laws can be very complicated, but these are some examples of conduct that would violate the law:</w:t>
      </w:r>
    </w:p>
    <w:p>
      <w:pPr>
        <w:spacing w:after="0" w:line="233" w:lineRule="exact"/>
        <w:rPr>
          <w:sz w:val="20"/>
          <w:szCs w:val="20"/>
          <w:color w:val="auto"/>
        </w:rPr>
      </w:pPr>
    </w:p>
    <w:p>
      <w:pPr>
        <w:ind w:left="740" w:right="680" w:hanging="327"/>
        <w:spacing w:after="0" w:line="249" w:lineRule="auto"/>
        <w:tabs>
          <w:tab w:leader="none" w:pos="7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among competitors to set prices, terms or conditions of sale, production, distribution, territories, or customers.</w:t>
      </w:r>
    </w:p>
    <w:p>
      <w:pPr>
        <w:ind w:left="740" w:hanging="328"/>
        <w:spacing w:after="0"/>
        <w:tabs>
          <w:tab w:leader="none" w:pos="7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of the resale pricing of any of the Company’s products.</w:t>
      </w:r>
    </w:p>
    <w:p>
      <w:pPr>
        <w:spacing w:after="0" w:line="1" w:lineRule="exact"/>
        <w:rPr>
          <w:rFonts w:ascii="Times New Roman" w:cs="Times New Roman" w:eastAsia="Times New Roman" w:hAnsi="Times New Roman"/>
          <w:sz w:val="22"/>
          <w:szCs w:val="22"/>
          <w:color w:val="auto"/>
        </w:rPr>
      </w:pPr>
    </w:p>
    <w:p>
      <w:pPr>
        <w:ind w:left="740" w:right="500" w:hanging="327"/>
        <w:spacing w:after="0" w:line="248" w:lineRule="auto"/>
        <w:tabs>
          <w:tab w:leader="none" w:pos="7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competitors with any competitive information, such as details of prices, terms or conditions of sale that could be viewed as anticompetitive.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Dealing with Government Agencies</w:t>
      </w:r>
    </w:p>
    <w:p>
      <w:pPr>
        <w:spacing w:after="0" w:line="287" w:lineRule="exact"/>
        <w:rPr>
          <w:sz w:val="20"/>
          <w:szCs w:val="20"/>
          <w:color w:val="auto"/>
        </w:rPr>
      </w:pPr>
    </w:p>
    <w:p>
      <w:pPr>
        <w:jc w:val="both"/>
        <w:ind w:right="120"/>
        <w:spacing w:after="0" w:line="225" w:lineRule="auto"/>
        <w:rPr>
          <w:sz w:val="20"/>
          <w:szCs w:val="20"/>
          <w:color w:val="auto"/>
        </w:rPr>
      </w:pPr>
      <w:r>
        <w:rPr>
          <w:rFonts w:ascii="Times New Roman" w:cs="Times New Roman" w:eastAsia="Times New Roman" w:hAnsi="Times New Roman"/>
          <w:sz w:val="22"/>
          <w:szCs w:val="22"/>
          <w:color w:val="auto"/>
        </w:rPr>
        <w:t>Employees must follow all regulatory requirements that relate to the development, manufacture, or distribution of the Company’s products and the provision of the Company’s services. It is in all of our best interests to maintain honest and direct relationships when dealing with government agencies.</w:t>
      </w:r>
    </w:p>
    <w:p>
      <w:pPr>
        <w:spacing w:after="0" w:line="179"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22"/>
          <w:szCs w:val="22"/>
          <w:color w:val="auto"/>
        </w:rPr>
        <w:t>Periodically, government inspectors may request information during inspections of facilities. To determine whether requests are appropriate, always contact the General Counsel if there is an information request from a government agency. You should always cooperate with and be courteous to government inspectors and provide them with the information they request during an inspection that they are entitled 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40"/>
          </w:cols>
          <w:pgMar w:left="420" w:top="1314" w:right="439" w:bottom="1440" w:gutter="0" w:footer="0" w:header="0"/>
        </w:sectPr>
      </w:pPr>
    </w:p>
    <w:bookmarkStart w:id="102" w:name="page103"/>
    <w:bookmarkEnd w:id="102"/>
    <w:p>
      <w:pPr>
        <w:spacing w:after="0" w:line="185" w:lineRule="exact"/>
        <w:rPr>
          <w:sz w:val="20"/>
          <w:szCs w:val="20"/>
          <w:color w:val="auto"/>
        </w:rPr>
      </w:pPr>
    </w:p>
    <w:p>
      <w:pPr>
        <w:ind w:left="520" w:hanging="432"/>
        <w:spacing w:after="0"/>
        <w:tabs>
          <w:tab w:leader="none" w:pos="520"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CONFLICTS OF INTEREST</w:t>
      </w:r>
    </w:p>
    <w:p>
      <w:pPr>
        <w:spacing w:after="0" w:line="28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The success of our Company, the value we produce for shareholders and our jobs depend on putting the Company’s interests first when we do business. A conflict of interest arises when an individual’s private interests, including personal benefits that accrue because of an Employee’s position with the Company, interfere with the Company’s interests as a whole. Conflicts can also arise when a member of an Employee’s family receives personal or business benefits as a result of the Employee’s position at the Company. The Company has implemented restrictions with regard to Related Party Transactions, which are generally defined as transactions (including acting as a vendor or service provider to the Company) between the Company and any director or director nominee, employee, holder of more than five percent (5%) of the Company’s common stock, and any one related to the aforementioned individuals. Employees should consult the Company’s Related Party Transaction Policy or contact the Company’s Legal Department if they have questions regarding the applicability of such related party transaction restrictions.</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Each of us must avoid conflicts, as well as the appearance of conflicts. Employees must exercise common sense and judgment to avoid conflicts. Judgment also involves asking your supervisor or the Company’s Legal Department how to handle a situation if you think you might have a conflict of interest.</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If you feel that an Employee has a conflict of interest that your supervisor has failed to address, you should report it as indicated at the end of this Code in the section entitled “Procedures for Reporting Complaints.” The following are some specific examples of conflict situations that can commonly arise.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Corporate Opportunities</w:t>
      </w:r>
    </w:p>
    <w:p>
      <w:pPr>
        <w:spacing w:after="0" w:line="287"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Any business opportunities that we see as a result of working on UEI’s behalf must be used for the Company’s benefit. You may not:</w:t>
      </w:r>
    </w:p>
    <w:p>
      <w:pPr>
        <w:spacing w:after="0" w:line="204" w:lineRule="exact"/>
        <w:rPr>
          <w:sz w:val="20"/>
          <w:szCs w:val="20"/>
          <w:color w:val="auto"/>
        </w:rPr>
      </w:pPr>
    </w:p>
    <w:p>
      <w:pPr>
        <w:ind w:left="740" w:right="920" w:hanging="327"/>
        <w:spacing w:after="0" w:line="248" w:lineRule="auto"/>
        <w:tabs>
          <w:tab w:leader="none" w:pos="73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for yourself or for your personal gain opportunities that you discover or learn about through the use of corporate property or information or your position; or</w:t>
      </w:r>
    </w:p>
    <w:p>
      <w:pPr>
        <w:ind w:left="740" w:hanging="327"/>
        <w:spacing w:after="0"/>
        <w:tabs>
          <w:tab w:leader="none" w:pos="7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your position in the Company or the Company’s property or information for personal gain.</w:t>
      </w:r>
    </w:p>
    <w:p>
      <w:pPr>
        <w:spacing w:after="0" w:line="196"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These prohibitions also apply to using Company opportunities, property, information, or position for the personal benefit of family members, friends, or organizations outside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Hiring and Supervising Friends and Relatives</w:t>
      </w:r>
    </w:p>
    <w:p>
      <w:pPr>
        <w:spacing w:after="0" w:line="287"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22"/>
          <w:szCs w:val="22"/>
          <w:color w:val="auto"/>
        </w:rPr>
        <w:t>Our policy is to hire only the best, most qualified women and men. The Human Resources Department will assist Employees in determining qualifications for any position and in evaluating applicants for those positions. As a general matter, no relative, spouse or domestic partner, or “significant other” should be hired to work within the same departmental hierarchy in circumstances when the Employee has ultimate supervisory responsibility over the friend or relative being hired. Periodically, there may be sound business reasons for exceptions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40"/>
          </w:cols>
          <w:pgMar w:left="420" w:top="1440" w:right="539" w:bottom="1440" w:gutter="0" w:footer="0" w:header="0"/>
        </w:sectPr>
      </w:pPr>
    </w:p>
    <w:bookmarkStart w:id="103" w:name="page104"/>
    <w:bookmarkEnd w:id="103"/>
    <w:p>
      <w:pPr>
        <w:spacing w:after="0" w:line="185"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22"/>
          <w:szCs w:val="22"/>
          <w:color w:val="auto"/>
        </w:rPr>
        <w:t>policy. Any exceptions must be approved by the Chief Executive Officer. Questions about possible conflicts of interest in hiring and work assignments should be directed to the Human Resources Department.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Loans to Employees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 by the Company to, or guarantees of obligations of, directors and executive officers and their families are prohibited.</w:t>
      </w:r>
    </w:p>
    <w:p>
      <w:pPr>
        <w:spacing w:after="0"/>
        <w:rPr>
          <w:sz w:val="20"/>
          <w:szCs w:val="20"/>
          <w:color w:val="auto"/>
        </w:rPr>
      </w:pPr>
      <w:r>
        <w:rPr>
          <w:rFonts w:ascii="Times New Roman" w:cs="Times New Roman" w:eastAsia="Times New Roman" w:hAnsi="Times New Roman"/>
          <w:sz w:val="22"/>
          <w:szCs w:val="22"/>
          <w:color w:val="auto"/>
        </w:rPr>
        <w:t>Company loans to other Employees are prohibited unless authorized by a recognized Company program.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Competing with the Company and Outside Employment</w:t>
      </w:r>
    </w:p>
    <w:p>
      <w:pPr>
        <w:spacing w:after="0" w:line="28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Putting the Company’s interests first also means not competing with the Company in any other business activities. Outside employment can never involve working for a competitor, customer, or supplier of the Company, and it can never involve working during the regular business hours your job as an Employee requires.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Being an Officer or Director of Another Company</w:t>
      </w:r>
    </w:p>
    <w:p>
      <w:pPr>
        <w:spacing w:after="0" w:line="28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No officer or employee of the Company should serve as an officer or director of a business corporation not affiliated with the Company and whose stock is publicly traded except with the permission of the 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Gifts and Entertainment</w:t>
      </w:r>
    </w:p>
    <w:p>
      <w:pPr>
        <w:spacing w:after="0" w:line="30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Sometimes custom in the business world involves being entertained – for example, being taken to lunch or dinner, the theater, sporting events, etc. – by people who do business or wish to do business with the Company. Similarly, there may be times when your position in the Company requires you to entertain people with whom UEI does or wants to do business. Business is often transacted in these situations, and at times Employees may be asked to represent the Company in certain situations hosted by others.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Employees should not accept gifts or non-business entertainment greater than USD $250 in value. Any gifts whose value exceeds USD $250 must in turn be given to the Company where it will be used for Company business. If non-business entertainment will exceed USD $250, the Employee should have explicit permission from his or her supervisor. Gratuities could be construed as bribes or kickbacks, and therefore Employees may never accept them.</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When it is necessary to entertain others on behalf of the Company, the entertainment should be reasonable and in surroundings conducive to doing business. A substantial business discussion should take place during, before, or after the entertainment event. Before entertaining others, Employees should have clear permission from their supervisors to do so.</w:t>
      </w:r>
    </w:p>
    <w:p>
      <w:pPr>
        <w:spacing w:after="0" w:line="18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Any business entertainment, whether the Employee is receiving or providing the entertainment, should be in a context that would not prove embarrassing to the Company. Generally,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40"/>
          </w:cols>
          <w:pgMar w:left="420" w:top="1440" w:right="539" w:bottom="1440" w:gutter="0" w:footer="0" w:header="0"/>
        </w:sectPr>
      </w:pPr>
    </w:p>
    <w:bookmarkStart w:id="104" w:name="page105"/>
    <w:bookmarkEnd w:id="104"/>
    <w:p>
      <w:pPr>
        <w:spacing w:after="0" w:line="185"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policy does not permit entertaining or giving gifts to government officials or employees. Employees should consult both their supervisor and the Company’s General Counsel before providing such gifts or entertainment to ascertain their appropriateness and legality.</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VI.PROTECTION AND USE OF COMPANY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Company Property – In General</w:t>
      </w:r>
    </w:p>
    <w:p>
      <w:pPr>
        <w:spacing w:after="0" w:line="28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All Employees should protect the Company’s assets and ensure their efficient use. Theft, carelessness, and waste have a direct impact on the Company’s profitability and the value it produces. All Company assets should only be used for legitimate business purposes.</w:t>
      </w:r>
    </w:p>
    <w:p>
      <w:pPr>
        <w:spacing w:after="0" w:line="180"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Company property includes both tangible and intangible property. Tangible property includes such items as computers, printers, manufacturing equipment, office supplies, inventories, cellular telephones, tablet computers, labor or log books, and written records of work in process. Intangible property refers to such things as trademarks, formulas, patents, copyrights, trademarks, secrets, and other intellectual property.</w:t>
      </w:r>
    </w:p>
    <w:p>
      <w:pPr>
        <w:spacing w:after="0" w:line="17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1"/>
          <w:szCs w:val="21"/>
          <w:color w:val="auto"/>
        </w:rPr>
        <w:t>As a Company that manufactures and distributes “high tech” equipment, we often, as individuals or teams, create new ideas and intellectual property. Scientific discoveries, formulas, engineering plans, manufacturing specifications, computer codes and programs, publications, and manufacturing processes are just a few examples of property that is created through the work of our minds. Any intellectual property created as a result of work at UEI automatically becomes the Company’s property.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Confidential and Proprietary Information</w:t>
      </w:r>
    </w:p>
    <w:p>
      <w:pPr>
        <w:spacing w:after="0" w:line="30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Certain information is confidential. Confidential information is often important to the Company’s competitive advantage. It should neither be shared with anyone outside the Company nor provided to other Employees except on a “need to know” basis. The protection of the Company’s confidential and proprietary information is essential to its continued success. This information is an important Company asset that requires the same protection as other Company assets. Confidential information includes, among other things, all non-public information that might be of use to competitors, or that could be harmful to the Company or its customers, if disclosed. On the rare occasion that it is necessary to provide confidential information for business purposes to persons outside the Company, it must be done only after consultation with the General Counsel and after a confidentiality agreement, provided by the General Counsel, is signed.</w:t>
      </w:r>
    </w:p>
    <w:p>
      <w:pPr>
        <w:spacing w:after="0" w:line="18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Confidentiality also requires that you not discuss confidential information about customers with other customers or with other Employees who have no need to know this information. You should treat all computer data as confidential, and you should protect computer data from use by any unauthorized person.</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Nothing in this policy or elsewhere in the Handbook restricts a non-supervisory employee from discussing his or her wages, hours or working conditions with other employees or with third parties. The Company’s concern regarding the potential improper use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40"/>
          </w:cols>
          <w:pgMar w:left="420" w:top="1440" w:right="539" w:bottom="1440" w:gutter="0" w:footer="0" w:header="0"/>
        </w:sectPr>
      </w:pPr>
    </w:p>
    <w:bookmarkStart w:id="105" w:name="page106"/>
    <w:bookmarkEnd w:id="105"/>
    <w:p>
      <w:pPr>
        <w:spacing w:after="0" w:line="185"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22"/>
          <w:szCs w:val="22"/>
          <w:color w:val="auto"/>
        </w:rPr>
        <w:t>is to protect the Company’s intellectual property, trade secrets and other non-public information that would be competitively sensitive or useful to competitors, or which, if disclosed, would otherwise violate the rights of a third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Computers, Electronic Mail, and the Internet</w:t>
      </w:r>
    </w:p>
    <w:p>
      <w:pPr>
        <w:spacing w:after="0" w:line="287" w:lineRule="exact"/>
        <w:rPr>
          <w:sz w:val="20"/>
          <w:szCs w:val="20"/>
          <w:color w:val="auto"/>
        </w:rPr>
      </w:pPr>
    </w:p>
    <w:p>
      <w:pPr>
        <w:jc w:val="both"/>
        <w:ind w:right="220"/>
        <w:spacing w:after="0" w:line="225" w:lineRule="auto"/>
        <w:rPr>
          <w:sz w:val="20"/>
          <w:szCs w:val="20"/>
          <w:color w:val="auto"/>
        </w:rPr>
      </w:pPr>
      <w:r>
        <w:rPr>
          <w:rFonts w:ascii="Times New Roman" w:cs="Times New Roman" w:eastAsia="Times New Roman" w:hAnsi="Times New Roman"/>
          <w:sz w:val="22"/>
          <w:szCs w:val="22"/>
          <w:color w:val="auto"/>
        </w:rPr>
        <w:t>The Company’s computers, electronic mail, and internet connections are provided for the purpose of doing company business. However, Employees may occasionally use these tools for personal reasons as long as this use does not negatively affect their job performance and as long as they are not accessing inappropriate or offensive material.</w:t>
      </w:r>
    </w:p>
    <w:p>
      <w:pPr>
        <w:spacing w:after="0" w:line="180" w:lineRule="exact"/>
        <w:rPr>
          <w:sz w:val="20"/>
          <w:szCs w:val="20"/>
          <w:color w:val="auto"/>
        </w:rPr>
      </w:pPr>
    </w:p>
    <w:p>
      <w:pPr>
        <w:jc w:val="both"/>
        <w:ind w:right="220"/>
        <w:spacing w:after="0" w:line="220" w:lineRule="auto"/>
        <w:rPr>
          <w:sz w:val="20"/>
          <w:szCs w:val="20"/>
          <w:color w:val="auto"/>
        </w:rPr>
      </w:pPr>
      <w:r>
        <w:rPr>
          <w:rFonts w:ascii="Times New Roman" w:cs="Times New Roman" w:eastAsia="Times New Roman" w:hAnsi="Times New Roman"/>
          <w:sz w:val="22"/>
          <w:szCs w:val="22"/>
          <w:color w:val="auto"/>
        </w:rPr>
        <w:t>All materials, including personal correspondence and electronic messages, on the Company’s computers or voicemail constitute property of the Company. Therefore, they can be accessed and inspected by Company representatives when deemed appropriate by the Company. Employees should understand that they have no legitimate expectation of privacy when using the Company’s email system, computers, or voicemails and other information systems.</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VII. EMPLOYMENT AND WORKPLACE PRACTICES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Equal Employment Opportunity</w:t>
      </w:r>
    </w:p>
    <w:p>
      <w:pPr>
        <w:spacing w:after="0" w:line="287" w:lineRule="exact"/>
        <w:rPr>
          <w:sz w:val="20"/>
          <w:szCs w:val="20"/>
          <w:color w:val="auto"/>
        </w:rPr>
      </w:pPr>
    </w:p>
    <w:p>
      <w:pPr>
        <w:jc w:val="both"/>
        <w:ind w:right="200"/>
        <w:spacing w:after="0" w:line="217" w:lineRule="auto"/>
        <w:rPr>
          <w:sz w:val="20"/>
          <w:szCs w:val="20"/>
          <w:color w:val="auto"/>
        </w:rPr>
      </w:pPr>
      <w:r>
        <w:rPr>
          <w:rFonts w:ascii="Times New Roman" w:cs="Times New Roman" w:eastAsia="Times New Roman" w:hAnsi="Times New Roman"/>
          <w:sz w:val="22"/>
          <w:szCs w:val="22"/>
          <w:color w:val="auto"/>
        </w:rPr>
        <w:t>The Company is committed to equal employment opportunities at all of its facilities worldwide, without regard to a person’s race, color, age, national origin, ancestry, citizenship, religion, sex, marital status, pregnancy or childbirth, sexual orientation, gender, gender identity and gender expression, mental or physical disability, medical condition, genetic information, military service, veteran status, disabled or Vietnam veteran status, or based on denial of Family and Medical Care Leave, as all those terms are defined by law, or any other characteristic protected by state or federal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Harassment</w:t>
      </w:r>
    </w:p>
    <w:p>
      <w:pPr>
        <w:spacing w:after="0" w:line="287" w:lineRule="exact"/>
        <w:rPr>
          <w:sz w:val="20"/>
          <w:szCs w:val="20"/>
          <w:color w:val="auto"/>
        </w:rPr>
      </w:pPr>
    </w:p>
    <w:p>
      <w:pPr>
        <w:jc w:val="both"/>
        <w:ind w:right="200"/>
        <w:spacing w:after="0" w:line="215" w:lineRule="auto"/>
        <w:rPr>
          <w:sz w:val="20"/>
          <w:szCs w:val="20"/>
          <w:color w:val="auto"/>
        </w:rPr>
      </w:pPr>
      <w:r>
        <w:rPr>
          <w:rFonts w:ascii="Times New Roman" w:cs="Times New Roman" w:eastAsia="Times New Roman" w:hAnsi="Times New Roman"/>
          <w:sz w:val="22"/>
          <w:szCs w:val="22"/>
          <w:color w:val="auto"/>
        </w:rPr>
        <w:t>UEI will not tolerate any kind of harassment or other inappropriate behavior on the part of Employees or those with whom we deal, regardless of whether the behavior is verbal or physical, flagrant or subtle. Harassment involves unwelcome verbal or physical conduct which has the effect of unreasonably interfering with an Employee’s job performance or which creates an intimidating, hostile or offensive environment, and is severe and pervasive. This type of conduct is prohibited regardless of whether it occurs on or off company premises or whether it occurs in person or through the mail, e-mail, voicemail, or internet.</w:t>
      </w:r>
    </w:p>
    <w:p>
      <w:pPr>
        <w:spacing w:after="0" w:line="179"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Any Employee who believes he or she has been subjected to, or has observed, harassment should promptly report it to the Human Resources Department, General Counsel or the CEO.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Safety in the Workplace</w:t>
      </w:r>
    </w:p>
    <w:p>
      <w:pPr>
        <w:spacing w:after="0" w:line="30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UEI emphasizes the importance of the health and safety of its Employees. Employees must follow all applicable occupational safety and health laws. In addition, every Employee should remain aware of safety risks in the workplace and should make efforts to reduce those risks when they might pose a threat to the Employee’s or someone else’s health or safety. Employees are not required to perform work that they reasonably feel will endanger their health or safety. Employees should consult the General Counsel or the Human Resources Department for additional advice about specific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40"/>
          </w:cols>
          <w:pgMar w:left="420" w:top="144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u w:val="single" w:color="auto"/>
          <w:color w:val="auto"/>
        </w:rPr>
        <w:t>Alcohol and Drugs</w:t>
      </w:r>
    </w:p>
    <w:p>
      <w:pPr>
        <w:spacing w:after="0" w:line="287" w:lineRule="exact"/>
        <w:rPr>
          <w:sz w:val="20"/>
          <w:szCs w:val="20"/>
          <w:color w:val="auto"/>
        </w:rPr>
      </w:pPr>
    </w:p>
    <w:p>
      <w:pPr>
        <w:jc w:val="both"/>
        <w:ind w:left="100" w:right="200"/>
        <w:spacing w:after="0" w:line="212" w:lineRule="auto"/>
        <w:rPr>
          <w:sz w:val="20"/>
          <w:szCs w:val="20"/>
          <w:color w:val="auto"/>
        </w:rPr>
      </w:pPr>
      <w:r>
        <w:rPr>
          <w:rFonts w:ascii="Times New Roman" w:cs="Times New Roman" w:eastAsia="Times New Roman" w:hAnsi="Times New Roman"/>
          <w:sz w:val="22"/>
          <w:szCs w:val="22"/>
          <w:color w:val="auto"/>
        </w:rPr>
        <w:t>Use of alcohol or certain drugs can impair productivity and pose a safety threat. Drugs, other than those prescribed by a physician, should not be used during working hours. Possessing, consuming, or being under the influence of alcohol on Company premises or on Company business is prohibited except when Company policy otherwise deems such possession or consumption appropriate and reasonable. For example, it may be appropriate to consume alcohol when entertaining customers or when there is a Company party, or to possess alcohol on Company premises when a bottle of wine or spirits is received as a gift and kept unopened in an office. Alcohol and drugs, whether or not prescribed by a physician, should never be used if there could be a threat to safety, if they could impair an Employee’s judgment, or if using them could result in a violation of the law. Illegal drugs may never be used.</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Privacy</w:t>
      </w:r>
    </w:p>
    <w:p>
      <w:pPr>
        <w:spacing w:after="0" w:line="220" w:lineRule="exact"/>
        <w:rPr>
          <w:sz w:val="20"/>
          <w:szCs w:val="20"/>
          <w:color w:val="auto"/>
        </w:rPr>
      </w:pPr>
    </w:p>
    <w:p>
      <w:pPr>
        <w:jc w:val="both"/>
        <w:ind w:left="80"/>
        <w:spacing w:after="0" w:line="220" w:lineRule="auto"/>
        <w:rPr>
          <w:sz w:val="20"/>
          <w:szCs w:val="20"/>
          <w:color w:val="auto"/>
        </w:rPr>
      </w:pPr>
      <w:r>
        <w:rPr>
          <w:rFonts w:ascii="Times New Roman" w:cs="Times New Roman" w:eastAsia="Times New Roman" w:hAnsi="Times New Roman"/>
          <w:sz w:val="22"/>
          <w:szCs w:val="22"/>
          <w:color w:val="auto"/>
        </w:rPr>
        <w:t>To protect its interests, the Company may require investigations in which its representative may examine facilities, offices, computer files, electronic mail records, and other Company property. The Company reserves the right to make such investigations, even if searches of facilities, offices, and information stored on Company computers is involved. Records and files stored on Company computers are considered the property of UEI and, therefore, are not considered to be private matters.</w:t>
      </w:r>
    </w:p>
    <w:p>
      <w:pPr>
        <w:spacing w:after="0" w:line="179" w:lineRule="exact"/>
        <w:rPr>
          <w:sz w:val="20"/>
          <w:szCs w:val="20"/>
          <w:color w:val="auto"/>
        </w:rPr>
      </w:pPr>
    </w:p>
    <w:p>
      <w:pPr>
        <w:jc w:val="both"/>
        <w:ind w:left="80"/>
        <w:spacing w:after="0" w:line="225" w:lineRule="auto"/>
        <w:rPr>
          <w:sz w:val="20"/>
          <w:szCs w:val="20"/>
          <w:color w:val="auto"/>
        </w:rPr>
      </w:pPr>
      <w:r>
        <w:rPr>
          <w:rFonts w:ascii="Times New Roman" w:cs="Times New Roman" w:eastAsia="Times New Roman" w:hAnsi="Times New Roman"/>
          <w:sz w:val="22"/>
          <w:szCs w:val="22"/>
          <w:color w:val="auto"/>
        </w:rPr>
        <w:t>Personal information about Employees will only be disclosed within the Company to persons or departments that require such information for business purposes. The Company will not disclose personal information about Employees to anyone outside the Company unless required to do so by law or at the request of the Employee.</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Environmental Safety</w:t>
      </w:r>
    </w:p>
    <w:p>
      <w:pPr>
        <w:spacing w:after="0" w:line="287" w:lineRule="exact"/>
        <w:rPr>
          <w:sz w:val="20"/>
          <w:szCs w:val="20"/>
          <w:color w:val="auto"/>
        </w:rPr>
      </w:pPr>
    </w:p>
    <w:p>
      <w:pPr>
        <w:jc w:val="both"/>
        <w:ind w:left="100" w:right="220"/>
        <w:spacing w:after="0" w:line="220" w:lineRule="auto"/>
        <w:rPr>
          <w:sz w:val="20"/>
          <w:szCs w:val="20"/>
          <w:color w:val="auto"/>
        </w:rPr>
      </w:pPr>
      <w:r>
        <w:rPr>
          <w:rFonts w:ascii="Times New Roman" w:cs="Times New Roman" w:eastAsia="Times New Roman" w:hAnsi="Times New Roman"/>
          <w:sz w:val="22"/>
          <w:szCs w:val="22"/>
          <w:color w:val="auto"/>
        </w:rPr>
        <w:t>The Company is committed to operating practices that are consistent with governmental requirements regarding the environment. Employees must comply with all applicable environmental laws and with all permits and approvals granted the Company by environmental regulatory authorities. Employees are encouraged to exercise good judgment with regard to the environmental impacts resulting from use of Company facilities, manufacturing processes, and waste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14" w:right="339" w:bottom="1440" w:gutter="0" w:footer="0" w:header="0"/>
        </w:sectPr>
      </w:pPr>
    </w:p>
    <w:bookmarkStart w:id="107" w:name="page108"/>
    <w:bookmarkEnd w:id="107"/>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VIII. ACCOUNTABILITY FOR ADHERENCE TO THE STANDARDS OF CONDUCT</w:t>
      </w:r>
    </w:p>
    <w:p>
      <w:pPr>
        <w:spacing w:after="0" w:line="28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If, after investigation, the Company determines that an Employee has breached the provisions of this Code, the Employee will be subject to disciplinary procedures which may include termination of his or her employment.</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IX.PROMPT REPORTING OF COMPLAINTS AND PROBLEMS</w:t>
      </w:r>
    </w:p>
    <w:p>
      <w:pPr>
        <w:spacing w:after="0" w:line="28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Ethical conduct is every Employee’s business. Breaches of ethical conduct harm UEI and its working environment, and thus they harm all of us. You should report promptly any breaches or suspected breaches of this Code so that they can be investigated.</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PROCEDURES FOR REPORTING COMPLAINTS</w:t>
      </w:r>
    </w:p>
    <w:p>
      <w:pPr>
        <w:spacing w:after="0" w:line="129"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Any person may in good faith submit a complaint, report, or concern regarding accounting or auditing matters related to the Company or to any other violations of the Company’s policies without fear of dismissal or retaliation of any kind. The Company is committed to achieving compliance with all provisions of the Code, including compliance with applicable securities laws and regulations, accounting standards, accounting controls and audit practices.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order to facilitate reporting, the Company’s Board of Directors has established the following procedures for any person to submit a good faith complaint, report, or concern regarding violations or suspected violations of the Company’s Code of Conduct, including but not limited to any violation or suspected violation of accounting or auditing matters relating to the Company without fear of dismissal or retaliation of any kind.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Receipt of Calls</w:t>
      </w:r>
    </w:p>
    <w:p>
      <w:pPr>
        <w:spacing w:after="0" w:line="287"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Any person who knows of or who suspects violations of the Company’s Code of Conduct, including but not limited to any violation or suspected violation of accounting or auditing matters relating to the Company, may report such concerns on a confidential or anonymous basis to the Audit Committee of the Company by calling the independent, toll-free Ethics Line established by the Company for that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Matters Covered by the Complaint Procedures</w:t>
      </w:r>
    </w:p>
    <w:p>
      <w:pPr>
        <w:spacing w:after="0" w:line="206" w:lineRule="exact"/>
        <w:rPr>
          <w:sz w:val="20"/>
          <w:szCs w:val="20"/>
          <w:color w:val="auto"/>
        </w:rPr>
      </w:pPr>
    </w:p>
    <w:p>
      <w:pPr>
        <w:ind w:left="640" w:right="100" w:hanging="318"/>
        <w:spacing w:after="0" w:line="216" w:lineRule="auto"/>
        <w:tabs>
          <w:tab w:leader="none" w:pos="63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Complaint Procedures relate to reports of violations or suspected violations of: The Company’s Code of Conduct (including violations of laws, rules, regulations and NASDAQ listing standards);</w:t>
      </w:r>
    </w:p>
    <w:p>
      <w:pPr>
        <w:ind w:left="640" w:hanging="319"/>
        <w:spacing w:after="0"/>
        <w:tabs>
          <w:tab w:leader="none" w:pos="6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Corporate Governance Guidelines;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940"/>
          </w:cols>
          <w:pgMar w:left="420" w:top="1440" w:right="539" w:bottom="1440" w:gutter="0" w:footer="0" w:header="0"/>
        </w:sectPr>
      </w:pPr>
    </w:p>
    <w:bookmarkStart w:id="108" w:name="page109"/>
    <w:bookmarkEnd w:id="108"/>
    <w:p>
      <w:pPr>
        <w:spacing w:after="0" w:line="185" w:lineRule="exact"/>
        <w:rPr>
          <w:sz w:val="20"/>
          <w:szCs w:val="20"/>
          <w:color w:val="auto"/>
        </w:rPr>
      </w:pPr>
    </w:p>
    <w:p>
      <w:pPr>
        <w:ind w:right="5140" w:firstLine="321"/>
        <w:spacing w:after="0" w:line="476" w:lineRule="auto"/>
        <w:tabs>
          <w:tab w:leader="none" w:pos="64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policy or procedure established by the Company. </w:t>
      </w:r>
      <w:r>
        <w:rPr>
          <w:rFonts w:ascii="Times New Roman" w:cs="Times New Roman" w:eastAsia="Times New Roman" w:hAnsi="Times New Roman"/>
          <w:sz w:val="22"/>
          <w:szCs w:val="22"/>
          <w:u w:val="single" w:color="auto"/>
          <w:color w:val="auto"/>
        </w:rPr>
        <w:t>Treatment of Complaints and Reports</w:t>
      </w:r>
    </w:p>
    <w:p>
      <w:pPr>
        <w:spacing w:after="0" w:line="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The Company has retained a third-party provider to accept, verify and log all calls received on the Ethics Line at </w:t>
      </w:r>
      <w:r>
        <w:rPr>
          <w:rFonts w:ascii="Times New Roman" w:cs="Times New Roman" w:eastAsia="Times New Roman" w:hAnsi="Times New Roman"/>
          <w:sz w:val="22"/>
          <w:szCs w:val="22"/>
          <w:u w:val="single" w:color="auto"/>
          <w:color w:val="auto"/>
        </w:rPr>
        <w:t>https://ethicsline.uei.com.</w:t>
      </w:r>
      <w:r>
        <w:rPr>
          <w:rFonts w:ascii="Times New Roman" w:cs="Times New Roman" w:eastAsia="Times New Roman" w:hAnsi="Times New Roman"/>
          <w:sz w:val="22"/>
          <w:szCs w:val="22"/>
          <w:color w:val="auto"/>
        </w:rPr>
        <w:t xml:space="preserve"> A full list of phone numbers is available on the Company’s website. Upon receipt of a call, the third-party provider will notify the Company’s internal audit department, which will log the call and advise the Audit Committee of the call. The head of the internal audit department will then determine whether the call pertains to accounting or auditing matters or is a concern addressed to the non-management directors of the Company. Calls relating to accounting or auditing matters will be reviewed under Audit Committee direction and oversight by the internal audit department or such other persons as the Audit Committee determines to be appropriate. Calls relating to all other matters will be reviewed under Audit Committee direction and oversight by the Company’s legal department or human resources department, as appropriate. If a call is intended for the non-management directors of the Company, the Audit Committee will inform the remaining non-management directors of the call and make the recording of the call available to them. Confidentiality with respect to all complaints, reports and concerns will be maintained by the third-party provider, the Company, the Audit Committee and the non-management directors of the Company to the fullest extent possible, consistent with the need to conduct an adequate review.</w:t>
      </w:r>
    </w:p>
    <w:p>
      <w:pPr>
        <w:spacing w:after="0" w:line="18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All complaints will be investigated, and prompt appropriate corrective action will take place, including disciplinary action when warranted.</w:t>
      </w:r>
    </w:p>
    <w:p>
      <w:pPr>
        <w:spacing w:after="0" w:line="173"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2"/>
          <w:szCs w:val="22"/>
          <w:b w:val="1"/>
          <w:bCs w:val="1"/>
          <w:color w:val="auto"/>
        </w:rPr>
        <w:t>The Company guarantees that no Employee who in good faith makes a complaint or reports a violation or suspected violation of the Code of Conduct pursuant to these procedures will be penalized in any manner for providing such information. Any employee who believes he or she has been penalized or retaliated against for reporting a suspected violation of this Code of Conduct should immediately report his or her concern to the Ethics Line, General Counsel &amp; Head of Global Compliance, or to the Human Resources Department, or to the Chief Executive Officer.</w:t>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940"/>
          </w:cols>
          <w:pgMar w:left="420" w:top="1440" w:right="5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List of Subsidiaries of the Registrant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Mexico Distribution Co., S de R.L. de C.V. (organized under the laws of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Mexico Remote Controls, S de R.L. de C.V. (organized under the laws of Mexico)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Qinzhou Universal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Vietnam Company Limited (organized under the laws of Vietnam)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do Brasil Ltda. (organized under the laws of Brazil)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Yangzhou Universal Trading Co. Ltd. (organized under the laws of the People's Republic of China)</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March 14, 2024, with respect to the consolidated financial statements and internal control over financial reporting included in the Annual Report of Universal Electronics Inc. on Form 10-K for the year ended December 31, 2023. We consent to the incorporation by reference of said reports in the Registration Statements of Universal Electronics Inc. on Forms S-8 (File No. 333-198083, File No. 333-227594, and File No. 333-258488).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887" w:right="339" w:bottom="1440" w:gutter="0" w:footer="0" w:header="0"/>
        </w:sectPr>
      </w:pPr>
    </w:p>
    <w:bookmarkStart w:id="111" w:name="page112"/>
    <w:bookmarkEnd w:id="111"/>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31.1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04"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0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71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12" w:name="page113"/>
    <w:bookmarkEnd w:id="112"/>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31.2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04"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0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71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right="20" w:hanging="328"/>
        <w:spacing w:after="0" w:line="312" w:lineRule="auto"/>
        <w:tabs>
          <w:tab w:leader="none" w:pos="7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fiscal year ended December 31, 2023 as filed with the Securities and Exchange Commission on the date hereof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720" w:hanging="388"/>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right="20" w:hanging="328"/>
        <w:spacing w:after="0" w:line="312" w:lineRule="auto"/>
        <w:tabs>
          <w:tab w:leader="none" w:pos="73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fiscal year ended December 31, 2023 as filed with the Securities and Exchange Commission on the date hereof (the “Report”) fully complies with the requirements of Section 13(a) or 15(d) of the Securities Exchange Act of 1934; and</w:t>
      </w:r>
    </w:p>
    <w:p>
      <w:pPr>
        <w:spacing w:after="0" w:line="18" w:lineRule="exact"/>
        <w:rPr>
          <w:rFonts w:ascii="Times New Roman" w:cs="Times New Roman" w:eastAsia="Times New Roman" w:hAnsi="Times New Roman"/>
          <w:sz w:val="17"/>
          <w:szCs w:val="17"/>
          <w:color w:val="auto"/>
        </w:rPr>
      </w:pPr>
    </w:p>
    <w:p>
      <w:pPr>
        <w:ind w:left="720" w:hanging="388"/>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887" w:right="339" w:bottom="1440" w:gutter="0" w:footer="0" w:header="0"/>
        </w:sectPr>
      </w:pPr>
    </w:p>
    <w:bookmarkStart w:id="115" w:name="page116"/>
    <w:bookmarkEnd w:id="115"/>
    <w:p>
      <w:pPr>
        <w:ind w:left="9540"/>
        <w:spacing w:after="0"/>
        <w:rPr>
          <w:sz w:val="20"/>
          <w:szCs w:val="20"/>
          <w:color w:val="auto"/>
        </w:rPr>
      </w:pPr>
      <w:r>
        <w:rPr>
          <w:rFonts w:ascii="Times New Roman" w:cs="Times New Roman" w:eastAsia="Times New Roman" w:hAnsi="Times New Roman"/>
          <w:sz w:val="18"/>
          <w:szCs w:val="18"/>
          <w:b w:val="1"/>
          <w:bCs w:val="1"/>
          <w:u w:val="single" w:color="auto"/>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ind w:left="4300"/>
        <w:spacing w:after="0" w:line="210" w:lineRule="auto"/>
        <w:rPr>
          <w:sz w:val="20"/>
          <w:szCs w:val="20"/>
          <w:color w:val="auto"/>
        </w:rPr>
      </w:pPr>
      <w:r>
        <w:rPr>
          <w:rFonts w:ascii="Times New Roman" w:cs="Times New Roman" w:eastAsia="Times New Roman" w:hAnsi="Times New Roman"/>
          <w:sz w:val="18"/>
          <w:szCs w:val="18"/>
          <w:b w:val="1"/>
          <w:bCs w:val="1"/>
          <w:color w:val="auto"/>
        </w:rPr>
        <w:t>Compensation Recoupment Policy</w:t>
      </w:r>
    </w:p>
    <w:p>
      <w:pPr>
        <w:ind w:left="4520"/>
        <w:spacing w:after="0"/>
        <w:rPr>
          <w:sz w:val="20"/>
          <w:szCs w:val="20"/>
          <w:color w:val="auto"/>
        </w:rPr>
      </w:pPr>
      <w:r>
        <w:rPr>
          <w:rFonts w:ascii="Times New Roman" w:cs="Times New Roman" w:eastAsia="Times New Roman" w:hAnsi="Times New Roman"/>
          <w:sz w:val="18"/>
          <w:szCs w:val="18"/>
          <w:b w:val="1"/>
          <w:bCs w:val="1"/>
          <w:color w:val="auto"/>
        </w:rPr>
        <w:t>Effective November 13,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firstLine="176"/>
        <w:spacing w:after="0" w:line="217" w:lineRule="auto"/>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LLC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under the Exchange Act,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Universal Electronics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Compensation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 Covered</w:t>
      </w:r>
    </w:p>
    <w:p>
      <w:pPr>
        <w:spacing w:after="0" w:line="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Compensation (as defined below) erroneously awarded to a Covered Officer (as defined below) in the event of an Accounting Restatement (as defined below).</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in this Policy to the contrary, at all times, this Policy remains subject to interpretation and operation in</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accordance with the final rules and regulations promulgated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8"/>
          <w:szCs w:val="18"/>
          <w:b w:val="1"/>
          <w:bCs w:val="1"/>
          <w:i w:val="1"/>
          <w:iCs w:val="1"/>
          <w:color w:val="auto"/>
        </w:rPr>
        <w:t>Final Guidance</w:t>
      </w:r>
      <w:r>
        <w:rPr>
          <w:rFonts w:ascii="Times New Roman" w:cs="Times New Roman" w:eastAsia="Times New Roman" w:hAnsi="Times New Roman"/>
          <w:sz w:val="18"/>
          <w:szCs w:val="18"/>
          <w:color w:val="auto"/>
        </w:rPr>
        <w:t>”). Questions regarding this Policy should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directed to the Company’s General Counsel via email at </w:t>
      </w:r>
      <w:r>
        <w:rPr>
          <w:rFonts w:ascii="Times New Roman" w:cs="Times New Roman" w:eastAsia="Times New Roman" w:hAnsi="Times New Roman"/>
          <w:sz w:val="18"/>
          <w:szCs w:val="18"/>
          <w:u w:val="single" w:color="auto"/>
          <w:color w:val="auto"/>
        </w:rPr>
        <w:t>Legal@uei.com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ind w:left="260"/>
        <w:spacing w:after="0" w:line="219" w:lineRule="auto"/>
        <w:rPr>
          <w:sz w:val="20"/>
          <w:szCs w:val="20"/>
          <w:color w:val="auto"/>
        </w:rPr>
      </w:pPr>
      <w:r>
        <w:rPr>
          <w:rFonts w:ascii="Times New Roman" w:cs="Times New Roman" w:eastAsia="Times New Roman" w:hAnsi="Times New Roman"/>
          <w:sz w:val="18"/>
          <w:szCs w:val="18"/>
          <w:color w:val="auto"/>
        </w:rPr>
        <w:t>Unless a Clawback Exception (as defined below) applies, the Company will recover reasonably promptly from each Covered Officer the</w:t>
      </w: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 may forgo such recovery under this Policy from any such Covered Officer. This Policy shall replace and supersede the Company’s prior compensation clawback</w:t>
      </w:r>
    </w:p>
    <w:p>
      <w:pPr>
        <w:spacing w:after="0" w:line="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 xml:space="preserve">policy (the </w:t>
      </w:r>
      <w:r>
        <w:rPr>
          <w:rFonts w:ascii="Times New Roman" w:cs="Times New Roman" w:eastAsia="Times New Roman" w:hAnsi="Times New Roman"/>
          <w:sz w:val="18"/>
          <w:szCs w:val="18"/>
          <w:b w:val="1"/>
          <w:bCs w:val="1"/>
          <w:i w:val="1"/>
          <w:iCs w:val="1"/>
          <w:color w:val="auto"/>
        </w:rPr>
        <w:t>“Prior Policy”</w:t>
      </w:r>
      <w:r>
        <w:rPr>
          <w:rFonts w:ascii="Times New Roman" w:cs="Times New Roman" w:eastAsia="Times New Roman" w:hAnsi="Times New Roman"/>
          <w:sz w:val="18"/>
          <w:szCs w:val="18"/>
          <w:color w:val="auto"/>
        </w:rPr>
        <w:t>) with respect to Incentive-Based Compensation Received on or after October 2, 2023, but the Prior Policy will continue to apply with respect to Incentive-Based Compensation Received prior to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6" w:lineRule="exact"/>
        <w:rPr>
          <w:sz w:val="20"/>
          <w:szCs w:val="20"/>
          <w:color w:val="auto"/>
        </w:rPr>
      </w:pPr>
    </w:p>
    <w:p>
      <w:pPr>
        <w:jc w:val="both"/>
        <w:ind w:right="120" w:firstLine="186"/>
        <w:spacing w:after="0" w:line="208"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 Rule 16a-1(f) under the Exchange Act, as determined by the Board or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and any other current or former officer of the Company with a Senior Vice President title whether or not such officer is a Section 16 officer. Covered</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Officers include, at a minimum, “executive officers” as defined in Rule 3b-7 under the Exchange Act and identified under Item 401(b)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88" w:lineRule="exact"/>
        <w:rPr>
          <w:sz w:val="20"/>
          <w:szCs w:val="20"/>
          <w:color w:val="auto"/>
        </w:rPr>
      </w:pPr>
    </w:p>
    <w:p>
      <w:pPr>
        <w:jc w:val="both"/>
        <w:ind w:left="980" w:right="120" w:hanging="324"/>
        <w:spacing w:after="0" w:line="225" w:lineRule="auto"/>
        <w:tabs>
          <w:tab w:leader="none" w:pos="9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Compensation</w:t>
      </w:r>
      <w:r>
        <w:rPr>
          <w:rFonts w:ascii="Times New Roman" w:cs="Times New Roman" w:eastAsia="Times New Roman" w:hAnsi="Times New Roman"/>
          <w:sz w:val="18"/>
          <w:szCs w:val="18"/>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less any taxes actually paid by such Covered Officer.</w:t>
      </w:r>
    </w:p>
    <w:p>
      <w:pPr>
        <w:spacing w:after="0" w:line="186" w:lineRule="exact"/>
        <w:rPr>
          <w:rFonts w:ascii="Times New Roman" w:cs="Times New Roman" w:eastAsia="Times New Roman" w:hAnsi="Times New Roman"/>
          <w:sz w:val="18"/>
          <w:szCs w:val="18"/>
          <w:color w:val="auto"/>
        </w:rPr>
      </w:pPr>
    </w:p>
    <w:p>
      <w:pPr>
        <w:jc w:val="both"/>
        <w:ind w:left="980" w:right="14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ectPr>
          <w:pgSz w:w="11900" w:h="16838" w:orient="portrait"/>
          <w:cols w:equalWidth="0" w:num="1">
            <w:col w:w="10600"/>
          </w:cols>
          <w:pgMar w:left="320" w:top="1400" w:right="979" w:bottom="1440" w:gutter="0" w:footer="0" w:header="0"/>
        </w:sectPr>
      </w:pPr>
    </w:p>
    <w:bookmarkStart w:id="116" w:name="page117"/>
    <w:bookmarkEnd w:id="116"/>
    <w:p>
      <w:pPr>
        <w:jc w:val="both"/>
        <w:ind w:left="980"/>
        <w:spacing w:after="0" w:line="222"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w:t>
      </w:r>
    </w:p>
    <w:p>
      <w:pPr>
        <w:spacing w:after="0" w:line="2" w:lineRule="exact"/>
        <w:rPr>
          <w:sz w:val="20"/>
          <w:szCs w:val="20"/>
          <w:color w:val="auto"/>
        </w:rPr>
      </w:pPr>
    </w:p>
    <w:p>
      <w:pPr>
        <w:jc w:val="both"/>
        <w:ind w:left="980" w:right="20"/>
        <w:spacing w:after="0" w:line="208" w:lineRule="auto"/>
        <w:rPr>
          <w:sz w:val="20"/>
          <w:szCs w:val="20"/>
          <w:color w:val="auto"/>
        </w:rPr>
      </w:pPr>
      <w:r>
        <w:rPr>
          <w:rFonts w:ascii="Times New Roman" w:cs="Times New Roman" w:eastAsia="Times New Roman" w:hAnsi="Times New Roman"/>
          <w:sz w:val="18"/>
          <w:szCs w:val="18"/>
          <w:color w:val="auto"/>
        </w:rPr>
        <w:t>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determination of such reasonable estimate.</w:t>
      </w:r>
    </w:p>
    <w:p>
      <w:pPr>
        <w:spacing w:after="0" w:line="188" w:lineRule="exact"/>
        <w:rPr>
          <w:sz w:val="20"/>
          <w:szCs w:val="20"/>
          <w:color w:val="auto"/>
        </w:rPr>
      </w:pPr>
    </w:p>
    <w:p>
      <w:pPr>
        <w:jc w:val="both"/>
        <w:ind w:left="980" w:hanging="324"/>
        <w:spacing w:after="0" w:line="221" w:lineRule="auto"/>
        <w:tabs>
          <w:tab w:leader="none" w:pos="9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27" w:lineRule="auto"/>
        <w:tabs>
          <w:tab w:leader="none" w:pos="9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95" w:lineRule="exact"/>
        <w:rPr>
          <w:rFonts w:ascii="Times New Roman" w:cs="Times New Roman" w:eastAsia="Times New Roman" w:hAnsi="Times New Roman"/>
          <w:sz w:val="18"/>
          <w:szCs w:val="18"/>
          <w:color w:val="auto"/>
        </w:rPr>
      </w:pPr>
    </w:p>
    <w:p>
      <w:pPr>
        <w:jc w:val="both"/>
        <w:ind w:left="980" w:right="20" w:hanging="324"/>
        <w:spacing w:after="0" w:line="227" w:lineRule="auto"/>
        <w:tabs>
          <w:tab w:leader="none" w:pos="9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12" w:lineRule="exact"/>
        <w:rPr>
          <w:sz w:val="20"/>
          <w:szCs w:val="20"/>
          <w:color w:val="auto"/>
        </w:rPr>
      </w:pPr>
    </w:p>
    <w:p>
      <w:pPr>
        <w:jc w:val="both"/>
        <w:ind w:firstLine="185"/>
        <w:spacing w:after="0" w:line="225" w:lineRule="auto"/>
        <w:rPr>
          <w:sz w:val="20"/>
          <w:szCs w:val="20"/>
          <w:color w:val="auto"/>
        </w:rPr>
      </w:pPr>
      <w:r>
        <w:rPr>
          <w:rFonts w:ascii="Times New Roman" w:cs="Times New Roman" w:eastAsia="Times New Roman" w:hAnsi="Times New Roman"/>
          <w:sz w:val="18"/>
          <w:szCs w:val="18"/>
          <w:color w:val="auto"/>
        </w:rPr>
        <w:t>For purposes of this Policy, the applicable “</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is defined as the three completed fiscal years immediately preceding the Trigger Date (as defined below) and, if applicable, any transition period resulting from a change in the Company’s fiscal year within or immediately</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95" w:lineRule="exact"/>
        <w:rPr>
          <w:sz w:val="20"/>
          <w:szCs w:val="20"/>
          <w:color w:val="auto"/>
        </w:rPr>
      </w:pPr>
    </w:p>
    <w:p>
      <w:pPr>
        <w:jc w:val="both"/>
        <w:ind w:right="20" w:firstLine="218"/>
        <w:spacing w:after="0" w:line="217" w:lineRule="auto"/>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legally authorized body directs the Company to prepare the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184" w:lineRule="exact"/>
        <w:rPr>
          <w:sz w:val="20"/>
          <w:szCs w:val="20"/>
          <w:color w:val="auto"/>
        </w:rPr>
      </w:pPr>
    </w:p>
    <w:p>
      <w:pPr>
        <w:jc w:val="both"/>
        <w:ind w:left="980" w:hanging="324"/>
        <w:spacing w:after="0" w:line="231" w:lineRule="auto"/>
        <w:tabs>
          <w:tab w:leader="none" w:pos="9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20" w:lineRule="auto"/>
        <w:tabs>
          <w:tab w:leader="none" w:pos="9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80"/>
          </w:cols>
          <w:pgMar w:left="320" w:top="1404" w:right="10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16" w:lineRule="exact"/>
        <w:rPr>
          <w:sz w:val="20"/>
          <w:szCs w:val="20"/>
          <w:color w:val="auto"/>
        </w:rPr>
      </w:pPr>
    </w:p>
    <w:p>
      <w:pPr>
        <w:jc w:val="both"/>
        <w:ind w:firstLine="234"/>
        <w:spacing w:after="0" w:line="250"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Committee will administer this Policy in accordance with the Final Guidance, and will have full and exclusive authority and discretion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spacing w:after="0" w:line="199" w:lineRule="exact"/>
        <w:rPr>
          <w:sz w:val="20"/>
          <w:szCs w:val="20"/>
          <w:color w:val="auto"/>
        </w:rPr>
      </w:pPr>
    </w:p>
    <w:p>
      <w:pPr>
        <w:jc w:val="both"/>
        <w:ind w:firstLine="207"/>
        <w:spacing w:after="0" w:line="226"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98" w:lineRule="exact"/>
        <w:rPr>
          <w:sz w:val="20"/>
          <w:szCs w:val="20"/>
          <w:color w:val="auto"/>
        </w:rPr>
      </w:pPr>
    </w:p>
    <w:p>
      <w:pPr>
        <w:jc w:val="both"/>
        <w:ind w:firstLine="259"/>
        <w:spacing w:after="0" w:line="229" w:lineRule="auto"/>
        <w:rPr>
          <w:sz w:val="20"/>
          <w:szCs w:val="20"/>
          <w:color w:val="auto"/>
        </w:rPr>
      </w:pPr>
      <w:r>
        <w:rPr>
          <w:rFonts w:ascii="Times New Roman" w:cs="Times New Roman" w:eastAsia="Times New Roman" w:hAnsi="Times New Roman"/>
          <w:sz w:val="17"/>
          <w:szCs w:val="17"/>
          <w:color w:val="auto"/>
        </w:rPr>
        <w:t xml:space="preserve">Each Covered Officer, upon being so designated or assuming such position, is required to execute and deliver to the Company’s General Counsel at </w:t>
      </w:r>
      <w:r>
        <w:rPr>
          <w:rFonts w:ascii="Times New Roman" w:cs="Times New Roman" w:eastAsia="Times New Roman" w:hAnsi="Times New Roman"/>
          <w:sz w:val="17"/>
          <w:szCs w:val="17"/>
          <w:u w:val="single" w:color="auto"/>
          <w:color w:val="auto"/>
        </w:rPr>
        <w:t>Legal@uei.com</w:t>
      </w:r>
      <w:r>
        <w:rPr>
          <w:rFonts w:ascii="Times New Roman" w:cs="Times New Roman" w:eastAsia="Times New Roman" w:hAnsi="Times New Roman"/>
          <w:sz w:val="17"/>
          <w:szCs w:val="17"/>
          <w:color w:val="auto"/>
        </w:rPr>
        <w:t xml:space="preserve"> an acknowledgment of and consent to this Policy, in a form reasonably acceptable to and provided by the Company from time to time, (i) acknowledging and consenting to be bound by the terms of this Policy, (ii) agreeing to fully cooperate with the Company in</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16" w:lineRule="exact"/>
        <w:rPr>
          <w:sz w:val="20"/>
          <w:szCs w:val="20"/>
          <w:color w:val="auto"/>
        </w:rPr>
      </w:pPr>
    </w:p>
    <w:p>
      <w:pPr>
        <w:jc w:val="both"/>
        <w:ind w:firstLine="274"/>
        <w:spacing w:after="0" w:line="222"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including the Final Guidance.</w:t>
      </w:r>
    </w:p>
    <w:p>
      <w:pPr>
        <w:sectPr>
          <w:pgSz w:w="11900" w:h="16838" w:orient="portrait"/>
          <w:cols w:equalWidth="0" w:num="1">
            <w:col w:w="10480"/>
          </w:cols>
          <w:pgMar w:left="320" w:top="140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480"/>
          </w:cols>
          <w:pgMar w:left="320" w:top="1400" w:right="1099" w:bottom="1440" w:gutter="0" w:footer="0" w:header="0"/>
          <w:type w:val="continuous"/>
        </w:sectPr>
      </w:pPr>
    </w:p>
    <w:bookmarkStart w:id="118" w:name="page119"/>
    <w:bookmarkEnd w:id="118"/>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2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Compensation Recoupment Policy Acknowledgment and Consent</w:t>
      </w:r>
    </w:p>
    <w:p>
      <w:pPr>
        <w:spacing w:after="0" w:line="225" w:lineRule="exact"/>
        <w:rPr>
          <w:sz w:val="20"/>
          <w:szCs w:val="20"/>
          <w:color w:val="auto"/>
        </w:rPr>
      </w:pPr>
    </w:p>
    <w:p>
      <w:pPr>
        <w:ind w:right="20" w:firstLine="188"/>
        <w:spacing w:after="0" w:line="239" w:lineRule="auto"/>
        <w:rPr>
          <w:sz w:val="20"/>
          <w:szCs w:val="20"/>
          <w:color w:val="auto"/>
        </w:rPr>
      </w:pPr>
      <w:r>
        <w:rPr>
          <w:rFonts w:ascii="Times New Roman" w:cs="Times New Roman" w:eastAsia="Times New Roman" w:hAnsi="Times New Roman"/>
          <w:sz w:val="18"/>
          <w:szCs w:val="18"/>
          <w:color w:val="auto"/>
        </w:rPr>
        <w:t>The undersigned hereby acknowledges that he or she has received and reviewed a copy of the Compensation Recoupment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Universal Electronics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November 13, 2023, as adopted by the Company’s Board of Directors.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such Policy, the undersigned hereby:</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he or she has been designated as (or assumed the position of) a Covered Officer (as defined in the Policy);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the Policy;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be bound by the terms of the Policy;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198" w:lineRule="exact"/>
        <w:rPr>
          <w:rFonts w:ascii="Times New Roman" w:cs="Times New Roman" w:eastAsia="Times New Roman" w:hAnsi="Times New Roman"/>
          <w:sz w:val="18"/>
          <w:szCs w:val="18"/>
          <w:color w:val="auto"/>
        </w:rPr>
      </w:pPr>
    </w:p>
    <w:p>
      <w:pPr>
        <w:ind w:left="980" w:right="20" w:hanging="324"/>
        <w:spacing w:after="0" w:line="237"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-119380</wp:posOffset>
            </wp:positionV>
            <wp:extent cx="685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0600"/>
      </w:cols>
      <w:pgMar w:left="320" w:top="140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04"/>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upperLetter"/>
      <w:start w:val="1"/>
    </w:lvl>
    <w:lvl w:ilvl="1">
      <w:lvlJc w:val="left"/>
      <w:lvlText w:val="%2."/>
      <w:numFmt w:val="upperLetter"/>
      <w:start w:val="1"/>
    </w:lvl>
  </w:abstractNum>
  <w:abstractNum w:abstractNumId="40">
    <w:nsid w:val="1CF10FD8"/>
    <w:multiLevelType w:val="hybridMultilevel"/>
    <w:lvl w:ilvl="0">
      <w:lvlJc w:val="left"/>
      <w:lvlText w:val="%1."/>
      <w:numFmt w:val="upperLetter"/>
      <w:start w:val="3"/>
    </w:lvl>
    <w:lvl w:ilvl="1">
      <w:lvlJc w:val="left"/>
      <w:lvlText w:val="%2"/>
      <w:numFmt w:val="upperLetter"/>
      <w:start w:val="1"/>
    </w:lvl>
  </w:abstractNum>
  <w:abstractNum w:abstractNumId="41">
    <w:nsid w:val="180115BE"/>
    <w:multiLevelType w:val="hybridMultilevel"/>
    <w:lvl w:ilvl="0">
      <w:lvlJc w:val="left"/>
      <w:lvlText w:val="%1."/>
      <w:numFmt w:val="decimal"/>
      <w:start w:val="1"/>
    </w:lvl>
    <w:lvl w:ilvl="1">
      <w:lvlJc w:val="left"/>
      <w:lvlText w:val="(%2)"/>
      <w:numFmt w:val="lowerLetter"/>
      <w:start w:val="1"/>
    </w:lvl>
  </w:abstractNum>
  <w:abstractNum w:abstractNumId="42">
    <w:nsid w:val="235BA861"/>
    <w:multiLevelType w:val="hybridMultilevel"/>
    <w:lvl w:ilvl="0">
      <w:lvlJc w:val="left"/>
      <w:lvlText w:val="(%1)"/>
      <w:numFmt w:val="lowerLetter"/>
      <w:start w:val="2"/>
    </w:lvl>
  </w:abstractNum>
  <w:abstractNum w:abstractNumId="43">
    <w:nsid w:val="47398C89"/>
    <w:multiLevelType w:val="hybridMultilevel"/>
    <w:lvl w:ilvl="0">
      <w:lvlJc w:val="left"/>
      <w:lvlText w:val="-"/>
      <w:numFmt w:val="bullet"/>
      <w:start w:val="1"/>
    </w:lvl>
    <w:lvl w:ilvl="1">
      <w:lvlJc w:val="left"/>
      <w:lvlText w:val="(%2)"/>
      <w:numFmt w:val="lowerLetter"/>
      <w:start w:val="4"/>
    </w:lvl>
  </w:abstractNum>
  <w:abstractNum w:abstractNumId="44">
    <w:nsid w:val="354FE9F9"/>
    <w:multiLevelType w:val="hybridMultilevel"/>
    <w:lvl w:ilvl="0">
      <w:lvlJc w:val="left"/>
      <w:lvlText w:val="(%1)"/>
      <w:numFmt w:val="lowerRoman"/>
      <w:start w:val="1"/>
    </w:lvl>
  </w:abstractNum>
  <w:abstractNum w:abstractNumId="45">
    <w:nsid w:val="15B5AF5C"/>
    <w:multiLevelType w:val="hybridMultilevel"/>
    <w:lvl w:ilvl="0">
      <w:lvlJc w:val="left"/>
      <w:lvlText w:val="(%1)"/>
      <w:numFmt w:val="lowerLetter"/>
      <w:start w:val="5"/>
    </w:lvl>
  </w:abstractNum>
  <w:abstractNum w:abstractNumId="46">
    <w:nsid w:val="741226BB"/>
    <w:multiLevelType w:val="hybridMultilevel"/>
    <w:lvl w:ilvl="0">
      <w:lvlJc w:val="left"/>
      <w:lvlText w:val="(%1)"/>
      <w:numFmt w:val="lowerLetter"/>
      <w:start w:val="6"/>
    </w:lvl>
  </w:abstractNum>
  <w:abstractNum w:abstractNumId="47">
    <w:nsid w:val="D34B6A8"/>
    <w:multiLevelType w:val="hybridMultilevel"/>
    <w:lvl w:ilvl="0">
      <w:lvlJc w:val="left"/>
      <w:lvlText w:val="(%1)"/>
      <w:numFmt w:val="lowerLetter"/>
      <w:start w:val="7"/>
    </w:lvl>
  </w:abstractNum>
  <w:abstractNum w:abstractNumId="48">
    <w:nsid w:val="10233C99"/>
    <w:multiLevelType w:val="hybridMultilevel"/>
    <w:lvl w:ilvl="0">
      <w:lvlJc w:val="left"/>
      <w:lvlText w:val="(%1)"/>
      <w:numFmt w:val="lowerLetter"/>
      <w:start w:val="8"/>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Roman"/>
      <w:start w:val="1"/>
    </w:lvl>
  </w:abstractNum>
  <w:abstractNum w:abstractNumId="51">
    <w:nsid w:val="7E0C57B1"/>
    <w:multiLevelType w:val="hybridMultilevel"/>
    <w:lvl w:ilvl="0">
      <w:lvlJc w:val="left"/>
      <w:lvlText w:val="%1"/>
      <w:numFmt w:val="lowerLetter"/>
      <w:start w:val="1"/>
    </w:lvl>
    <w:lvl w:ilvl="1">
      <w:lvlJc w:val="left"/>
      <w:lvlText w:val="(%2)"/>
      <w:numFmt w:val="lowerRoman"/>
      <w:start w:val="1"/>
    </w:lvl>
  </w:abstractNum>
  <w:abstractNum w:abstractNumId="52">
    <w:nsid w:val="77AE35EB"/>
    <w:multiLevelType w:val="hybridMultilevel"/>
    <w:lvl w:ilvl="0">
      <w:lvlJc w:val="left"/>
      <w:lvlText w:val="(%1)"/>
      <w:numFmt w:val="lowerLetter"/>
      <w:start w:val="10"/>
    </w:lvl>
    <w:lvl w:ilvl="1">
      <w:lvlJc w:val="left"/>
      <w:lvlText w:val="%2"/>
      <w:numFmt w:val="lowerRoman"/>
      <w:start w:val="1"/>
    </w:lvl>
  </w:abstractNum>
  <w:abstractNum w:abstractNumId="53">
    <w:nsid w:val="579BE4F1"/>
    <w:multiLevelType w:val="hybridMultilevel"/>
    <w:lvl w:ilvl="0">
      <w:lvlJc w:val="left"/>
      <w:lvlText w:val="(%1)"/>
      <w:numFmt w:val="lowerLetter"/>
      <w:start w:val="11"/>
    </w:lvl>
  </w:abstractNum>
  <w:abstractNum w:abstractNumId="54">
    <w:nsid w:val="310C50B3"/>
    <w:multiLevelType w:val="hybridMultilevel"/>
    <w:lvl w:ilvl="0">
      <w:lvlJc w:val="left"/>
      <w:lvlText w:val="-"/>
      <w:numFmt w:val="bullet"/>
      <w:start w:val="1"/>
    </w:lvl>
    <w:lvl w:ilvl="1">
      <w:lvlJc w:val="left"/>
      <w:lvlText w:val="%2"/>
      <w:numFmt w:val="decimal"/>
      <w:start w:val="1"/>
    </w:lvl>
    <w:lvl w:ilvl="2">
      <w:lvlJc w:val="left"/>
      <w:lvlText w:val="(%3)"/>
      <w:numFmt w:val="lowerLetter"/>
      <w:start w:val="12"/>
    </w:lvl>
  </w:abstractNum>
  <w:abstractNum w:abstractNumId="55">
    <w:nsid w:val="5FF87E0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6">
    <w:nsid w:val="2F305DE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6"/>
    </w:lvl>
  </w:abstractNum>
  <w:abstractNum w:abstractNumId="57">
    <w:nsid w:val="25A70BF7"/>
    <w:multiLevelType w:val="hybridMultilevel"/>
    <w:lvl w:ilvl="0">
      <w:lvlJc w:val="left"/>
      <w:lvlText w:val="%1."/>
      <w:numFmt w:val="decimal"/>
      <w:start w:val="8"/>
    </w:lvl>
    <w:lvl w:ilvl="1">
      <w:lvlJc w:val="left"/>
      <w:lvlText w:val="%2."/>
      <w:numFmt w:val="decimal"/>
      <w:start w:val="9"/>
    </w:lvl>
    <w:lvl w:ilvl="2">
      <w:lvlJc w:val="left"/>
      <w:lvlText w:val="%3."/>
      <w:numFmt w:val="decimal"/>
      <w:start w:val="10"/>
    </w:lvl>
    <w:lvl w:ilvl="3">
      <w:lvlJc w:val="left"/>
      <w:lvlText w:val="%4."/>
      <w:numFmt w:val="decimal"/>
      <w:start w:val="10"/>
    </w:lvl>
    <w:lvl w:ilvl="4">
      <w:lvlJc w:val="left"/>
      <w:lvlText w:val="%5"/>
      <w:numFmt w:val="decimal"/>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upperLetter"/>
      <w:start w:val="6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upperLetter"/>
      <w:start w:val="22"/>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decimal"/>
      <w:start w:val="1"/>
    </w:lvl>
    <w:lvl w:ilvl="1">
      <w:lvlJc w:val="left"/>
      <w:lvlText w:val="%2)"/>
      <w:numFmt w:val="lowerLetter"/>
      <w:start w:val="1"/>
    </w:lvl>
  </w:abstractNum>
  <w:abstractNum w:abstractNumId="66">
    <w:nsid w:val="5F5E7FD0"/>
    <w:multiLevelType w:val="hybridMultilevel"/>
    <w:lvl w:ilvl="0">
      <w:lvlJc w:val="left"/>
      <w:lvlText w:val="%1."/>
      <w:numFmt w:val="decimal"/>
      <w:start w:val="1"/>
    </w:lvl>
    <w:lvl w:ilvl="1">
      <w:lvlJc w:val="left"/>
      <w:lvlText w:val="%2)"/>
      <w:numFmt w:val="low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5"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jpe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04" Type="http://schemas.openxmlformats.org/officeDocument/2006/relationships/hyperlink" Target="http://www.sec.gov/Archives/edgar/data/101984/000010198418000008/a10k20171231-ex33.htm" TargetMode="External"/><Relationship Id="rId105" Type="http://schemas.openxmlformats.org/officeDocument/2006/relationships/hyperlink" Target="http://www.sec.gov/Archives/edgar/data/101984/000010198418000008/a10k20171231-ex34.htm" TargetMode="External"/><Relationship Id="rId106" Type="http://schemas.openxmlformats.org/officeDocument/2006/relationships/hyperlink" Target="https://www.sec.gov/Archives/edgar/data/101984/000010198420000009/a10k20191231-ex43.htm" TargetMode="External"/><Relationship Id="rId107" Type="http://schemas.openxmlformats.org/officeDocument/2006/relationships/hyperlink" Target="http://www.sec.gov/Archives/edgar/data/101984/0000950152-98-002736.txt" TargetMode="External"/><Relationship Id="rId108" Type="http://schemas.openxmlformats.org/officeDocument/2006/relationships/hyperlink" Target="http://www.sec.gov/Archives/edgar/data/101984/000095015004000338/a97327exv10w42.txt" TargetMode="External"/><Relationship Id="rId109" Type="http://schemas.openxmlformats.org/officeDocument/2006/relationships/hyperlink" Target="http://www.sec.gov/Archives/edgar/data/101984/000089256907000250/a27604exv10w28.txt" TargetMode="External"/><Relationship Id="rId110" Type="http://schemas.openxmlformats.org/officeDocument/2006/relationships/hyperlink" Target="http://www.sec.gov/Archives/edgar/data/101984/000095012311025838/a58948exv10w31.htm" TargetMode="External"/><Relationship Id="rId111" Type="http://schemas.openxmlformats.org/officeDocument/2006/relationships/hyperlink" Target="http://www.sec.gov/Archives/edgar/data/101984/000144530513000608/ueic-12312012xex1031.htm" TargetMode="External"/><Relationship Id="rId112" Type="http://schemas.openxmlformats.org/officeDocument/2006/relationships/hyperlink" Target="http://www.sec.gov/Archives/edgar/data/101984/000010198414000051/exhibit452014-08.htm" TargetMode="External"/><Relationship Id="rId113" Type="http://schemas.openxmlformats.org/officeDocument/2006/relationships/hyperlink" Target="http://www.sec.gov/Archives/edgar/data/101984/000010198414000051/exhibit462014-08.htm" TargetMode="External"/><Relationship Id="rId114" Type="http://schemas.openxmlformats.org/officeDocument/2006/relationships/hyperlink" Target="http://www.sec.gov/Archives/edgar/data/101984/000010198418000008/a10k20171231-ex1039.htm" TargetMode="External"/><Relationship Id="rId116" Type="http://schemas.openxmlformats.org/officeDocument/2006/relationships/hyperlink" Target="http://www.sec.gov/Archives/edgar/data/101984/000010198418000032/uei-06302018x10qxex101.htm" TargetMode="External"/><Relationship Id="rId117" Type="http://schemas.openxmlformats.org/officeDocument/2006/relationships/hyperlink" Target="http://www.sec.gov/Archives/edgar/data/101984/000010198418000038/exhibit452018-09.htm" TargetMode="External"/><Relationship Id="rId118" Type="http://schemas.openxmlformats.org/officeDocument/2006/relationships/hyperlink" Target="http://www.sec.gov/Archives/edgar/data/101984/000010198418000032/uei-0630201810qex105.htm" TargetMode="External"/><Relationship Id="rId119" Type="http://schemas.openxmlformats.org/officeDocument/2006/relationships/hyperlink" Target="http://www.sec.gov/Archives/edgar/data/101984/000010198418000032/uei-0630201810qex106.htm" TargetMode="External"/><Relationship Id="rId120" Type="http://schemas.openxmlformats.org/officeDocument/2006/relationships/hyperlink" Target="http://www.sec.gov/Archives/edgar/data/101984/000010198419000003/usb-secondamendmenttoueise.htm" TargetMode="External"/><Relationship Id="rId121" Type="http://schemas.openxmlformats.org/officeDocument/2006/relationships/hyperlink" Target="https://www.sec.gov/Archives/edgar/data/101984/000010198421000009/a10k20201231-ex1033.htm" TargetMode="External"/><Relationship Id="rId122" Type="http://schemas.openxmlformats.org/officeDocument/2006/relationships/hyperlink" Target="https://www.sec.gov/Archives/edgar/data/101984/000010198421000009/a10k20201231-ex1034.htm" TargetMode="External"/><Relationship Id="rId123" Type="http://schemas.openxmlformats.org/officeDocument/2006/relationships/hyperlink" Target="https://www.sec.gov/Archives/edgar/data/101984/000010198421000047/exhibit462021s-8.htm" TargetMode="External"/><Relationship Id="rId124" Type="http://schemas.openxmlformats.org/officeDocument/2006/relationships/hyperlink" Target="https://www.sec.gov/Archives/edgar/data/101984/000010198421000056/uei-10282021x8kxex101.htm" TargetMode="External"/><Relationship Id="rId125" Type="http://schemas.openxmlformats.org/officeDocument/2006/relationships/hyperlink" Target="https://www.sec.gov/Archives/edgar/data/101984/000010198421000056/uei-10282021x8kxex102.htm" TargetMode="External"/><Relationship Id="rId126" Type="http://schemas.openxmlformats.org/officeDocument/2006/relationships/hyperlink" Target="https://www.sec.gov/Archives/edgar/data/101984/000010198421000056/uei-10282021x8kxex103.htm" TargetMode="External"/><Relationship Id="rId127" Type="http://schemas.openxmlformats.org/officeDocument/2006/relationships/hyperlink" Target="https://www.sec.gov/Archives/edgar/data/101984/000010198423000027/uei-03312023x10qxex101.htm" TargetMode="External"/><Relationship Id="rId128" Type="http://schemas.openxmlformats.org/officeDocument/2006/relationships/hyperlink" Target="https://www.sec.gov/Archives/edgar/data/101984/000010198423000063/uei-12262023x8kx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2024-03-14T14:34:46Z</dcterms:created>
  <dcterms:modified xsi:type="dcterms:W3CDTF">2024-03-14T14:34:46Z</dcterms:modified>
</cp:coreProperties>
</file>