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UNIVERSAL ELECTRONICS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IAN ENGORON</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TORO 18 HOLDINGS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1,101,832.00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1,101,832.00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1,101,832.00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IMMERSION CORP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1,101,832.00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1,101,832.00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1,101,832.00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MARTIN WILLIAM 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1,101,832.00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1,101,832.00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1,101,832.00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8.6 %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Singer Eric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PF,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80,984.00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1,101,832.00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80,984.00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1,101,832.00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1,288,357.00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48"/>
        <w:gridCol w:w="9057"/>
      </w:tblGrid>
      <w:tr>
        <w:trPr/>
        <w:tc>
          <w:tcPr>
            <w:tcW w:w="1148" w:type="dxa"/>
            <w:tcBorders/>
            <w:vAlign w:val="center"/>
          </w:tcPr>
          <w:p>
            <w:pPr>
              <w:pStyle w:val="TableContents"/>
              <w:bidi w:val="0"/>
              <w:spacing w:before="0" w:after="283"/>
              <w:jc w:val="left"/>
              <w:rPr/>
            </w:pPr>
            <w:r>
              <w:rPr/>
              <w:t>Item 1.</w:t>
            </w:r>
          </w:p>
        </w:tc>
        <w:tc>
          <w:tcPr>
            <w:tcW w:w="9057" w:type="dxa"/>
            <w:tcBorders/>
            <w:vAlign w:val="center"/>
          </w:tcPr>
          <w:p>
            <w:pPr>
              <w:pStyle w:val="TableContents"/>
              <w:bidi w:val="0"/>
              <w:spacing w:before="0" w:after="283"/>
              <w:jc w:val="left"/>
              <w:rPr/>
            </w:pPr>
            <w:r>
              <w:rPr/>
              <w:t>Security and Issuer</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jc w:val="left"/>
              <w:rPr/>
            </w:pPr>
            <w:r>
              <w:rPr/>
              <w:t xml:space="preserve">Name of Issuer: </w:t>
            </w:r>
          </w:p>
          <w:p>
            <w:pPr>
              <w:pStyle w:val="TableContents"/>
              <w:bidi w:val="0"/>
              <w:spacing w:before="0" w:after="0"/>
              <w:jc w:val="left"/>
              <w:rPr/>
            </w:pPr>
            <w:r>
              <w:rPr/>
              <w:t>UNIVERSAL ELECTRONICS INC</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15147 N SCOTTSDALE RD, SUITE H300, SCOTTSDALE, ARIZONA , 85254.</w:t>
            </w:r>
          </w:p>
        </w:tc>
      </w:tr>
      <w:tr>
        <w:trPr/>
        <w:tc>
          <w:tcPr>
            <w:tcW w:w="1148" w:type="dxa"/>
            <w:tcBorders/>
            <w:vAlign w:val="center"/>
          </w:tcPr>
          <w:p>
            <w:pPr>
              <w:pStyle w:val="TableContents"/>
              <w:bidi w:val="0"/>
              <w:spacing w:before="0" w:after="283"/>
              <w:jc w:val="left"/>
              <w:rPr/>
            </w:pPr>
            <w:r>
              <w:rPr/>
              <w:t>Item 3.</w:t>
            </w:r>
          </w:p>
        </w:tc>
        <w:tc>
          <w:tcPr>
            <w:tcW w:w="9057" w:type="dxa"/>
            <w:tcBorders/>
            <w:vAlign w:val="center"/>
          </w:tcPr>
          <w:p>
            <w:pPr>
              <w:pStyle w:val="TableContents"/>
              <w:bidi w:val="0"/>
              <w:spacing w:before="0" w:after="283"/>
              <w:jc w:val="left"/>
              <w:rPr/>
            </w:pPr>
            <w:r>
              <w:rPr/>
              <w:t>Source and Amount of Funds or Other Consideration</w:t>
            </w:r>
          </w:p>
        </w:tc>
      </w:tr>
      <w:tr>
        <w:trPr/>
        <w:tc>
          <w:tcPr>
            <w:tcW w:w="1148" w:type="dxa"/>
            <w:tcBorders/>
            <w:vAlign w:val="center"/>
          </w:tcPr>
          <w:p>
            <w:pPr>
              <w:pStyle w:val="TableContents"/>
              <w:bidi w:val="0"/>
              <w:spacing w:before="0" w:after="283"/>
              <w:jc w:val="left"/>
              <w:rPr/>
            </w:pPr>
            <w:r>
              <w:rPr/>
              <w:t> </w:t>
            </w:r>
          </w:p>
        </w:tc>
        <w:tc>
          <w:tcPr>
            <w:tcW w:w="9057" w:type="dxa"/>
            <w:tcBorders/>
            <w:vAlign w:val="center"/>
          </w:tcPr>
          <w:p>
            <w:pPr>
              <w:pStyle w:val="TableContents"/>
              <w:bidi w:val="0"/>
              <w:spacing w:before="0" w:after="0"/>
              <w:jc w:val="left"/>
              <w:rPr/>
            </w:pPr>
            <w:r>
              <w:rPr/>
              <w:t>Item 3 is hereby amended and restated to read as follows: The Shares purchased by Toro 18 were purchased with working capital (which may, at any given time, include margin loans made by brokerage firms in the ordinary course of business) in open market purchases, except as otherwise noted. The aggregate purchase price of the 1,101,832 Shares directly beneficially owned by Toro 18 is approximately $9,759,633, including brokerage commissions. Of the 80,984 Shares directly beneficially owned by Mr. Singer, 32,094 Shares were awarded to him in connection with his service as a director of the Issuer and 48,890 Shares were purchased with personal funds on the open market for an aggregate purchase price of approximately $331,723, excluding brokerage commissions.</w:t>
            </w:r>
          </w:p>
        </w:tc>
      </w:tr>
      <w:tr>
        <w:trPr/>
        <w:tc>
          <w:tcPr>
            <w:tcW w:w="1148" w:type="dxa"/>
            <w:tcBorders/>
            <w:vAlign w:val="center"/>
          </w:tcPr>
          <w:p>
            <w:pPr>
              <w:pStyle w:val="TableContents"/>
              <w:bidi w:val="0"/>
              <w:spacing w:before="0" w:after="283"/>
              <w:jc w:val="left"/>
              <w:rPr/>
            </w:pPr>
            <w:r>
              <w:rPr/>
              <w:t>Item 5.</w:t>
            </w:r>
          </w:p>
        </w:tc>
        <w:tc>
          <w:tcPr>
            <w:tcW w:w="9057" w:type="dxa"/>
            <w:tcBorders/>
            <w:vAlign w:val="center"/>
          </w:tcPr>
          <w:p>
            <w:pPr>
              <w:pStyle w:val="TableContents"/>
              <w:bidi w:val="0"/>
              <w:spacing w:before="0" w:after="283"/>
              <w:jc w:val="left"/>
              <w:rPr/>
            </w:pPr>
            <w:r>
              <w:rPr/>
              <w:t>Interest in Securities of the Issuer</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spacing w:before="0" w:after="0"/>
              <w:jc w:val="left"/>
              <w:rPr/>
            </w:pPr>
            <w:r>
              <w:rPr/>
              <w:t>Item 5(a) is hereby amended and restated to read as follows: The aggregate percentage of Shares reported owned by each person named herein is based upon 12,885,062 Shares outstanding, as of August 3, 2026, which is the total number of Shares outstanding as reported in the Issuer's Quarterly Report on Form 10-Q filed with the Securities and Exchange Commission on August 6, 2026. A. Toro 18 As of the close of business on the date hereof, Toro 18 directly beneficially owned 1,101,832 Shares. Percentage: Approximately 8.6% B. Immersion As the sole member of Toro 18, Immersion may be deemed to beneficially own the 1,101,832 Shares owned by Toro 18. Percentage: Approximately 8.6% C. Mr. Martin As the Chief Strategy Officer of Toro 18, Mr. Martin may be deemed to beneficially own the 1,101,832 Shares owned by Toro 18. Percentage: Approximately 8.6% D. Mr. Singer As of the close of business on the date hereof, Mr. Singer directly beneficially owned 80,984 Shares. In addition, As President and Chief Executive Officer of Toro 18, Mr. Singer may be deemed to beneficially own the 1,101,832 Shares owned by Toro 18. Percentage: Approximately 9.2%</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spacing w:before="0" w:after="0"/>
              <w:jc w:val="left"/>
              <w:rPr/>
            </w:pPr>
            <w:r>
              <w:rPr/>
              <w:t>Item 5(b) is hereby amended and restated to read as follows: A. Toro 18 1. Sole power to vote or direct vote: 0 2. Shared power to vote or direct vote: 1,101,832 3. Sole power to dispose or direct the disposition: 0 4. Shared power to dispose or direct the disposition: 1,101,832 B. Immersion 1. Sole power to vote or direct vote: 0 2. Shared power to vote or direct vote: 1,101,832 3. Sole power to dispose or direct the disposition: 0 4. Shared power to dispose or direct the disposition: 1,101,832 C. Mr. Martin 1. Sole power to vote or direct vote: 0 2. Shared power to vote or direct vote: 1,101,832 3. Sole power to dispose or direct the disposition: 0 4. Shared power to dispose or direct the disposition: 1,101,832 D. Mr. Singer 1. Sole power to vote or direct vote: 80,984 2. Shared power to vote or direct vote: 1,101,832 3. Sole power to dispose or direct the disposition: 80,984 4. Shared power to dispose or direct the disposition: 1,101,832 The filing of this Schedule 13D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spacing w:before="0" w:after="0"/>
              <w:jc w:val="left"/>
              <w:rPr/>
            </w:pPr>
            <w:r>
              <w:rPr/>
              <w:t>Item 5(c) is hereby amended and restated to read as follows: The transactions in the securities of the Issuer by the Reporting Persons since the filing of Amendment no. 6 to the Schedule 13D are set forth in Exhibit 1 and are incorporated herein by reference.</w:t>
            </w:r>
          </w:p>
        </w:tc>
      </w:tr>
      <w:tr>
        <w:trPr/>
        <w:tc>
          <w:tcPr>
            <w:tcW w:w="1148" w:type="dxa"/>
            <w:tcBorders/>
            <w:vAlign w:val="center"/>
          </w:tcPr>
          <w:p>
            <w:pPr>
              <w:pStyle w:val="TableContents"/>
              <w:bidi w:val="0"/>
              <w:spacing w:before="0" w:after="283"/>
              <w:jc w:val="left"/>
              <w:rPr/>
            </w:pPr>
            <w:r>
              <w:rPr/>
              <w:t>Item 7.</w:t>
            </w:r>
          </w:p>
        </w:tc>
        <w:tc>
          <w:tcPr>
            <w:tcW w:w="9057" w:type="dxa"/>
            <w:tcBorders/>
            <w:vAlign w:val="center"/>
          </w:tcPr>
          <w:p>
            <w:pPr>
              <w:pStyle w:val="TableContents"/>
              <w:bidi w:val="0"/>
              <w:spacing w:before="0" w:after="283"/>
              <w:jc w:val="left"/>
              <w:rPr/>
            </w:pPr>
            <w:r>
              <w:rPr/>
              <w:t>Material to be Filed as Exhibits.</w:t>
            </w:r>
          </w:p>
        </w:tc>
      </w:tr>
      <w:tr>
        <w:trPr/>
        <w:tc>
          <w:tcPr>
            <w:tcW w:w="1148" w:type="dxa"/>
            <w:tcBorders/>
            <w:vAlign w:val="center"/>
          </w:tcPr>
          <w:p>
            <w:pPr>
              <w:pStyle w:val="TableContents"/>
              <w:bidi w:val="0"/>
              <w:spacing w:before="0" w:after="283"/>
              <w:jc w:val="left"/>
              <w:rPr/>
            </w:pPr>
            <w:r>
              <w:rPr/>
              <w:t> </w:t>
            </w:r>
          </w:p>
        </w:tc>
        <w:tc>
          <w:tcPr>
            <w:tcW w:w="9057" w:type="dxa"/>
            <w:tcBorders/>
            <w:vAlign w:val="center"/>
          </w:tcPr>
          <w:p>
            <w:pPr>
              <w:pStyle w:val="TableContents"/>
              <w:bidi w:val="0"/>
              <w:spacing w:before="0" w:after="0"/>
              <w:jc w:val="left"/>
              <w:rPr/>
            </w:pPr>
            <w:r>
              <w:rPr/>
              <w:t>Item 7 is hereby amended to add the following exhibit: 1 - Transactions in Securities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TORO 18 HOLDINGS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6"/>
        <w:gridCol w:w="4449"/>
      </w:tblGrid>
      <w:tr>
        <w:trPr/>
        <w:tc>
          <w:tcPr>
            <w:tcW w:w="57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Eric Singer</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Eric Singer, President and CEO</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49"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IMMERSION CORP</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Eric Singer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Eric Singer, President, CEO and Chairman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MARTIN WILLIAM 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William C. Martin</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William C. Martin</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2700" w:type="dxa"/>
        <w:jc w:val="left"/>
        <w:tblInd w:w="0" w:type="dxa"/>
        <w:tblLayout w:type="fixed"/>
        <w:tblCellMar>
          <w:top w:w="28" w:type="dxa"/>
          <w:left w:w="28" w:type="dxa"/>
          <w:bottom w:w="28" w:type="dxa"/>
          <w:right w:w="28" w:type="dxa"/>
        </w:tblCellMar>
      </w:tblPr>
      <w:tblGrid>
        <w:gridCol w:w="1350"/>
        <w:gridCol w:w="1350"/>
      </w:tblGrid>
      <w:tr>
        <w:trPr/>
        <w:tc>
          <w:tcPr>
            <w:tcW w:w="1350" w:type="dxa"/>
            <w:tcBorders/>
            <w:vAlign w:val="center"/>
          </w:tcPr>
          <w:p>
            <w:pPr>
              <w:pStyle w:val="TableContents"/>
              <w:bidi w:val="0"/>
              <w:spacing w:before="0" w:after="0"/>
              <w:jc w:val="left"/>
              <w:rPr/>
            </w:pPr>
            <w:r>
              <w:rPr/>
              <w:t> </w:t>
            </w:r>
          </w:p>
          <w:tbl>
            <w:tblPr>
              <w:tblW w:w="1231" w:type="dxa"/>
              <w:jc w:val="left"/>
              <w:tblInd w:w="0" w:type="dxa"/>
              <w:tblLayout w:type="fixed"/>
              <w:tblCellMar>
                <w:top w:w="28" w:type="dxa"/>
                <w:left w:w="28" w:type="dxa"/>
                <w:bottom w:w="28" w:type="dxa"/>
                <w:right w:w="28" w:type="dxa"/>
              </w:tblCellMar>
            </w:tblPr>
            <w:tblGrid>
              <w:gridCol w:w="1231"/>
            </w:tblGrid>
            <w:tr>
              <w:trPr/>
              <w:tc>
                <w:tcPr>
                  <w:tcW w:w="1231" w:type="dxa"/>
                  <w:tcBorders/>
                  <w:vAlign w:val="center"/>
                </w:tcPr>
                <w:p>
                  <w:pPr>
                    <w:pStyle w:val="TableContents"/>
                    <w:bidi w:val="0"/>
                    <w:spacing w:before="0" w:after="0"/>
                    <w:jc w:val="left"/>
                    <w:rPr/>
                  </w:pPr>
                  <w:r>
                    <w:rPr/>
                    <w:t>Singer Eric</w:t>
                  </w:r>
                </w:p>
              </w:tc>
            </w:tr>
          </w:tbl>
          <w:p>
            <w:pPr>
              <w:pStyle w:val="TableContents"/>
              <w:bidi w:val="0"/>
              <w:spacing w:before="0" w:after="283"/>
              <w:jc w:val="left"/>
              <w:rPr/>
            </w:pPr>
            <w:r>
              <w:rPr/>
            </w:r>
          </w:p>
        </w:tc>
        <w:tc>
          <w:tcPr>
            <w:tcW w:w="1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8"/>
        <w:gridCol w:w="4467"/>
      </w:tblGrid>
      <w:tr>
        <w:trPr/>
        <w:tc>
          <w:tcPr>
            <w:tcW w:w="57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Eric Singer</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Eric Singer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26" w:name="ex1to13da713446008_091126.htm"/>
      <w:bookmarkStart w:id="27" w:name="ksex1to13da713446008_091126"/>
      <w:bookmarkEnd w:id="26"/>
      <w:bookmarkEnd w:id="27"/>
      <w:r>
        <w:rPr>
          <w:rFonts w:ascii="Times New Roman;Times;Serif" w:hAnsi="Times New Roman;Times;Serif"/>
          <w:b w:val="false"/>
          <w:i w:val="false"/>
          <w:caps w:val="false"/>
          <w:smallCaps w:val="false"/>
          <w:sz w:val="20"/>
        </w:rPr>
        <w:t>Exhibit 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Securities of the Issuer Since the Filing of Amendment No. 6</w:t>
        <w:br/>
        <w:t>to the Schedule 13D</w:t>
      </w:r>
    </w:p>
    <w:tbl>
      <w:tblPr>
        <w:tblW w:w="5570" w:type="dxa"/>
        <w:jc w:val="left"/>
        <w:tblInd w:w="0" w:type="dxa"/>
        <w:tblLayout w:type="fixed"/>
        <w:tblCellMar>
          <w:top w:w="0" w:type="dxa"/>
          <w:left w:w="0" w:type="dxa"/>
          <w:bottom w:w="0" w:type="dxa"/>
          <w:right w:w="0" w:type="dxa"/>
        </w:tblCellMar>
      </w:tblPr>
      <w:tblGrid>
        <w:gridCol w:w="2090"/>
        <w:gridCol w:w="1400"/>
        <w:gridCol w:w="920"/>
        <w:gridCol w:w="1160"/>
      </w:tblGrid>
      <w:tr>
        <w:trPr/>
        <w:tc>
          <w:tcPr>
            <w:tcW w:w="20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Nature of the Transaction</w:t>
            </w:r>
          </w:p>
        </w:tc>
        <w:tc>
          <w:tcPr>
            <w:tcW w:w="140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Purchased/(Sold)</w:t>
            </w:r>
          </w:p>
        </w:tc>
        <w:tc>
          <w:tcPr>
            <w:tcW w:w="92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Per</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Security($)</w:t>
            </w:r>
          </w:p>
        </w:tc>
        <w:tc>
          <w:tcPr>
            <w:tcW w:w="116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Purchase/Sale</w:t>
            </w:r>
          </w:p>
        </w:tc>
      </w:tr>
    </w:tbl>
    <w:p>
      <w:pPr>
        <w:pStyle w:val="TextBody"/>
        <w:bidi w:val="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TORO 18 HOLDINGS LLC</w:t>
      </w:r>
    </w:p>
    <w:tbl>
      <w:tblPr>
        <w:tblW w:w="5090" w:type="dxa"/>
        <w:jc w:val="left"/>
        <w:tblInd w:w="0" w:type="dxa"/>
        <w:tblLayout w:type="fixed"/>
        <w:tblCellMar>
          <w:top w:w="0" w:type="dxa"/>
          <w:left w:w="0" w:type="dxa"/>
          <w:bottom w:w="0" w:type="dxa"/>
          <w:right w:w="0" w:type="dxa"/>
        </w:tblCellMar>
      </w:tblPr>
      <w:tblGrid>
        <w:gridCol w:w="2345"/>
        <w:gridCol w:w="950"/>
        <w:gridCol w:w="680"/>
        <w:gridCol w:w="1115"/>
      </w:tblGrid>
      <w:tr>
        <w:trPr/>
        <w:tc>
          <w:tcPr>
            <w:tcW w:w="2345" w:type="dxa"/>
            <w:tcBorders/>
            <w:shd w:fill="CCEEFF" w:val="clear"/>
            <w:vAlign w:val="center"/>
          </w:tcPr>
          <w:p>
            <w:pPr>
              <w:pStyle w:val="TableContents"/>
              <w:bidi w:val="0"/>
              <w:spacing w:before="0" w:after="283"/>
              <w:jc w:val="left"/>
              <w:rPr/>
            </w:pPr>
            <w:r>
              <w:rPr/>
              <w:t>Sale of Common Stock</w:t>
            </w:r>
            <w:r>
              <w:rPr>
                <w:position w:val="8"/>
                <w:sz w:val="19"/>
                <w:sz w:val="24"/>
              </w:rPr>
              <w:t>1</w:t>
            </w:r>
          </w:p>
        </w:tc>
        <w:tc>
          <w:tcPr>
            <w:tcW w:w="950" w:type="dxa"/>
            <w:tcBorders/>
            <w:shd w:fill="CCEEFF" w:val="clear"/>
            <w:vAlign w:val="center"/>
          </w:tcPr>
          <w:p>
            <w:pPr>
              <w:pStyle w:val="TableContents"/>
              <w:bidi w:val="0"/>
              <w:spacing w:before="0" w:after="283"/>
              <w:jc w:val="center"/>
              <w:rPr/>
            </w:pPr>
            <w:r>
              <w:rPr/>
              <w:t>(43,596)</w:t>
            </w:r>
          </w:p>
        </w:tc>
        <w:tc>
          <w:tcPr>
            <w:tcW w:w="680" w:type="dxa"/>
            <w:tcBorders/>
            <w:shd w:fill="CCEEFF" w:val="clear"/>
            <w:vAlign w:val="center"/>
          </w:tcPr>
          <w:p>
            <w:pPr>
              <w:pStyle w:val="TableContents"/>
              <w:bidi w:val="0"/>
              <w:spacing w:before="0" w:after="283"/>
              <w:jc w:val="center"/>
              <w:rPr/>
            </w:pPr>
            <w:r>
              <w:rPr/>
              <w:t>5.2480</w:t>
            </w:r>
          </w:p>
        </w:tc>
        <w:tc>
          <w:tcPr>
            <w:tcW w:w="1115" w:type="dxa"/>
            <w:tcBorders/>
            <w:shd w:fill="CCEEFF" w:val="clear"/>
            <w:vAlign w:val="center"/>
          </w:tcPr>
          <w:p>
            <w:pPr>
              <w:pStyle w:val="TableContents"/>
              <w:bidi w:val="0"/>
              <w:spacing w:before="0" w:after="283"/>
              <w:jc w:val="center"/>
              <w:rPr/>
            </w:pPr>
            <w:r>
              <w:rPr/>
              <w:t>08/17/2026</w:t>
            </w:r>
          </w:p>
        </w:tc>
      </w:tr>
      <w:tr>
        <w:trPr/>
        <w:tc>
          <w:tcPr>
            <w:tcW w:w="2345" w:type="dxa"/>
            <w:tcBorders/>
            <w:shd w:fill="FFFFFF" w:val="clear"/>
            <w:vAlign w:val="center"/>
          </w:tcPr>
          <w:p>
            <w:pPr>
              <w:pStyle w:val="TableContents"/>
              <w:bidi w:val="0"/>
              <w:spacing w:before="0" w:after="283"/>
              <w:jc w:val="left"/>
              <w:rPr/>
            </w:pPr>
            <w:r>
              <w:rPr/>
              <w:t>Sale of Common Stock</w:t>
            </w:r>
            <w:r>
              <w:rPr>
                <w:position w:val="8"/>
                <w:sz w:val="19"/>
                <w:sz w:val="24"/>
              </w:rPr>
              <w:t>2</w:t>
            </w:r>
          </w:p>
        </w:tc>
        <w:tc>
          <w:tcPr>
            <w:tcW w:w="950" w:type="dxa"/>
            <w:tcBorders/>
            <w:shd w:fill="FFFFFF" w:val="clear"/>
            <w:vAlign w:val="center"/>
          </w:tcPr>
          <w:p>
            <w:pPr>
              <w:pStyle w:val="TableContents"/>
              <w:bidi w:val="0"/>
              <w:spacing w:before="0" w:after="283"/>
              <w:jc w:val="center"/>
              <w:rPr/>
            </w:pPr>
            <w:r>
              <w:rPr/>
              <w:t>(15,000)</w:t>
            </w:r>
          </w:p>
        </w:tc>
        <w:tc>
          <w:tcPr>
            <w:tcW w:w="680" w:type="dxa"/>
            <w:tcBorders/>
            <w:shd w:fill="FFFFFF" w:val="clear"/>
            <w:vAlign w:val="center"/>
          </w:tcPr>
          <w:p>
            <w:pPr>
              <w:pStyle w:val="TableContents"/>
              <w:bidi w:val="0"/>
              <w:spacing w:before="0" w:after="283"/>
              <w:jc w:val="center"/>
              <w:rPr/>
            </w:pPr>
            <w:r>
              <w:rPr/>
              <w:t>4.9463</w:t>
            </w:r>
          </w:p>
        </w:tc>
        <w:tc>
          <w:tcPr>
            <w:tcW w:w="1115" w:type="dxa"/>
            <w:tcBorders/>
            <w:shd w:fill="FFFFFF" w:val="clear"/>
            <w:vAlign w:val="center"/>
          </w:tcPr>
          <w:p>
            <w:pPr>
              <w:pStyle w:val="TableContents"/>
              <w:bidi w:val="0"/>
              <w:spacing w:before="0" w:after="283"/>
              <w:jc w:val="center"/>
              <w:rPr/>
            </w:pPr>
            <w:r>
              <w:rPr/>
              <w:t>08/18/2026</w:t>
            </w:r>
          </w:p>
        </w:tc>
      </w:tr>
      <w:tr>
        <w:trPr/>
        <w:tc>
          <w:tcPr>
            <w:tcW w:w="2345" w:type="dxa"/>
            <w:tcBorders/>
            <w:shd w:fill="CCEEFF" w:val="clear"/>
            <w:vAlign w:val="center"/>
          </w:tcPr>
          <w:p>
            <w:pPr>
              <w:pStyle w:val="TableContents"/>
              <w:bidi w:val="0"/>
              <w:spacing w:before="0" w:after="283"/>
              <w:jc w:val="left"/>
              <w:rPr/>
            </w:pPr>
            <w:r>
              <w:rPr/>
              <w:t>Sale of Common Stock</w:t>
            </w:r>
            <w:r>
              <w:rPr>
                <w:position w:val="8"/>
                <w:sz w:val="19"/>
                <w:sz w:val="24"/>
              </w:rPr>
              <w:t>3</w:t>
            </w:r>
          </w:p>
        </w:tc>
        <w:tc>
          <w:tcPr>
            <w:tcW w:w="950" w:type="dxa"/>
            <w:tcBorders/>
            <w:shd w:fill="CCEEFF" w:val="clear"/>
            <w:vAlign w:val="center"/>
          </w:tcPr>
          <w:p>
            <w:pPr>
              <w:pStyle w:val="TableContents"/>
              <w:bidi w:val="0"/>
              <w:spacing w:before="0" w:after="283"/>
              <w:jc w:val="center"/>
              <w:rPr/>
            </w:pPr>
            <w:r>
              <w:rPr/>
              <w:t>(8,300)</w:t>
            </w:r>
          </w:p>
        </w:tc>
        <w:tc>
          <w:tcPr>
            <w:tcW w:w="680" w:type="dxa"/>
            <w:tcBorders/>
            <w:shd w:fill="CCEEFF" w:val="clear"/>
            <w:vAlign w:val="center"/>
          </w:tcPr>
          <w:p>
            <w:pPr>
              <w:pStyle w:val="TableContents"/>
              <w:bidi w:val="0"/>
              <w:spacing w:before="0" w:after="283"/>
              <w:jc w:val="center"/>
              <w:rPr/>
            </w:pPr>
            <w:r>
              <w:rPr/>
              <w:t>4.8289</w:t>
            </w:r>
          </w:p>
        </w:tc>
        <w:tc>
          <w:tcPr>
            <w:tcW w:w="1115" w:type="dxa"/>
            <w:tcBorders/>
            <w:shd w:fill="CCEEFF" w:val="clear"/>
            <w:vAlign w:val="center"/>
          </w:tcPr>
          <w:p>
            <w:pPr>
              <w:pStyle w:val="TableContents"/>
              <w:bidi w:val="0"/>
              <w:spacing w:before="0" w:after="283"/>
              <w:jc w:val="center"/>
              <w:rPr/>
            </w:pPr>
            <w:r>
              <w:rPr/>
              <w:t>08/19/2026</w:t>
            </w:r>
          </w:p>
        </w:tc>
      </w:tr>
      <w:tr>
        <w:trPr/>
        <w:tc>
          <w:tcPr>
            <w:tcW w:w="2345" w:type="dxa"/>
            <w:tcBorders/>
            <w:shd w:fill="FFFFFF" w:val="clear"/>
            <w:vAlign w:val="center"/>
          </w:tcPr>
          <w:p>
            <w:pPr>
              <w:pStyle w:val="TableContents"/>
              <w:bidi w:val="0"/>
              <w:spacing w:before="0" w:after="283"/>
              <w:jc w:val="left"/>
              <w:rPr/>
            </w:pPr>
            <w:r>
              <w:rPr/>
              <w:t>Sale of Common Stock</w:t>
            </w:r>
            <w:r>
              <w:rPr>
                <w:position w:val="8"/>
                <w:sz w:val="19"/>
                <w:sz w:val="24"/>
              </w:rPr>
              <w:t>4</w:t>
            </w:r>
          </w:p>
        </w:tc>
        <w:tc>
          <w:tcPr>
            <w:tcW w:w="950" w:type="dxa"/>
            <w:tcBorders/>
            <w:shd w:fill="FFFFFF" w:val="clear"/>
            <w:vAlign w:val="center"/>
          </w:tcPr>
          <w:p>
            <w:pPr>
              <w:pStyle w:val="TableContents"/>
              <w:bidi w:val="0"/>
              <w:spacing w:before="0" w:after="283"/>
              <w:jc w:val="center"/>
              <w:rPr/>
            </w:pPr>
            <w:r>
              <w:rPr/>
              <w:t>(42,019)</w:t>
            </w:r>
          </w:p>
        </w:tc>
        <w:tc>
          <w:tcPr>
            <w:tcW w:w="680" w:type="dxa"/>
            <w:tcBorders/>
            <w:shd w:fill="FFFFFF" w:val="clear"/>
            <w:vAlign w:val="center"/>
          </w:tcPr>
          <w:p>
            <w:pPr>
              <w:pStyle w:val="TableContents"/>
              <w:bidi w:val="0"/>
              <w:spacing w:before="0" w:after="283"/>
              <w:jc w:val="center"/>
              <w:rPr/>
            </w:pPr>
            <w:r>
              <w:rPr/>
              <w:t>4.6144</w:t>
            </w:r>
          </w:p>
        </w:tc>
        <w:tc>
          <w:tcPr>
            <w:tcW w:w="1115" w:type="dxa"/>
            <w:tcBorders/>
            <w:shd w:fill="FFFFFF" w:val="clear"/>
            <w:vAlign w:val="center"/>
          </w:tcPr>
          <w:p>
            <w:pPr>
              <w:pStyle w:val="TableContents"/>
              <w:bidi w:val="0"/>
              <w:spacing w:before="0" w:after="283"/>
              <w:jc w:val="center"/>
              <w:rPr/>
            </w:pPr>
            <w:r>
              <w:rPr/>
              <w:t>09/02/2026</w:t>
            </w:r>
          </w:p>
        </w:tc>
      </w:tr>
      <w:tr>
        <w:trPr/>
        <w:tc>
          <w:tcPr>
            <w:tcW w:w="2345" w:type="dxa"/>
            <w:tcBorders/>
            <w:shd w:fill="CCEEFF" w:val="clear"/>
            <w:vAlign w:val="center"/>
          </w:tcPr>
          <w:p>
            <w:pPr>
              <w:pStyle w:val="TableContents"/>
              <w:bidi w:val="0"/>
              <w:spacing w:before="0" w:after="283"/>
              <w:jc w:val="left"/>
              <w:rPr/>
            </w:pPr>
            <w:r>
              <w:rPr/>
              <w:t>Sale of Common Stock</w:t>
            </w:r>
            <w:r>
              <w:rPr>
                <w:position w:val="8"/>
                <w:sz w:val="19"/>
                <w:sz w:val="24"/>
              </w:rPr>
              <w:t>5</w:t>
            </w:r>
          </w:p>
        </w:tc>
        <w:tc>
          <w:tcPr>
            <w:tcW w:w="950" w:type="dxa"/>
            <w:tcBorders/>
            <w:shd w:fill="CCEEFF" w:val="clear"/>
            <w:vAlign w:val="center"/>
          </w:tcPr>
          <w:p>
            <w:pPr>
              <w:pStyle w:val="TableContents"/>
              <w:bidi w:val="0"/>
              <w:spacing w:before="0" w:after="283"/>
              <w:jc w:val="center"/>
              <w:rPr/>
            </w:pPr>
            <w:r>
              <w:rPr/>
              <w:t>(3,900)</w:t>
            </w:r>
          </w:p>
        </w:tc>
        <w:tc>
          <w:tcPr>
            <w:tcW w:w="680" w:type="dxa"/>
            <w:tcBorders/>
            <w:shd w:fill="CCEEFF" w:val="clear"/>
            <w:vAlign w:val="center"/>
          </w:tcPr>
          <w:p>
            <w:pPr>
              <w:pStyle w:val="TableContents"/>
              <w:bidi w:val="0"/>
              <w:spacing w:before="0" w:after="283"/>
              <w:jc w:val="center"/>
              <w:rPr/>
            </w:pPr>
            <w:r>
              <w:rPr/>
              <w:t>4.5532</w:t>
            </w:r>
          </w:p>
        </w:tc>
        <w:tc>
          <w:tcPr>
            <w:tcW w:w="1115" w:type="dxa"/>
            <w:tcBorders/>
            <w:shd w:fill="CCEEFF" w:val="clear"/>
            <w:vAlign w:val="center"/>
          </w:tcPr>
          <w:p>
            <w:pPr>
              <w:pStyle w:val="TableContents"/>
              <w:bidi w:val="0"/>
              <w:spacing w:before="0" w:after="283"/>
              <w:jc w:val="center"/>
              <w:rPr/>
            </w:pPr>
            <w:r>
              <w:rPr/>
              <w:t>09/03/2026</w:t>
            </w:r>
          </w:p>
        </w:tc>
      </w:tr>
      <w:tr>
        <w:trPr/>
        <w:tc>
          <w:tcPr>
            <w:tcW w:w="2345" w:type="dxa"/>
            <w:tcBorders/>
            <w:shd w:fill="FFFFFF" w:val="clear"/>
            <w:vAlign w:val="center"/>
          </w:tcPr>
          <w:p>
            <w:pPr>
              <w:pStyle w:val="TableContents"/>
              <w:bidi w:val="0"/>
              <w:spacing w:before="0" w:after="283"/>
              <w:jc w:val="left"/>
              <w:rPr/>
            </w:pPr>
            <w:r>
              <w:rPr/>
              <w:t>Sale of Common Stock</w:t>
            </w:r>
            <w:r>
              <w:rPr>
                <w:position w:val="8"/>
                <w:sz w:val="19"/>
                <w:sz w:val="24"/>
              </w:rPr>
              <w:t>6</w:t>
            </w:r>
          </w:p>
        </w:tc>
        <w:tc>
          <w:tcPr>
            <w:tcW w:w="950" w:type="dxa"/>
            <w:tcBorders/>
            <w:shd w:fill="FFFFFF" w:val="clear"/>
            <w:vAlign w:val="center"/>
          </w:tcPr>
          <w:p>
            <w:pPr>
              <w:pStyle w:val="TableContents"/>
              <w:bidi w:val="0"/>
              <w:spacing w:before="0" w:after="283"/>
              <w:jc w:val="center"/>
              <w:rPr/>
            </w:pPr>
            <w:r>
              <w:rPr/>
              <w:t>(24,459)</w:t>
            </w:r>
          </w:p>
        </w:tc>
        <w:tc>
          <w:tcPr>
            <w:tcW w:w="680" w:type="dxa"/>
            <w:tcBorders/>
            <w:shd w:fill="FFFFFF" w:val="clear"/>
            <w:vAlign w:val="center"/>
          </w:tcPr>
          <w:p>
            <w:pPr>
              <w:pStyle w:val="TableContents"/>
              <w:bidi w:val="0"/>
              <w:spacing w:before="0" w:after="283"/>
              <w:jc w:val="center"/>
              <w:rPr/>
            </w:pPr>
            <w:r>
              <w:rPr/>
              <w:t>4.6649</w:t>
            </w:r>
          </w:p>
        </w:tc>
        <w:tc>
          <w:tcPr>
            <w:tcW w:w="1115" w:type="dxa"/>
            <w:tcBorders/>
            <w:shd w:fill="FFFFFF" w:val="clear"/>
            <w:vAlign w:val="center"/>
          </w:tcPr>
          <w:p>
            <w:pPr>
              <w:pStyle w:val="TableContents"/>
              <w:bidi w:val="0"/>
              <w:spacing w:before="0" w:after="283"/>
              <w:jc w:val="center"/>
              <w:rPr/>
            </w:pPr>
            <w:r>
              <w:rPr/>
              <w:t>09/10/2026</w:t>
            </w:r>
          </w:p>
        </w:tc>
      </w:tr>
      <w:tr>
        <w:trPr/>
        <w:tc>
          <w:tcPr>
            <w:tcW w:w="2345" w:type="dxa"/>
            <w:tcBorders/>
            <w:shd w:fill="CCEEFF" w:val="clear"/>
            <w:vAlign w:val="center"/>
          </w:tcPr>
          <w:p>
            <w:pPr>
              <w:pStyle w:val="TableContents"/>
              <w:bidi w:val="0"/>
              <w:spacing w:before="0" w:after="283"/>
              <w:jc w:val="left"/>
              <w:rPr/>
            </w:pPr>
            <w:r>
              <w:rPr/>
              <w:t>Sale of Common Stock</w:t>
            </w:r>
            <w:r>
              <w:rPr>
                <w:position w:val="8"/>
                <w:sz w:val="19"/>
                <w:sz w:val="24"/>
              </w:rPr>
              <w:t>7</w:t>
            </w:r>
          </w:p>
        </w:tc>
        <w:tc>
          <w:tcPr>
            <w:tcW w:w="950" w:type="dxa"/>
            <w:tcBorders/>
            <w:shd w:fill="CCEEFF" w:val="clear"/>
            <w:vAlign w:val="center"/>
          </w:tcPr>
          <w:p>
            <w:pPr>
              <w:pStyle w:val="TableContents"/>
              <w:bidi w:val="0"/>
              <w:spacing w:before="0" w:after="283"/>
              <w:jc w:val="center"/>
              <w:rPr/>
            </w:pPr>
            <w:r>
              <w:rPr/>
              <w:t>(105,541)</w:t>
            </w:r>
          </w:p>
        </w:tc>
        <w:tc>
          <w:tcPr>
            <w:tcW w:w="680" w:type="dxa"/>
            <w:tcBorders/>
            <w:shd w:fill="CCEEFF" w:val="clear"/>
            <w:vAlign w:val="center"/>
          </w:tcPr>
          <w:p>
            <w:pPr>
              <w:pStyle w:val="TableContents"/>
              <w:bidi w:val="0"/>
              <w:spacing w:before="0" w:after="283"/>
              <w:jc w:val="center"/>
              <w:rPr/>
            </w:pPr>
            <w:r>
              <w:rPr/>
              <w:t>4.6302</w:t>
            </w:r>
          </w:p>
        </w:tc>
        <w:tc>
          <w:tcPr>
            <w:tcW w:w="1115" w:type="dxa"/>
            <w:tcBorders/>
            <w:shd w:fill="CCEEFF" w:val="clear"/>
            <w:vAlign w:val="center"/>
          </w:tcPr>
          <w:p>
            <w:pPr>
              <w:pStyle w:val="TableContents"/>
              <w:bidi w:val="0"/>
              <w:spacing w:before="0" w:after="283"/>
              <w:jc w:val="center"/>
              <w:rPr/>
            </w:pPr>
            <w:r>
              <w:rPr/>
              <w:t>09/11/2026</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8"/>
          <w:sz w:val="19"/>
          <w:sz w:val="24"/>
        </w:rPr>
        <w:t>1</w:t>
      </w:r>
      <w:r>
        <w:rPr>
          <w:rFonts w:ascii="Times New Roman;Times;Serif" w:hAnsi="Times New Roman;Times;Serif"/>
          <w:b w:val="false"/>
          <w:i w:val="false"/>
          <w:caps w:val="false"/>
          <w:smallCaps w:val="false"/>
          <w:sz w:val="20"/>
        </w:rPr>
        <w:t xml:space="preserve"> This represents the weighted average sale price of the shares sold. The sale prices ranged from $5.12 to $5.57. The Reporting Persons undertake to provide the Issuer, any security holder of the Issuer, or the staff of the Securities and Exchange Commission, upon request, full information regarding the number of shares at each separate price within the range set forth in the immediately preceding sentence.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8"/>
          <w:sz w:val="19"/>
          <w:sz w:val="24"/>
        </w:rPr>
        <w:t>2</w:t>
      </w:r>
      <w:r>
        <w:rPr>
          <w:rFonts w:ascii="Times New Roman;Times;Serif" w:hAnsi="Times New Roman;Times;Serif"/>
          <w:b w:val="false"/>
          <w:i w:val="false"/>
          <w:caps w:val="false"/>
          <w:smallCaps w:val="false"/>
          <w:sz w:val="20"/>
        </w:rPr>
        <w:t xml:space="preserve"> This represents the weighted average sale price of the shares sold. The sale prices ranged from $4.82 to $5.205. The Reporting Persons undertake to provide the Issuer, any security holder of the Issuer, or the staff of the Securities and Exchange Commission, upon request, full information regarding the number of shares at each separate price within the range set forth in the immediately preceding sentence.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8"/>
          <w:sz w:val="19"/>
          <w:sz w:val="24"/>
        </w:rPr>
        <w:t>3</w:t>
      </w:r>
      <w:r>
        <w:rPr>
          <w:rFonts w:ascii="Times New Roman;Times;Serif" w:hAnsi="Times New Roman;Times;Serif"/>
          <w:b w:val="false"/>
          <w:i w:val="false"/>
          <w:caps w:val="false"/>
          <w:smallCaps w:val="false"/>
          <w:sz w:val="20"/>
        </w:rPr>
        <w:t xml:space="preserve"> This represents the weighted average sale price of the shares sold. The sale prices ranged from $4.81 to $4.89. The Reporting Persons undertake to provide the Issuer, any security holder of the Issuer, or the staff of the Securities and Exchange Commission, upon request, full information regarding the number of shares at each separate price within the range set forth in the immediately preceding sentence.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8"/>
          <w:sz w:val="19"/>
          <w:sz w:val="24"/>
        </w:rPr>
        <w:t>4</w:t>
      </w:r>
      <w:r>
        <w:rPr>
          <w:rFonts w:ascii="Times New Roman;Times;Serif" w:hAnsi="Times New Roman;Times;Serif"/>
          <w:b w:val="false"/>
          <w:i w:val="false"/>
          <w:caps w:val="false"/>
          <w:smallCaps w:val="false"/>
          <w:sz w:val="20"/>
        </w:rPr>
        <w:t xml:space="preserve"> This represents the weighted average sale price of the shares sold. The sale prices ranged from $4.54 to $4.78. The Reporting Persons undertake to provide the Issuer, any security holder of the Issuer, or the staff of the Securities and Exchange Commission, upon request, full information regarding the number of shares at each separate price within the range set forth in the immediately preceding sentence.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8"/>
          <w:sz w:val="19"/>
          <w:sz w:val="24"/>
        </w:rPr>
        <w:t>5</w:t>
      </w:r>
      <w:r>
        <w:rPr>
          <w:rFonts w:ascii="Times New Roman;Times;Serif" w:hAnsi="Times New Roman;Times;Serif"/>
          <w:b w:val="false"/>
          <w:i w:val="false"/>
          <w:caps w:val="false"/>
          <w:smallCaps w:val="false"/>
          <w:sz w:val="20"/>
        </w:rPr>
        <w:t xml:space="preserve"> This represents the weighted average sale price of the shares sold. The sale prices ranged from $4.55 to $4.56. The Reporting Persons undertake to provide the Issuer, any security holder of the Issuer, or the staff of the Securities and Exchange Commission, upon request, full information regarding the number of shares at each separate price within the range set forth in the immediately preceding sentence.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8"/>
          <w:sz w:val="19"/>
          <w:sz w:val="24"/>
        </w:rPr>
        <w:t>6</w:t>
      </w:r>
      <w:r>
        <w:rPr>
          <w:rFonts w:ascii="Times New Roman;Times;Serif" w:hAnsi="Times New Roman;Times;Serif"/>
          <w:b w:val="false"/>
          <w:i w:val="false"/>
          <w:caps w:val="false"/>
          <w:smallCaps w:val="false"/>
          <w:sz w:val="20"/>
        </w:rPr>
        <w:t xml:space="preserve"> This represents the weighted average sale price of the shares sold. The sale prices ranged from $4.63 to $4.78. The Reporting Persons undertake to provide the Issuer, any security holder of the Issuer, or the staff of the Securities and Exchange Commission, upon request, full information regarding the number of shares at each separate price within the range set forth in the immediately preceding sentence.</w:t>
      </w:r>
    </w:p>
    <w:p>
      <w:pPr>
        <w:pStyle w:val="TextBody"/>
        <w:bidi w:val="0"/>
        <w:jc w:val="both"/>
        <w:rPr>
          <w:caps w:val="false"/>
          <w:smallCaps w:val="false"/>
        </w:rPr>
      </w:pPr>
      <w:r>
        <w:rPr>
          <w:caps w:val="false"/>
          <w:smallCaps w:val="false"/>
        </w:rPr>
        <w:t> </w:t>
      </w:r>
    </w:p>
    <w:p>
      <w:pPr>
        <w:pStyle w:val="TextBody"/>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This represents the weighted average sale price of the shares sold. The sale prices ranged from $4.60 to $4.685. The Reporting Persons undertake to provide the Issuer, any security holder of the Issuer, or the staff of the Securities and Exchange Commission, upon request, full information regarding the number of shares at each separate price within the range set forth in the immediately preceding sentence.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2035</Words>
  <Characters>10452</Characters>
  <CharactersWithSpaces>12345</CharactersWithSpaces>
  <Paragraphs>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