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20"/>
        <w:spacing w:after="0" w:line="236"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300"/>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10-Q</w:t>
      </w:r>
    </w:p>
    <w:p>
      <w:pPr>
        <w:ind w:left="4300"/>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38" w:lineRule="exact"/>
        <w:rPr>
          <w:sz w:val="24"/>
          <w:szCs w:val="24"/>
          <w:color w:val="auto"/>
        </w:rPr>
      </w:pPr>
    </w:p>
    <w:p>
      <w:pPr>
        <w:ind w:left="720" w:right="220" w:hanging="685"/>
        <w:spacing w:after="0" w:line="262" w:lineRule="auto"/>
        <w:tabs>
          <w:tab w:leader="none" w:pos="7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8"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For the quarterly period ended September 30, 2019</w:t>
      </w:r>
    </w:p>
    <w:p>
      <w:pPr>
        <w:spacing w:after="0" w:line="58" w:lineRule="exact"/>
        <w:rPr>
          <w:sz w:val="24"/>
          <w:szCs w:val="24"/>
          <w:color w:val="auto"/>
        </w:rPr>
      </w:pPr>
    </w:p>
    <w:p>
      <w:pPr>
        <w:ind w:left="5560"/>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152" w:lineRule="exact"/>
        <w:rPr>
          <w:sz w:val="24"/>
          <w:szCs w:val="24"/>
          <w:color w:val="auto"/>
        </w:rPr>
      </w:pPr>
    </w:p>
    <w:p>
      <w:pPr>
        <w:ind w:left="720" w:right="200" w:hanging="685"/>
        <w:spacing w:after="0" w:line="262" w:lineRule="auto"/>
        <w:tabs>
          <w:tab w:leader="none" w:pos="7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5" w:lineRule="exact"/>
        <w:rPr>
          <w:sz w:val="24"/>
          <w:szCs w:val="24"/>
          <w:color w:val="auto"/>
        </w:rPr>
      </w:pPr>
    </w:p>
    <w:p>
      <w:pPr>
        <w:ind w:left="440"/>
        <w:spacing w:after="0"/>
        <w:tabs>
          <w:tab w:leader="none" w:pos="3860" w:val="left"/>
        </w:tabs>
        <w:rPr>
          <w:sz w:val="20"/>
          <w:szCs w:val="20"/>
          <w:color w:val="auto"/>
        </w:rPr>
      </w:pPr>
      <w:r>
        <w:rPr>
          <w:rFonts w:ascii="Times New Roman" w:cs="Times New Roman" w:eastAsia="Times New Roman" w:hAnsi="Times New Roman"/>
          <w:sz w:val="22"/>
          <w:szCs w:val="22"/>
          <w:b w:val="1"/>
          <w:bCs w:val="1"/>
          <w:color w:val="auto"/>
        </w:rPr>
        <w:t>For the transition period from</w:t>
      </w:r>
      <w:r>
        <w:rPr>
          <w:sz w:val="20"/>
          <w:szCs w:val="20"/>
          <w:color w:val="auto"/>
        </w:rPr>
        <w:tab/>
      </w:r>
      <w:r>
        <w:rPr>
          <w:rFonts w:ascii="Times New Roman" w:cs="Times New Roman" w:eastAsia="Times New Roman" w:hAnsi="Times New Roman"/>
          <w:sz w:val="21"/>
          <w:szCs w:val="21"/>
          <w:b w:val="1"/>
          <w:bCs w:val="1"/>
          <w:color w:val="auto"/>
        </w:rPr>
        <w:t>to</w:t>
      </w:r>
    </w:p>
    <w:p>
      <w:pPr>
        <w:spacing w:after="0" w:line="8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Commission File Number: 0-21044</w:t>
      </w:r>
    </w:p>
    <w:p>
      <w:pPr>
        <w:spacing w:after="0" w:line="23"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UNIVERSAL ELECTRONICS INC.</w:t>
      </w:r>
    </w:p>
    <w:p>
      <w:pPr>
        <w:spacing w:after="0" w:line="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36" w:lineRule="exact"/>
        <w:rPr>
          <w:sz w:val="24"/>
          <w:szCs w:val="24"/>
          <w:color w:val="auto"/>
        </w:rPr>
      </w:pPr>
    </w:p>
    <w:p>
      <w:pPr>
        <w:ind w:left="2380"/>
        <w:spacing w:after="0"/>
        <w:tabs>
          <w:tab w:leader="none" w:pos="824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33-0204817</w:t>
      </w:r>
    </w:p>
    <w:p>
      <w:pPr>
        <w:spacing w:after="0" w:line="61" w:lineRule="exact"/>
        <w:rPr>
          <w:sz w:val="24"/>
          <w:szCs w:val="24"/>
          <w:color w:val="auto"/>
        </w:rPr>
      </w:pPr>
    </w:p>
    <w:p>
      <w:pPr>
        <w:ind w:left="1820"/>
        <w:spacing w:after="0"/>
        <w:tabs>
          <w:tab w:leader="none" w:pos="8140" w:val="left"/>
        </w:tabs>
        <w:rPr>
          <w:sz w:val="20"/>
          <w:szCs w:val="20"/>
          <w:color w:val="auto"/>
        </w:rPr>
      </w:pPr>
      <w:r>
        <w:rPr>
          <w:rFonts w:ascii="Times New Roman" w:cs="Times New Roman" w:eastAsia="Times New Roman" w:hAnsi="Times New Roman"/>
          <w:sz w:val="14"/>
          <w:szCs w:val="14"/>
          <w:b w:val="1"/>
          <w:bCs w:val="1"/>
          <w:color w:val="auto"/>
        </w:rPr>
        <w:t>(State or Other Jurisdiction of</w:t>
      </w:r>
      <w:r>
        <w:rPr>
          <w:sz w:val="20"/>
          <w:szCs w:val="20"/>
          <w:color w:val="auto"/>
        </w:rPr>
        <w:tab/>
      </w: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ind w:left="1780"/>
        <w:spacing w:after="0"/>
        <w:tabs>
          <w:tab w:leader="none" w:pos="8100" w:val="left"/>
        </w:tabs>
        <w:rPr>
          <w:sz w:val="20"/>
          <w:szCs w:val="20"/>
          <w:color w:val="auto"/>
        </w:rPr>
      </w:pPr>
      <w:r>
        <w:rPr>
          <w:rFonts w:ascii="Times New Roman" w:cs="Times New Roman" w:eastAsia="Times New Roman" w:hAnsi="Times New Roman"/>
          <w:sz w:val="14"/>
          <w:szCs w:val="14"/>
          <w:b w:val="1"/>
          <w:bCs w:val="1"/>
          <w:color w:val="auto"/>
        </w:rPr>
        <w:t>Incorporation or Organization)</w:t>
      </w:r>
      <w:r>
        <w:rPr>
          <w:sz w:val="20"/>
          <w:szCs w:val="20"/>
          <w:color w:val="auto"/>
        </w:rPr>
        <w:tab/>
      </w:r>
      <w:r>
        <w:rPr>
          <w:rFonts w:ascii="Times New Roman" w:cs="Times New Roman" w:eastAsia="Times New Roman" w:hAnsi="Times New Roman"/>
          <w:sz w:val="14"/>
          <w:szCs w:val="14"/>
          <w:b w:val="1"/>
          <w:bCs w:val="1"/>
          <w:color w:val="auto"/>
        </w:rPr>
        <w:t>Identification No.)</w:t>
      </w:r>
    </w:p>
    <w:p>
      <w:pPr>
        <w:spacing w:after="0" w:line="148"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15147 N. Scottsdale Road, Suite H300</w:t>
      </w:r>
    </w:p>
    <w:p>
      <w:pPr>
        <w:spacing w:after="0" w:line="31" w:lineRule="exact"/>
        <w:rPr>
          <w:sz w:val="24"/>
          <w:szCs w:val="24"/>
          <w:color w:val="auto"/>
        </w:rPr>
      </w:pPr>
    </w:p>
    <w:p>
      <w:pPr>
        <w:ind w:left="2000"/>
        <w:spacing w:after="0"/>
        <w:tabs>
          <w:tab w:leader="none" w:pos="8240" w:val="left"/>
        </w:tabs>
        <w:rPr>
          <w:sz w:val="20"/>
          <w:szCs w:val="20"/>
          <w:color w:val="auto"/>
        </w:rPr>
      </w:pPr>
      <w:r>
        <w:rPr>
          <w:rFonts w:ascii="Times New Roman" w:cs="Times New Roman" w:eastAsia="Times New Roman" w:hAnsi="Times New Roman"/>
          <w:sz w:val="18"/>
          <w:szCs w:val="18"/>
          <w:b w:val="1"/>
          <w:bCs w:val="1"/>
          <w:color w:val="auto"/>
        </w:rPr>
        <w:t>Scottsdale, Arizona</w:t>
      </w:r>
      <w:r>
        <w:rPr>
          <w:sz w:val="20"/>
          <w:szCs w:val="20"/>
          <w:color w:val="auto"/>
        </w:rPr>
        <w:tab/>
      </w:r>
      <w:r>
        <w:rPr>
          <w:rFonts w:ascii="Times New Roman" w:cs="Times New Roman" w:eastAsia="Times New Roman" w:hAnsi="Times New Roman"/>
          <w:sz w:val="17"/>
          <w:szCs w:val="17"/>
          <w:b w:val="1"/>
          <w:bCs w:val="1"/>
          <w:color w:val="auto"/>
        </w:rPr>
        <w:t>85254-2494</w:t>
      </w:r>
    </w:p>
    <w:p>
      <w:pPr>
        <w:spacing w:after="0" w:line="38" w:lineRule="exact"/>
        <w:rPr>
          <w:sz w:val="24"/>
          <w:szCs w:val="24"/>
          <w:color w:val="auto"/>
        </w:rPr>
      </w:pPr>
    </w:p>
    <w:p>
      <w:pPr>
        <w:ind w:left="1520"/>
        <w:spacing w:after="0"/>
        <w:tabs>
          <w:tab w:leader="none" w:pos="834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(480) 530-3000</w:t>
      </w:r>
    </w:p>
    <w:p>
      <w:pPr>
        <w:spacing w:after="0" w:line="36"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4"/>
          <w:szCs w:val="14"/>
          <w:color w:val="auto"/>
        </w:rPr>
        <w:t>__________________________________</w:t>
      </w:r>
    </w:p>
    <w:p>
      <w:pPr>
        <w:spacing w:after="0" w:line="32" w:lineRule="exact"/>
        <w:rPr>
          <w:sz w:val="24"/>
          <w:szCs w:val="24"/>
          <w:color w:val="auto"/>
        </w:rPr>
      </w:pPr>
    </w:p>
    <w:p>
      <w:pPr>
        <w:jc w:val="both"/>
        <w:ind w:right="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jc w:val="both"/>
        <w:ind w:right="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4"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3"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36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Accelerated filer</w:t>
            </w:r>
          </w:p>
        </w:tc>
        <w:tc>
          <w:tcPr>
            <w:tcW w:w="8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36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18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36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Emerging growth company</w:t>
            </w:r>
          </w:p>
        </w:tc>
        <w:tc>
          <w:tcPr>
            <w:tcW w:w="8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6" w:lineRule="exact"/>
        <w:rPr>
          <w:sz w:val="24"/>
          <w:szCs w:val="24"/>
          <w:color w:val="auto"/>
        </w:rPr>
      </w:pPr>
    </w:p>
    <w:p>
      <w:pPr>
        <w:ind w:left="40"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0"/>
        <w:spacing w:after="0" w:line="207" w:lineRule="exact"/>
        <w:tabs>
          <w:tab w:leader="none" w:pos="7620" w:val="left"/>
          <w:tab w:leader="none" w:pos="830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33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3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900" w:type="dxa"/>
            <w:vAlign w:val="bottom"/>
            <w:tcBorders>
              <w:bottom w:val="single" w:sz="8" w:color="auto"/>
              <w:right w:val="single" w:sz="8" w:color="auto"/>
            </w:tcBorders>
          </w:tcPr>
          <w:p>
            <w:pPr>
              <w:spacing w:after="0"/>
              <w:rPr>
                <w:sz w:val="2"/>
                <w:szCs w:val="2"/>
                <w:color w:val="auto"/>
              </w:rPr>
            </w:pPr>
          </w:p>
        </w:tc>
      </w:tr>
      <w:tr>
        <w:trPr>
          <w:trHeight w:val="237"/>
        </w:trPr>
        <w:tc>
          <w:tcPr>
            <w:tcW w:w="4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UEIC</w:t>
            </w:r>
          </w:p>
        </w:tc>
        <w:tc>
          <w:tcPr>
            <w:tcW w:w="4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900" w:type="dxa"/>
            <w:vAlign w:val="bottom"/>
            <w:tcBorders>
              <w:bottom w:val="single" w:sz="8" w:color="auto"/>
              <w:right w:val="single" w:sz="8" w:color="auto"/>
            </w:tcBorders>
          </w:tcPr>
          <w:p>
            <w:pPr>
              <w:spacing w:after="0"/>
              <w:rPr>
                <w:sz w:val="2"/>
                <w:szCs w:val="2"/>
                <w:color w:val="auto"/>
              </w:rPr>
            </w:pPr>
          </w:p>
        </w:tc>
      </w:tr>
    </w:tbl>
    <w:p>
      <w:pPr>
        <w:spacing w:after="0" w:line="90" w:lineRule="exact"/>
        <w:rPr>
          <w:sz w:val="24"/>
          <w:szCs w:val="24"/>
          <w:color w:val="auto"/>
        </w:rPr>
      </w:pPr>
    </w:p>
    <w:p>
      <w:pPr>
        <w:sectPr>
          <w:pgSz w:w="11900" w:h="16838" w:orient="portrait"/>
          <w:cols w:equalWidth="0" w:num="1">
            <w:col w:w="11440"/>
          </w:cols>
          <w:pgMar w:left="240" w:top="281" w:right="219" w:bottom="1440" w:gutter="0" w:footer="0" w:header="0"/>
        </w:sect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13,928,185 shares of Common Stock, par value $0.01 per share, of the registrant were outstanding on November 6, 2019.</w:t>
      </w:r>
    </w:p>
    <w:p>
      <w:pPr>
        <w:sectPr>
          <w:pgSz w:w="11900" w:h="16838" w:orient="portrait"/>
          <w:cols w:equalWidth="0" w:num="1">
            <w:col w:w="11440"/>
          </w:cols>
          <w:pgMar w:left="240" w:top="281" w:right="2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60" w:type="dxa"/>
            <w:vAlign w:val="bottom"/>
            <w:gridSpan w:val="4"/>
          </w:tcPr>
          <w:p>
            <w:pPr>
              <w:jc w:val="center"/>
              <w:ind w:right="3020"/>
              <w:spacing w:after="0"/>
              <w:rPr>
                <w:sz w:val="20"/>
                <w:szCs w:val="20"/>
                <w:color w:val="auto"/>
              </w:rPr>
            </w:pPr>
            <w:r>
              <w:rPr>
                <w:rFonts w:ascii="Times New Roman" w:cs="Times New Roman" w:eastAsia="Times New Roman" w:hAnsi="Times New Roman"/>
                <w:sz w:val="18"/>
                <w:szCs w:val="18"/>
                <w:b w:val="1"/>
                <w:bCs w:val="1"/>
                <w:color w:val="auto"/>
              </w:rPr>
              <w:t>UNIVERSAL ELECTRONICS INC.</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520" w:type="dxa"/>
            <w:vAlign w:val="bottom"/>
            <w:gridSpan w:val="2"/>
          </w:tcPr>
          <w:p>
            <w:pPr>
              <w:jc w:val="center"/>
              <w:ind w:right="39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5"/>
        </w:trPr>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60"/>
        </w:trPr>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520" w:type="dxa"/>
            <w:vAlign w:val="bottom"/>
            <w:tcBorders>
              <w:bottom w:val="single" w:sz="8" w:color="auto"/>
            </w:tcBorders>
            <w:gridSpan w:val="3"/>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r>
      <w:tr>
        <w:trPr>
          <w:trHeight w:val="223"/>
        </w:trPr>
        <w:tc>
          <w:tcPr>
            <w:tcW w:w="3080" w:type="dxa"/>
            <w:vAlign w:val="bottom"/>
            <w:tcBorders>
              <w:bottom w:val="single" w:sz="8" w:color="0000EE"/>
            </w:tcBorders>
            <w:gridSpan w:val="10"/>
          </w:tcPr>
          <w:p>
            <w:pPr>
              <w:spacing w:after="0"/>
              <w:rPr>
                <w:rFonts w:ascii="Times New Roman" w:cs="Times New Roman" w:eastAsia="Times New Roman" w:hAnsi="Times New Roman"/>
                <w:sz w:val="18"/>
                <w:szCs w:val="18"/>
                <w:b w:val="1"/>
                <w:bCs w:val="1"/>
                <w:color w:val="0000EE"/>
                <w:w w:val="98"/>
              </w:rPr>
            </w:pPr>
            <w:hyperlink w:anchor="page3">
              <w:r>
                <w:rPr>
                  <w:rFonts w:ascii="Times New Roman" w:cs="Times New Roman" w:eastAsia="Times New Roman" w:hAnsi="Times New Roman"/>
                  <w:sz w:val="18"/>
                  <w:szCs w:val="18"/>
                  <w:b w:val="1"/>
                  <w:bCs w:val="1"/>
                  <w:color w:val="0000EE"/>
                  <w:w w:val="98"/>
                </w:rPr>
                <w:t>PART I. FINANCIAL INFORMATION</w:t>
              </w:r>
            </w:hyperlink>
          </w:p>
        </w:tc>
        <w:tc>
          <w:tcPr>
            <w:tcW w:w="7340" w:type="dxa"/>
            <w:vAlign w:val="bottom"/>
            <w:gridSpan w:val="8"/>
          </w:tcPr>
          <w:p>
            <w:pPr>
              <w:spacing w:after="0"/>
              <w:rPr>
                <w:sz w:val="19"/>
                <w:szCs w:val="19"/>
                <w:color w:val="auto"/>
              </w:rPr>
            </w:pPr>
          </w:p>
        </w:tc>
        <w:tc>
          <w:tcPr>
            <w:tcW w:w="420" w:type="dxa"/>
            <w:vAlign w:val="bottom"/>
            <w:gridSpan w:val="2"/>
          </w:tcPr>
          <w:p>
            <w:pPr>
              <w:spacing w:after="0"/>
              <w:rPr>
                <w:sz w:val="19"/>
                <w:szCs w:val="19"/>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3</w:t>
              </w:r>
            </w:hyperlink>
          </w:p>
        </w:tc>
      </w:tr>
      <w:tr>
        <w:trPr>
          <w:trHeight w:val="250"/>
        </w:trPr>
        <w:tc>
          <w:tcPr>
            <w:tcW w:w="10420" w:type="dxa"/>
            <w:vAlign w:val="bottom"/>
            <w:gridSpan w:val="18"/>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 Consolidated Financial Statements (Unaudited)</w:t>
              </w:r>
            </w:hyperlink>
          </w:p>
        </w:tc>
        <w:tc>
          <w:tcPr>
            <w:tcW w:w="520" w:type="dxa"/>
            <w:vAlign w:val="bottom"/>
            <w:gridSpan w:val="3"/>
          </w:tcPr>
          <w:p>
            <w:pPr>
              <w:jc w:val="right"/>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250"/>
        </w:trPr>
        <w:tc>
          <w:tcPr>
            <w:tcW w:w="240" w:type="dxa"/>
            <w:vAlign w:val="bottom"/>
            <w:tcBorders>
              <w:top w:val="single" w:sz="8" w:color="0000EE"/>
            </w:tcBorders>
          </w:tcPr>
          <w:p>
            <w:pPr>
              <w:spacing w:after="0"/>
              <w:rPr>
                <w:sz w:val="21"/>
                <w:szCs w:val="21"/>
                <w:color w:val="auto"/>
              </w:rPr>
            </w:pPr>
          </w:p>
        </w:tc>
        <w:tc>
          <w:tcPr>
            <w:tcW w:w="210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Consolidated Balance Sheets</w:t>
              </w:r>
            </w:hyperlink>
          </w:p>
        </w:tc>
        <w:tc>
          <w:tcPr>
            <w:tcW w:w="1620" w:type="dxa"/>
            <w:vAlign w:val="bottom"/>
            <w:tcBorders>
              <w:top w:val="single" w:sz="8" w:color="0000EE"/>
            </w:tcBorders>
            <w:gridSpan w:val="7"/>
          </w:tcPr>
          <w:p>
            <w:pPr>
              <w:spacing w:after="0"/>
              <w:rPr>
                <w:sz w:val="21"/>
                <w:szCs w:val="21"/>
                <w:color w:val="auto"/>
              </w:rPr>
            </w:pPr>
          </w:p>
        </w:tc>
        <w:tc>
          <w:tcPr>
            <w:tcW w:w="6460" w:type="dxa"/>
            <w:vAlign w:val="bottom"/>
            <w:gridSpan w:val="4"/>
          </w:tcPr>
          <w:p>
            <w:pPr>
              <w:spacing w:after="0"/>
              <w:rPr>
                <w:sz w:val="21"/>
                <w:szCs w:val="21"/>
                <w:color w:val="auto"/>
              </w:rPr>
            </w:pPr>
          </w:p>
        </w:tc>
        <w:tc>
          <w:tcPr>
            <w:tcW w:w="42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3</w:t>
              </w:r>
            </w:hyperlink>
          </w:p>
        </w:tc>
      </w:tr>
      <w:tr>
        <w:trPr>
          <w:trHeight w:val="250"/>
        </w:trPr>
        <w:tc>
          <w:tcPr>
            <w:tcW w:w="240" w:type="dxa"/>
            <w:vAlign w:val="bottom"/>
          </w:tcPr>
          <w:p>
            <w:pPr>
              <w:spacing w:after="0"/>
              <w:rPr>
                <w:sz w:val="21"/>
                <w:szCs w:val="21"/>
                <w:color w:val="auto"/>
              </w:rPr>
            </w:pPr>
          </w:p>
        </w:tc>
        <w:tc>
          <w:tcPr>
            <w:tcW w:w="28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Consolidated Statements of Operations</w:t>
              </w:r>
            </w:hyperlink>
          </w:p>
        </w:tc>
        <w:tc>
          <w:tcPr>
            <w:tcW w:w="7360" w:type="dxa"/>
            <w:vAlign w:val="bottom"/>
            <w:gridSpan w:val="9"/>
          </w:tcPr>
          <w:p>
            <w:pPr>
              <w:spacing w:after="0"/>
              <w:rPr>
                <w:sz w:val="21"/>
                <w:szCs w:val="21"/>
                <w:color w:val="auto"/>
              </w:rPr>
            </w:pPr>
          </w:p>
        </w:tc>
        <w:tc>
          <w:tcPr>
            <w:tcW w:w="4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4</w:t>
              </w:r>
            </w:hyperlink>
          </w:p>
        </w:tc>
      </w:tr>
      <w:tr>
        <w:trPr>
          <w:trHeight w:val="250"/>
        </w:trPr>
        <w:tc>
          <w:tcPr>
            <w:tcW w:w="240" w:type="dxa"/>
            <w:vAlign w:val="bottom"/>
          </w:tcPr>
          <w:p>
            <w:pPr>
              <w:spacing w:after="0"/>
              <w:rPr>
                <w:sz w:val="21"/>
                <w:szCs w:val="21"/>
                <w:color w:val="auto"/>
              </w:rPr>
            </w:pPr>
          </w:p>
        </w:tc>
        <w:tc>
          <w:tcPr>
            <w:tcW w:w="10180" w:type="dxa"/>
            <w:vAlign w:val="bottom"/>
            <w:gridSpan w:val="17"/>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Comprehensive Income (Loss) Statements</w:t>
              </w:r>
            </w:hyperlink>
          </w:p>
        </w:tc>
        <w:tc>
          <w:tcPr>
            <w:tcW w:w="520" w:type="dxa"/>
            <w:vAlign w:val="bottom"/>
            <w:gridSpan w:val="3"/>
          </w:tcPr>
          <w:p>
            <w:pPr>
              <w:jc w:val="right"/>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5</w:t>
              </w:r>
            </w:hyperlink>
          </w:p>
        </w:tc>
      </w:tr>
      <w:tr>
        <w:trPr>
          <w:trHeight w:val="250"/>
        </w:trPr>
        <w:tc>
          <w:tcPr>
            <w:tcW w:w="240" w:type="dxa"/>
            <w:vAlign w:val="bottom"/>
          </w:tcPr>
          <w:p>
            <w:pPr>
              <w:spacing w:after="0"/>
              <w:rPr>
                <w:sz w:val="21"/>
                <w:szCs w:val="21"/>
                <w:color w:val="auto"/>
              </w:rPr>
            </w:pPr>
          </w:p>
        </w:tc>
        <w:tc>
          <w:tcPr>
            <w:tcW w:w="404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Consolidated Statements of Stockholders' Equity</w:t>
              </w:r>
            </w:hyperlink>
          </w:p>
        </w:tc>
        <w:tc>
          <w:tcPr>
            <w:tcW w:w="6140" w:type="dxa"/>
            <w:vAlign w:val="bottom"/>
            <w:gridSpan w:val="3"/>
          </w:tcPr>
          <w:p>
            <w:pPr>
              <w:spacing w:after="0"/>
              <w:rPr>
                <w:sz w:val="21"/>
                <w:szCs w:val="21"/>
                <w:color w:val="auto"/>
              </w:rPr>
            </w:pPr>
          </w:p>
        </w:tc>
        <w:tc>
          <w:tcPr>
            <w:tcW w:w="42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6</w:t>
              </w:r>
            </w:hyperlink>
          </w:p>
        </w:tc>
      </w:tr>
      <w:tr>
        <w:trPr>
          <w:trHeight w:val="250"/>
        </w:trPr>
        <w:tc>
          <w:tcPr>
            <w:tcW w:w="240" w:type="dxa"/>
            <w:vAlign w:val="bottom"/>
          </w:tcPr>
          <w:p>
            <w:pPr>
              <w:spacing w:after="0"/>
              <w:rPr>
                <w:sz w:val="21"/>
                <w:szCs w:val="21"/>
                <w:color w:val="auto"/>
              </w:rPr>
            </w:pPr>
          </w:p>
        </w:tc>
        <w:tc>
          <w:tcPr>
            <w:tcW w:w="3520" w:type="dxa"/>
            <w:vAlign w:val="bottom"/>
            <w:tcBorders>
              <w:top w:val="single" w:sz="8" w:color="0000EE"/>
            </w:tcBorders>
            <w:gridSpan w:val="12"/>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Consolidated Statements of Cash Flows</w:t>
              </w:r>
            </w:hyperlink>
          </w:p>
        </w:tc>
        <w:tc>
          <w:tcPr>
            <w:tcW w:w="6660" w:type="dxa"/>
            <w:vAlign w:val="bottom"/>
            <w:gridSpan w:val="5"/>
          </w:tcPr>
          <w:p>
            <w:pPr>
              <w:spacing w:after="0"/>
              <w:rPr>
                <w:sz w:val="21"/>
                <w:szCs w:val="21"/>
                <w:color w:val="auto"/>
              </w:rPr>
            </w:pPr>
          </w:p>
        </w:tc>
        <w:tc>
          <w:tcPr>
            <w:tcW w:w="42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8</w:t>
              </w:r>
            </w:hyperlink>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0180" w:type="dxa"/>
            <w:vAlign w:val="bottom"/>
            <w:gridSpan w:val="17"/>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Notes to Consolidated Financial Statements</w:t>
              </w:r>
            </w:hyperlink>
          </w:p>
        </w:tc>
        <w:tc>
          <w:tcPr>
            <w:tcW w:w="520" w:type="dxa"/>
            <w:vAlign w:val="bottom"/>
            <w:gridSpan w:val="3"/>
          </w:tcPr>
          <w:p>
            <w:pPr>
              <w:jc w:val="right"/>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9</w:t>
              </w:r>
            </w:hyperlink>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7000" w:type="dxa"/>
            <w:vAlign w:val="bottom"/>
            <w:gridSpan w:val="17"/>
          </w:tcPr>
          <w:p>
            <w:pPr>
              <w:spacing w:after="0"/>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Item 2. Management's Discussion and Analysis of Financial Condition and Results of Operations</w:t>
              </w:r>
            </w:hyperlink>
          </w:p>
        </w:tc>
        <w:tc>
          <w:tcPr>
            <w:tcW w:w="3420" w:type="dxa"/>
            <w:vAlign w:val="bottom"/>
          </w:tcPr>
          <w:p>
            <w:pPr>
              <w:spacing w:after="0"/>
              <w:rPr>
                <w:sz w:val="21"/>
                <w:szCs w:val="21"/>
                <w:color w:val="auto"/>
              </w:rPr>
            </w:pPr>
          </w:p>
        </w:tc>
        <w:tc>
          <w:tcPr>
            <w:tcW w:w="520" w:type="dxa"/>
            <w:vAlign w:val="bottom"/>
            <w:gridSpan w:val="3"/>
          </w:tcPr>
          <w:p>
            <w:pPr>
              <w:jc w:val="right"/>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26</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140" w:type="dxa"/>
            <w:vAlign w:val="bottom"/>
            <w:gridSpan w:val="8"/>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Times New Roman" w:cs="Times New Roman" w:eastAsia="Times New Roman" w:hAnsi="Times New Roman"/>
                <w:sz w:val="18"/>
                <w:szCs w:val="18"/>
                <w:color w:val="0000EE"/>
                <w:w w:val="98"/>
              </w:rPr>
            </w:pPr>
            <w:hyperlink w:anchor="page32">
              <w:r>
                <w:rPr>
                  <w:rFonts w:ascii="Times New Roman" w:cs="Times New Roman" w:eastAsia="Times New Roman" w:hAnsi="Times New Roman"/>
                  <w:sz w:val="18"/>
                  <w:szCs w:val="18"/>
                  <w:color w:val="0000EE"/>
                  <w:w w:val="98"/>
                </w:rPr>
                <w:t>Item 3. Quantitative and Qualitative Disclosures About Market Risk</w:t>
              </w:r>
            </w:hyperlink>
          </w:p>
        </w:tc>
        <w:tc>
          <w:tcPr>
            <w:tcW w:w="21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520" w:type="dxa"/>
            <w:vAlign w:val="bottom"/>
            <w:gridSpan w:val="3"/>
          </w:tcPr>
          <w:p>
            <w:pPr>
              <w:jc w:val="right"/>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32</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140" w:type="dxa"/>
            <w:vAlign w:val="bottom"/>
            <w:gridSpan w:val="8"/>
            <w:shd w:val="clear" w:color="auto" w:fill="0000EE"/>
          </w:tcPr>
          <w:p>
            <w:pPr>
              <w:spacing w:after="0" w:line="20" w:lineRule="exact"/>
              <w:rPr>
                <w:sz w:val="1"/>
                <w:szCs w:val="1"/>
                <w:color w:val="auto"/>
              </w:rPr>
            </w:pPr>
          </w:p>
        </w:tc>
        <w:tc>
          <w:tcPr>
            <w:tcW w:w="5520" w:type="dxa"/>
            <w:vAlign w:val="bottom"/>
            <w:tcBorders>
              <w:left w:val="single" w:sz="8" w:color="0000EE"/>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320" w:type="dxa"/>
            <w:vAlign w:val="bottom"/>
            <w:gridSpan w:val="6"/>
          </w:tcPr>
          <w:p>
            <w:pPr>
              <w:spacing w:after="0"/>
              <w:rPr>
                <w:rFonts w:ascii="Times New Roman" w:cs="Times New Roman" w:eastAsia="Times New Roman" w:hAnsi="Times New Roman"/>
                <w:sz w:val="18"/>
                <w:szCs w:val="18"/>
                <w:color w:val="0000EE"/>
                <w:w w:val="98"/>
              </w:rPr>
            </w:pPr>
            <w:hyperlink w:anchor="page34">
              <w:r>
                <w:rPr>
                  <w:rFonts w:ascii="Times New Roman" w:cs="Times New Roman" w:eastAsia="Times New Roman" w:hAnsi="Times New Roman"/>
                  <w:sz w:val="18"/>
                  <w:szCs w:val="18"/>
                  <w:color w:val="0000EE"/>
                  <w:w w:val="98"/>
                </w:rPr>
                <w:t>Item 4. Controls and Procedures</w:t>
              </w:r>
            </w:hyperlink>
          </w:p>
        </w:tc>
        <w:tc>
          <w:tcPr>
            <w:tcW w:w="2580" w:type="dxa"/>
            <w:vAlign w:val="bottom"/>
            <w:gridSpan w:val="10"/>
          </w:tcPr>
          <w:p>
            <w:pPr>
              <w:spacing w:after="0"/>
              <w:rPr>
                <w:sz w:val="21"/>
                <w:szCs w:val="21"/>
                <w:color w:val="auto"/>
              </w:rPr>
            </w:pPr>
          </w:p>
        </w:tc>
        <w:tc>
          <w:tcPr>
            <w:tcW w:w="5520" w:type="dxa"/>
            <w:vAlign w:val="bottom"/>
            <w:gridSpan w:val="2"/>
          </w:tcPr>
          <w:p>
            <w:pPr>
              <w:spacing w:after="0"/>
              <w:rPr>
                <w:sz w:val="21"/>
                <w:szCs w:val="21"/>
                <w:color w:val="auto"/>
              </w:rPr>
            </w:pPr>
          </w:p>
        </w:tc>
        <w:tc>
          <w:tcPr>
            <w:tcW w:w="520" w:type="dxa"/>
            <w:vAlign w:val="bottom"/>
            <w:gridSpan w:val="3"/>
          </w:tcPr>
          <w:p>
            <w:pPr>
              <w:jc w:val="right"/>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34</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140" w:type="dxa"/>
            <w:vAlign w:val="bottom"/>
            <w:gridSpan w:val="8"/>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20" w:type="dxa"/>
            <w:vAlign w:val="bottom"/>
            <w:gridSpan w:val="18"/>
          </w:tcPr>
          <w:p>
            <w:pPr>
              <w:spacing w:after="0"/>
              <w:rPr>
                <w:rFonts w:ascii="Times New Roman" w:cs="Times New Roman" w:eastAsia="Times New Roman" w:hAnsi="Times New Roman"/>
                <w:sz w:val="18"/>
                <w:szCs w:val="18"/>
                <w:b w:val="1"/>
                <w:bCs w:val="1"/>
                <w:color w:val="0000EE"/>
              </w:rPr>
            </w:pPr>
            <w:hyperlink w:anchor="page34">
              <w:r>
                <w:rPr>
                  <w:rFonts w:ascii="Times New Roman" w:cs="Times New Roman" w:eastAsia="Times New Roman" w:hAnsi="Times New Roman"/>
                  <w:sz w:val="18"/>
                  <w:szCs w:val="18"/>
                  <w:b w:val="1"/>
                  <w:bCs w:val="1"/>
                  <w:color w:val="0000EE"/>
                </w:rPr>
                <w:t>PART II. OTHER INFORMATION</w:t>
              </w:r>
            </w:hyperlink>
          </w:p>
        </w:tc>
        <w:tc>
          <w:tcPr>
            <w:tcW w:w="520" w:type="dxa"/>
            <w:vAlign w:val="bottom"/>
            <w:gridSpan w:val="3"/>
          </w:tcPr>
          <w:p>
            <w:pPr>
              <w:jc w:val="right"/>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34</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140" w:type="dxa"/>
            <w:vAlign w:val="bottom"/>
            <w:gridSpan w:val="8"/>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760" w:type="dxa"/>
            <w:vAlign w:val="bottom"/>
            <w:gridSpan w:val="8"/>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1. Legal Proceedings</w:t>
              </w:r>
            </w:hyperlink>
          </w:p>
        </w:tc>
        <w:tc>
          <w:tcPr>
            <w:tcW w:w="7660" w:type="dxa"/>
            <w:vAlign w:val="bottom"/>
            <w:gridSpan w:val="10"/>
          </w:tcPr>
          <w:p>
            <w:pPr>
              <w:spacing w:after="0"/>
              <w:rPr>
                <w:sz w:val="21"/>
                <w:szCs w:val="21"/>
                <w:color w:val="auto"/>
              </w:rPr>
            </w:pPr>
          </w:p>
        </w:tc>
        <w:tc>
          <w:tcPr>
            <w:tcW w:w="520" w:type="dxa"/>
            <w:vAlign w:val="bottom"/>
            <w:gridSpan w:val="3"/>
          </w:tcPr>
          <w:p>
            <w:pPr>
              <w:jc w:val="right"/>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34</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20" w:type="dxa"/>
            <w:vAlign w:val="bottom"/>
            <w:gridSpan w:val="11"/>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880" w:type="dxa"/>
            <w:vAlign w:val="bottom"/>
            <w:gridSpan w:val="5"/>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1A. Risk Factors</w:t>
              </w:r>
            </w:hyperlink>
          </w:p>
        </w:tc>
        <w:tc>
          <w:tcPr>
            <w:tcW w:w="8540" w:type="dxa"/>
            <w:vAlign w:val="bottom"/>
            <w:gridSpan w:val="13"/>
          </w:tcPr>
          <w:p>
            <w:pPr>
              <w:spacing w:after="0"/>
              <w:rPr>
                <w:sz w:val="21"/>
                <w:szCs w:val="21"/>
                <w:color w:val="auto"/>
              </w:rPr>
            </w:pPr>
          </w:p>
        </w:tc>
        <w:tc>
          <w:tcPr>
            <w:tcW w:w="520" w:type="dxa"/>
            <w:vAlign w:val="bottom"/>
            <w:gridSpan w:val="3"/>
          </w:tcPr>
          <w:p>
            <w:pPr>
              <w:jc w:val="right"/>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34</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20" w:type="dxa"/>
            <w:vAlign w:val="bottom"/>
            <w:gridSpan w:val="12"/>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Item 2. Unregistered Sales of Equity Securities and Use of Proceeds</w:t>
              </w:r>
            </w:hyperlink>
          </w:p>
        </w:tc>
        <w:tc>
          <w:tcPr>
            <w:tcW w:w="5520" w:type="dxa"/>
            <w:vAlign w:val="bottom"/>
            <w:gridSpan w:val="2"/>
          </w:tcPr>
          <w:p>
            <w:pPr>
              <w:spacing w:after="0"/>
              <w:rPr>
                <w:sz w:val="21"/>
                <w:szCs w:val="21"/>
                <w:color w:val="auto"/>
              </w:rPr>
            </w:pPr>
          </w:p>
        </w:tc>
        <w:tc>
          <w:tcPr>
            <w:tcW w:w="520" w:type="dxa"/>
            <w:vAlign w:val="bottom"/>
            <w:gridSpan w:val="3"/>
          </w:tcPr>
          <w:p>
            <w:pPr>
              <w:jc w:val="right"/>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35</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760" w:type="dxa"/>
            <w:vAlign w:val="bottom"/>
            <w:gridSpan w:val="13"/>
            <w:shd w:val="clear" w:color="auto" w:fill="0000EE"/>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Item 6. Exhibits</w:t>
              </w:r>
            </w:hyperlink>
          </w:p>
        </w:tc>
        <w:tc>
          <w:tcPr>
            <w:tcW w:w="5520" w:type="dxa"/>
            <w:vAlign w:val="bottom"/>
            <w:gridSpan w:val="2"/>
          </w:tcPr>
          <w:p>
            <w:pPr>
              <w:spacing w:after="0"/>
              <w:rPr>
                <w:sz w:val="21"/>
                <w:szCs w:val="21"/>
                <w:color w:val="auto"/>
              </w:rPr>
            </w:pPr>
          </w:p>
        </w:tc>
        <w:tc>
          <w:tcPr>
            <w:tcW w:w="520" w:type="dxa"/>
            <w:vAlign w:val="bottom"/>
            <w:gridSpan w:val="3"/>
          </w:tcPr>
          <w:p>
            <w:pPr>
              <w:jc w:val="right"/>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36</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280" w:type="dxa"/>
            <w:vAlign w:val="bottom"/>
            <w:gridSpan w:val="1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60" w:type="dxa"/>
            <w:vAlign w:val="bottom"/>
            <w:gridSpan w:val="2"/>
          </w:tcPr>
          <w:p>
            <w:pPr>
              <w:spacing w:after="0"/>
              <w:rPr>
                <w:rFonts w:ascii="Times New Roman" w:cs="Times New Roman" w:eastAsia="Times New Roman" w:hAnsi="Times New Roman"/>
                <w:sz w:val="18"/>
                <w:szCs w:val="18"/>
                <w:color w:val="0000EE"/>
                <w:w w:val="97"/>
              </w:rPr>
            </w:pPr>
            <w:hyperlink w:anchor="page37">
              <w:r>
                <w:rPr>
                  <w:rFonts w:ascii="Times New Roman" w:cs="Times New Roman" w:eastAsia="Times New Roman" w:hAnsi="Times New Roman"/>
                  <w:sz w:val="18"/>
                  <w:szCs w:val="18"/>
                  <w:color w:val="0000EE"/>
                  <w:w w:val="97"/>
                </w:rPr>
                <w:t>Signatures</w:t>
              </w:r>
            </w:hyperlink>
          </w:p>
        </w:tc>
        <w:tc>
          <w:tcPr>
            <w:tcW w:w="380" w:type="dxa"/>
            <w:vAlign w:val="bottom"/>
          </w:tcPr>
          <w:p>
            <w:pPr>
              <w:spacing w:after="0"/>
              <w:rPr>
                <w:sz w:val="21"/>
                <w:szCs w:val="21"/>
                <w:color w:val="auto"/>
              </w:rPr>
            </w:pPr>
          </w:p>
        </w:tc>
        <w:tc>
          <w:tcPr>
            <w:tcW w:w="9280" w:type="dxa"/>
            <w:vAlign w:val="bottom"/>
            <w:gridSpan w:val="15"/>
          </w:tcPr>
          <w:p>
            <w:pPr>
              <w:spacing w:after="0"/>
              <w:rPr>
                <w:sz w:val="21"/>
                <w:szCs w:val="21"/>
                <w:color w:val="auto"/>
              </w:rPr>
            </w:pPr>
          </w:p>
        </w:tc>
        <w:tc>
          <w:tcPr>
            <w:tcW w:w="520" w:type="dxa"/>
            <w:vAlign w:val="bottom"/>
            <w:gridSpan w:val="3"/>
          </w:tcPr>
          <w:p>
            <w:pPr>
              <w:jc w:val="right"/>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37</w:t>
              </w:r>
            </w:hyperlink>
          </w:p>
        </w:tc>
      </w:tr>
      <w:tr>
        <w:trPr>
          <w:trHeight w:val="20"/>
        </w:trPr>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0940"/>
          </w:cols>
          <w:pgMar w:left="280" w:top="360" w:right="679" w:bottom="1440" w:gutter="0" w:footer="0" w:header="0"/>
        </w:sectPr>
      </w:pPr>
    </w:p>
    <w:bookmarkStart w:id="2" w:name="page3"/>
    <w:bookmarkEnd w:id="2"/>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 (Unaudited)</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UNIVERSAL ELECTRONICS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share-related data)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180" w:type="dxa"/>
            <w:vAlign w:val="bottom"/>
          </w:tcPr>
          <w:p>
            <w:pPr>
              <w:spacing w:after="0"/>
              <w:rPr>
                <w:sz w:val="18"/>
                <w:szCs w:val="18"/>
                <w:color w:val="auto"/>
              </w:rPr>
            </w:pPr>
          </w:p>
        </w:tc>
        <w:tc>
          <w:tcPr>
            <w:tcW w:w="16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35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54,729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53,207</w:t>
            </w: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receivable, net</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157,138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144,689</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Contract assets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21,721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25,572</w:t>
            </w: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Inventories, net</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137,522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144,350</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11,638</w:t>
            </w: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Income tax receivable</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997</w:t>
            </w: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380,563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380,453</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91,067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95,840</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48,404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48,485</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20,487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24,370</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19,890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1,833</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4,615</w:t>
            </w:r>
          </w:p>
        </w:tc>
      </w:tr>
      <w:tr>
        <w:trPr>
          <w:trHeight w:val="284"/>
        </w:trPr>
        <w:tc>
          <w:tcPr>
            <w:tcW w:w="766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565,487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555,596</w:t>
            </w:r>
          </w:p>
        </w:tc>
      </w:tr>
      <w:tr>
        <w:trPr>
          <w:trHeight w:val="237"/>
        </w:trPr>
        <w:tc>
          <w:tcPr>
            <w:tcW w:w="7660" w:type="dxa"/>
            <w:vAlign w:val="bottom"/>
            <w:tcBorders>
              <w:bottom w:val="single" w:sz="8" w:color="CCEEFF"/>
            </w:tcBorders>
            <w:shd w:val="clear" w:color="auto" w:fill="CCEEFF"/>
          </w:tcPr>
          <w:p>
            <w:pPr>
              <w:ind w:left="208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103,842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107,282</w:t>
            </w: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Line of credit</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101,500</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Accrued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40,343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33,965</w:t>
            </w: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sales discounts, rebates and royalties</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9,574</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Accrued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3,524</w:t>
            </w: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32,659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24,011</w:t>
            </w: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277,669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279,856</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liabilities:</w:t>
            </w: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Operating lease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15,580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Contingent consideration</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8,435</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930</w:t>
            </w: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Income tax payable</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1,647</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1,768</w:t>
            </w:r>
          </w:p>
        </w:tc>
      </w:tr>
      <w:tr>
        <w:trPr>
          <w:trHeight w:val="217"/>
        </w:trPr>
        <w:tc>
          <w:tcPr>
            <w:tcW w:w="76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303,836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292,636</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Preferred stock, $0.01 par value, 5,000,000 shares authorized; none issued or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Common stock, $0.01 par value, 50,000,000 shares authorized; 24,099,047 and 23,932,703 shares issued on</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0"/>
        </w:trPr>
        <w:tc>
          <w:tcPr>
            <w:tcW w:w="7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September 30, 2019 and December 31, 2018, respectively</w:t>
            </w:r>
          </w:p>
        </w:tc>
        <w:tc>
          <w:tcPr>
            <w:tcW w:w="180" w:type="dxa"/>
            <w:vAlign w:val="bottom"/>
          </w:tcPr>
          <w:p>
            <w:pPr>
              <w:spacing w:after="0"/>
              <w:rPr>
                <w:sz w:val="18"/>
                <w:szCs w:val="18"/>
                <w:color w:val="auto"/>
              </w:rPr>
            </w:pP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239</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285,487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276,103</w:t>
            </w:r>
          </w:p>
        </w:tc>
      </w:tr>
      <w:tr>
        <w:trPr>
          <w:trHeight w:val="216"/>
        </w:trPr>
        <w:tc>
          <w:tcPr>
            <w:tcW w:w="7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Treasury stock, at cost, 10,170,862 and 10,116,459 shares on September 30, 2019 and December 31, 2018,</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0"/>
        </w:trPr>
        <w:tc>
          <w:tcPr>
            <w:tcW w:w="7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respectively</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(277,630)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(275,889)</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(20,281)</w:t>
            </w: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279,391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282,788</w:t>
            </w: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261,651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262,960</w:t>
            </w:r>
          </w:p>
        </w:tc>
      </w:tr>
      <w:tr>
        <w:trPr>
          <w:trHeight w:val="231"/>
        </w:trPr>
        <w:tc>
          <w:tcPr>
            <w:tcW w:w="76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565,487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555,596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12700</wp:posOffset>
            </wp:positionV>
            <wp:extent cx="23837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 4 for further information concerning our purchases from related party vendors.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-116205</wp:posOffset>
            </wp:positionV>
            <wp:extent cx="23837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ectPr>
          <w:pgSz w:w="11900" w:h="16838" w:orient="portrait"/>
          <w:cols w:equalWidth="0" w:num="1">
            <w:col w:w="11420"/>
          </w:cols>
          <w:pgMar w:left="240" w:top="114" w:right="239" w:bottom="1440" w:gutter="0" w:footer="0" w:header="0"/>
        </w:sect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4" w:right="239" w:bottom="1440" w:gutter="0" w:footer="0" w:header="0"/>
          <w:type w:val="continuous"/>
        </w:sectPr>
      </w:pPr>
    </w:p>
    <w:bookmarkStart w:id="3" w:name="page4"/>
    <w:bookmarkEnd w:id="3"/>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6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3020" w:type="dxa"/>
            <w:vAlign w:val="bottom"/>
            <w:gridSpan w:val="4"/>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33"/>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200,724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182,717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578,783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509,938</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154,245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142,401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458,437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405,661</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46,479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40,316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120,346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104,277</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21,884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17,703</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32,422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29,994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94,598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90,811</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6,127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4,729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3,864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(4,237)</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sale of Guangzhou factory</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36,978</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5,195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25,264</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2,526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3,747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2,233</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2,669</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23,031</w:t>
            </w:r>
          </w:p>
        </w:tc>
      </w:tr>
      <w:tr>
        <w:trPr>
          <w:trHeight w:val="311"/>
        </w:trPr>
        <w:tc>
          <w:tcPr>
            <w:tcW w:w="4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(loss) per share:</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1.65</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91"/>
        </w:trPr>
        <w:tc>
          <w:tcPr>
            <w:tcW w:w="47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1.63</w:t>
            </w: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used in computing earnings (loss) per share:</w:t>
            </w: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304"/>
        </w:trPr>
        <w:tc>
          <w:tcPr>
            <w:tcW w:w="47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13,894</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13,836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13,861</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13,997</w:t>
            </w:r>
          </w:p>
        </w:tc>
      </w:tr>
      <w:tr>
        <w:trPr>
          <w:trHeight w:val="251"/>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14,170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13,959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14,116</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for further information concerning our purchases from related party vendors.</w:t>
      </w:r>
    </w:p>
    <w:p>
      <w:pPr>
        <w:spacing w:after="0" w:line="17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4" w:right="239" w:bottom="1440" w:gutter="0" w:footer="0" w:header="0"/>
        </w:sectPr>
      </w:pPr>
    </w:p>
    <w:bookmarkStart w:id="4" w:name="page5"/>
    <w:bookmarkEnd w:id="4"/>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COMPREHENSIVE INCOME (LOSS) STATEMENTS</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320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23,031</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(5,457)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w:t>
            </w:r>
          </w:p>
        </w:tc>
      </w:tr>
      <w:tr>
        <w:trPr>
          <w:trHeight w:val="25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90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(2,788)</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17,841</w:t>
            </w: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for further information concerning our purchases from related party vendors.</w:t>
      </w:r>
    </w:p>
    <w:p>
      <w:pPr>
        <w:spacing w:after="0" w:line="17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4" w:right="239" w:bottom="1440" w:gutter="0" w:footer="0" w:header="0"/>
        </w:sectPr>
      </w:pPr>
    </w:p>
    <w:bookmarkStart w:id="5" w:name="page6"/>
    <w:bookmarkEnd w:id="5"/>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changes in total equity for the three and nine months ended September 30, 2019:</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212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Issued</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5"/>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 Treasury</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32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3"/>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4"/>
                <w:szCs w:val="4"/>
                <w:color w:val="auto"/>
              </w:rPr>
            </w:pPr>
          </w:p>
        </w:tc>
        <w:tc>
          <w:tcPr>
            <w:tcW w:w="860" w:type="dxa"/>
            <w:vAlign w:val="bottom"/>
            <w:gridSpan w:val="2"/>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3200" w:type="dxa"/>
            <w:vAlign w:val="bottom"/>
          </w:tcPr>
          <w:p>
            <w:pPr>
              <w:spacing w:after="0"/>
              <w:rPr>
                <w:sz w:val="6"/>
                <w:szCs w:val="6"/>
                <w:color w:val="auto"/>
              </w:rPr>
            </w:pPr>
          </w:p>
        </w:tc>
        <w:tc>
          <w:tcPr>
            <w:tcW w:w="82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vMerge w:val="restart"/>
          </w:tcPr>
          <w:p>
            <w:pPr>
              <w:spacing w:after="0"/>
              <w:rPr>
                <w:sz w:val="6"/>
                <w:szCs w:val="6"/>
                <w:color w:val="auto"/>
              </w:rPr>
            </w:pPr>
          </w:p>
        </w:tc>
        <w:tc>
          <w:tcPr>
            <w:tcW w:w="920" w:type="dxa"/>
            <w:vAlign w:val="bottom"/>
            <w:vMerge w:val="restart"/>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vMerge w:val="restart"/>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5"/>
        </w:trPr>
        <w:tc>
          <w:tcPr>
            <w:tcW w:w="32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at December 31, 2018</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23,933</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239</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(275,889)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276,103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282,788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262,960</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1,733</w:t>
            </w:r>
          </w:p>
        </w:tc>
        <w:tc>
          <w:tcPr>
            <w:tcW w:w="0" w:type="dxa"/>
            <w:vAlign w:val="bottom"/>
          </w:tcPr>
          <w:p>
            <w:pPr>
              <w:spacing w:after="0"/>
              <w:rPr>
                <w:sz w:val="1"/>
                <w:szCs w:val="1"/>
                <w:color w:val="auto"/>
              </w:rPr>
            </w:pPr>
          </w:p>
        </w:tc>
      </w:tr>
      <w:tr>
        <w:trPr>
          <w:trHeight w:val="216"/>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Shares issued for employee benefit plan and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347</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Purchase of treasury shares</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Shares issued to directors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Employee and director stock-based</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1,918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1,918</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Performance - based common stock warrants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434</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at March 31, 2019</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(277,104)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278,801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281,783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265,172</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(5,061)</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0" w:type="dxa"/>
            <w:vAlign w:val="bottom"/>
          </w:tcPr>
          <w:p>
            <w:pPr>
              <w:spacing w:after="0"/>
              <w:rPr>
                <w:sz w:val="1"/>
                <w:szCs w:val="1"/>
                <w:color w:val="auto"/>
              </w:rPr>
            </w:pPr>
          </w:p>
        </w:tc>
      </w:tr>
      <w:tr>
        <w:trPr>
          <w:trHeight w:val="216"/>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Shares issued for employee benefit plan and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Purchase of treasury shares</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Shares issued to directors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Employee and director stock-based</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2,273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2,273</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Performance-based common stock warrants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236</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at June 30, 2019</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24,043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(277,293)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281,583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276,722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260,871</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2,669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2,669</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(5,457)</w:t>
            </w:r>
          </w:p>
        </w:tc>
        <w:tc>
          <w:tcPr>
            <w:tcW w:w="0" w:type="dxa"/>
            <w:vAlign w:val="bottom"/>
          </w:tcPr>
          <w:p>
            <w:pPr>
              <w:spacing w:after="0"/>
              <w:rPr>
                <w:sz w:val="1"/>
                <w:szCs w:val="1"/>
                <w:color w:val="auto"/>
              </w:rPr>
            </w:pPr>
          </w:p>
        </w:tc>
      </w:tr>
      <w:tr>
        <w:trPr>
          <w:trHeight w:val="216"/>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Shares issued for employee benefit plan and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Purchase of treasury shares</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 options exercised</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411</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Shares issued to directors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Employee and director stock-based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2,527</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Performance-based common stock warrants</w:t>
            </w: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711</w:t>
            </w:r>
          </w:p>
        </w:tc>
        <w:tc>
          <w:tcPr>
            <w:tcW w:w="0" w:type="dxa"/>
            <w:vAlign w:val="bottom"/>
          </w:tcPr>
          <w:p>
            <w:pPr>
              <w:spacing w:after="0"/>
              <w:rPr>
                <w:sz w:val="1"/>
                <w:szCs w:val="1"/>
                <w:color w:val="auto"/>
              </w:rPr>
            </w:pPr>
          </w:p>
        </w:tc>
      </w:tr>
      <w:tr>
        <w:trPr>
          <w:trHeight w:val="217"/>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at September 30, 2019</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24,099</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(10,171)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(277,630)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285,487</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(25,838)</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279,391</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261,651</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for further information concerning our purchases from related party vendors.</w:t>
      </w:r>
    </w:p>
    <w:p>
      <w:pPr>
        <w:spacing w:after="0" w:line="11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4" w:right="239" w:bottom="1440" w:gutter="0" w:footer="0" w:header="0"/>
        </w:sectPr>
      </w:pPr>
    </w:p>
    <w:bookmarkStart w:id="6" w:name="page7"/>
    <w:bookmarkEnd w:id="6"/>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changes in total equity for the three and nine months ended September 30, 2018:</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212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Issued</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5"/>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 Treasury</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32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3"/>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4"/>
                <w:szCs w:val="4"/>
                <w:color w:val="auto"/>
              </w:rPr>
            </w:pPr>
          </w:p>
        </w:tc>
        <w:tc>
          <w:tcPr>
            <w:tcW w:w="860" w:type="dxa"/>
            <w:vAlign w:val="bottom"/>
            <w:gridSpan w:val="2"/>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3200" w:type="dxa"/>
            <w:vAlign w:val="bottom"/>
          </w:tcPr>
          <w:p>
            <w:pPr>
              <w:spacing w:after="0"/>
              <w:rPr>
                <w:sz w:val="6"/>
                <w:szCs w:val="6"/>
                <w:color w:val="auto"/>
              </w:rPr>
            </w:pPr>
          </w:p>
        </w:tc>
        <w:tc>
          <w:tcPr>
            <w:tcW w:w="82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vMerge w:val="restart"/>
          </w:tcPr>
          <w:p>
            <w:pPr>
              <w:spacing w:after="0"/>
              <w:rPr>
                <w:sz w:val="6"/>
                <w:szCs w:val="6"/>
                <w:color w:val="auto"/>
              </w:rPr>
            </w:pPr>
          </w:p>
        </w:tc>
        <w:tc>
          <w:tcPr>
            <w:tcW w:w="920" w:type="dxa"/>
            <w:vAlign w:val="bottom"/>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vMerge w:val="restart"/>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5"/>
        </w:trPr>
        <w:tc>
          <w:tcPr>
            <w:tcW w:w="32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at December 31, 2017</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23,760</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238</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(262,065)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265,195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266,780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253,549</w:t>
            </w:r>
          </w:p>
        </w:tc>
        <w:tc>
          <w:tcPr>
            <w:tcW w:w="0" w:type="dxa"/>
            <w:vAlign w:val="bottom"/>
          </w:tcPr>
          <w:p>
            <w:pPr>
              <w:spacing w:after="0"/>
              <w:rPr>
                <w:sz w:val="1"/>
                <w:szCs w:val="1"/>
                <w:color w:val="auto"/>
              </w:rPr>
            </w:pPr>
          </w:p>
        </w:tc>
      </w:tr>
      <w:tr>
        <w:trPr>
          <w:trHeight w:val="216"/>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Impact to retained earnings from adoption of</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ASU 2014-09</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4,084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4,084</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at January 1, 2018</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23,760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238</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(262,065)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265,195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270,864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257,633</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3,646</w:t>
            </w:r>
          </w:p>
        </w:tc>
        <w:tc>
          <w:tcPr>
            <w:tcW w:w="0" w:type="dxa"/>
            <w:vAlign w:val="bottom"/>
          </w:tcPr>
          <w:p>
            <w:pPr>
              <w:spacing w:after="0"/>
              <w:rPr>
                <w:sz w:val="1"/>
                <w:szCs w:val="1"/>
                <w:color w:val="auto"/>
              </w:rPr>
            </w:pPr>
          </w:p>
        </w:tc>
      </w:tr>
      <w:tr>
        <w:trPr>
          <w:trHeight w:val="216"/>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Shares issued for employee benefit plan and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Purchase of treasury shares</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 options exercised</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439</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Shares issued to directors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Employee and director stock-based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2,204</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Performance - based common stock warrants</w:t>
            </w: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471</w:t>
            </w:r>
          </w:p>
        </w:tc>
        <w:tc>
          <w:tcPr>
            <w:tcW w:w="0" w:type="dxa"/>
            <w:vAlign w:val="bottom"/>
          </w:tcPr>
          <w:p>
            <w:pPr>
              <w:spacing w:after="0"/>
              <w:rPr>
                <w:sz w:val="1"/>
                <w:szCs w:val="1"/>
                <w:color w:val="auto"/>
              </w:rPr>
            </w:pPr>
          </w:p>
        </w:tc>
      </w:tr>
      <w:tr>
        <w:trPr>
          <w:trHeight w:val="217"/>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at March 31, 2018</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23,830</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238</w:t>
            </w:r>
          </w:p>
        </w:tc>
        <w:tc>
          <w:tcPr>
            <w:tcW w:w="12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(262,680)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268,645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(12,953)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270,277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263,527</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22,659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22,659</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(5,058)</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Shares issued for employee benefit plan and</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Purchase of treasury shares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(6,499)</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 options exercised</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265</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Shares issued to directors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Employee and director stock-based</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2,465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2,465</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Performance-based common stock warrants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at June 30, 2018</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239</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(269,179)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271,500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292,936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277,485</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959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959</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(3,778)</w:t>
            </w:r>
          </w:p>
        </w:tc>
        <w:tc>
          <w:tcPr>
            <w:tcW w:w="0" w:type="dxa"/>
            <w:vAlign w:val="bottom"/>
          </w:tcPr>
          <w:p>
            <w:pPr>
              <w:spacing w:after="0"/>
              <w:rPr>
                <w:sz w:val="1"/>
                <w:szCs w:val="1"/>
                <w:color w:val="auto"/>
              </w:rPr>
            </w:pPr>
          </w:p>
        </w:tc>
      </w:tr>
      <w:tr>
        <w:trPr>
          <w:trHeight w:val="216"/>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Shares issued for employee benefit plan and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Purchase of treasury shares</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(5,450)</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 options exercised</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Shares issued to directors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Employee and director stock-based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2,139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2,139</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Performance-based common stock warrants</w:t>
            </w: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404</w:t>
            </w:r>
          </w:p>
        </w:tc>
        <w:tc>
          <w:tcPr>
            <w:tcW w:w="0" w:type="dxa"/>
            <w:vAlign w:val="bottom"/>
          </w:tcPr>
          <w:p>
            <w:pPr>
              <w:spacing w:after="0"/>
              <w:rPr>
                <w:sz w:val="1"/>
                <w:szCs w:val="1"/>
                <w:color w:val="auto"/>
              </w:rPr>
            </w:pPr>
          </w:p>
        </w:tc>
      </w:tr>
      <w:tr>
        <w:trPr>
          <w:trHeight w:val="217"/>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at September 30, 2018</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23,892</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239</w:t>
            </w:r>
          </w:p>
        </w:tc>
        <w:tc>
          <w:tcPr>
            <w:tcW w:w="12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(10,076)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(274,629)</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274,493</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(21,789)</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293,895</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272,209</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for further information concerning our purchases from related party vendors.</w:t>
      </w:r>
    </w:p>
    <w:p>
      <w:pPr>
        <w:spacing w:after="0" w:line="11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4" w:right="239" w:bottom="1440" w:gutter="0" w:footer="0" w:header="0"/>
        </w:sectPr>
      </w:pPr>
    </w:p>
    <w:bookmarkStart w:id="7" w:name="page8"/>
    <w:bookmarkEnd w:id="7"/>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83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provided by (used for)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(3,397)</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23,031</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for)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23,734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25,264</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r>
      <w:tr>
        <w:trPr>
          <w:trHeight w:val="237"/>
        </w:trPr>
        <w:tc>
          <w:tcPr>
            <w:tcW w:w="834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Provision for inventory write-downs</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11,222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6,450</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Gain on sale of Guangzhou factory</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(36,978)</w:t>
            </w:r>
          </w:p>
        </w:tc>
      </w:tr>
      <w:tr>
        <w:trPr>
          <w:trHeight w:val="237"/>
        </w:trPr>
        <w:tc>
          <w:tcPr>
            <w:tcW w:w="834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2,273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Shares issued for employee benefit plan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880</w:t>
            </w:r>
          </w:p>
        </w:tc>
      </w:tr>
      <w:tr>
        <w:trPr>
          <w:trHeight w:val="237"/>
        </w:trPr>
        <w:tc>
          <w:tcPr>
            <w:tcW w:w="834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Employee and director stock-based compensation</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6,808</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Performance-based common stock warrants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747</w:t>
            </w:r>
          </w:p>
        </w:tc>
      </w:tr>
      <w:tr>
        <w:trPr>
          <w:trHeight w:val="237"/>
        </w:trPr>
        <w:tc>
          <w:tcPr>
            <w:tcW w:w="834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Impairment of China factory equipment</w:t>
            </w: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2,886</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Accounts receivable and contract assets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(9,535)</w:t>
            </w:r>
          </w:p>
        </w:tc>
      </w:tr>
      <w:tr>
        <w:trPr>
          <w:trHeight w:val="237"/>
        </w:trPr>
        <w:tc>
          <w:tcPr>
            <w:tcW w:w="834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5,507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(4,194)</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11,686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(13,142)</w:t>
            </w:r>
          </w:p>
        </w:tc>
      </w:tr>
      <w:tr>
        <w:trPr>
          <w:trHeight w:val="237"/>
        </w:trPr>
        <w:tc>
          <w:tcPr>
            <w:tcW w:w="834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Accrued income taxes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(4,134)</w:t>
            </w:r>
          </w:p>
        </w:tc>
      </w:tr>
      <w:tr>
        <w:trPr>
          <w:trHeight w:val="33"/>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Net cash provided by (used for)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39,921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(4,574)</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provided by (used for) investing activities: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Proceeds from sale of Guangzhou factory</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51,291</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Acquisitions of property, plant and equipment</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(16,838)</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Refund of deposit received toward sale of Guangzhou factory</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(5,053)</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Acquisitions of intangible assets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(1,911)</w:t>
            </w:r>
          </w:p>
        </w:tc>
      </w:tr>
      <w:tr>
        <w:trPr>
          <w:trHeight w:val="33"/>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Net cash provided by (used for) investing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(17,359)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27,489</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provided by (used for) financing activities: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Borrowings under line of credit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57,500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48,000</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Repayments on line of credit</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(82,500)</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Proceeds from stock options exercised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864</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Treasury stock purchased</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(12,564)</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Contingent consideration payments in connection with business combinations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(3,858)</w:t>
            </w:r>
          </w:p>
        </w:tc>
      </w:tr>
      <w:tr>
        <w:trPr>
          <w:trHeight w:val="217"/>
        </w:trPr>
        <w:tc>
          <w:tcPr>
            <w:tcW w:w="83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Net cash provided by (used for) financing activities</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(19,081)</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(50,058)</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1,799</w:t>
            </w:r>
          </w:p>
        </w:tc>
      </w:tr>
      <w:tr>
        <w:trPr>
          <w:trHeight w:val="21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1,522</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(25,344)</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53,207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67,339</w:t>
            </w:r>
          </w:p>
        </w:tc>
      </w:tr>
      <w:tr>
        <w:trPr>
          <w:trHeight w:val="284"/>
        </w:trPr>
        <w:tc>
          <w:tcPr>
            <w:tcW w:w="8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54,729</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41,995</w:t>
            </w:r>
          </w:p>
        </w:tc>
      </w:tr>
      <w:tr>
        <w:trPr>
          <w:trHeight w:val="284"/>
        </w:trPr>
        <w:tc>
          <w:tcPr>
            <w:tcW w:w="83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taxes paid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5,453</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paid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3,479</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3,722</w:t>
            </w:r>
          </w:p>
        </w:tc>
      </w:tr>
      <w:tr>
        <w:trPr>
          <w:trHeight w:val="243"/>
        </w:trPr>
        <w:tc>
          <w:tcPr>
            <w:tcW w:w="8340" w:type="dxa"/>
            <w:vAlign w:val="bottom"/>
          </w:tcPr>
          <w:p>
            <w:pPr>
              <w:spacing w:after="0"/>
              <w:rPr>
                <w:sz w:val="20"/>
                <w:szCs w:val="20"/>
                <w:color w:val="auto"/>
              </w:rPr>
            </w:pPr>
            <w:r>
              <w:rPr>
                <w:rFonts w:ascii="Times New Roman" w:cs="Times New Roman" w:eastAsia="Times New Roman" w:hAnsi="Times New Roman"/>
                <w:sz w:val="16"/>
                <w:szCs w:val="16"/>
                <w:color w:val="auto"/>
              </w:rPr>
              <w:t>See Note 4 for further information concerning our purchases from related party vendors.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bl>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ectPr>
          <w:pgSz w:w="11900" w:h="16838" w:orient="portrait"/>
          <w:cols w:equalWidth="0" w:num="1">
            <w:col w:w="11420"/>
          </w:cols>
          <w:pgMar w:left="240" w:top="114"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4" w:right="239" w:bottom="1440" w:gutter="0" w:footer="0" w:header="0"/>
          <w:type w:val="continuous"/>
        </w:sectPr>
      </w:pPr>
    </w:p>
    <w:bookmarkStart w:id="8" w:name="page9"/>
    <w:bookmarkEnd w:id="8"/>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 and Significant Accounting Policies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opinion of management, the accompanying consolidated financial statements of Universal Electronics Inc. and its subsidiaries contain all the adjustments necessary for a fair presentation of financial position, results of operations and cash flows for the periods presented. All such adjustments are of a normal recurring nature and certain reclassifications have been made to prior year amounts in order to conform to the current year presentation. Information and footnote disclosures normally included in financial statements, which are prepared in accordance with accounting principles generally accepted in the United States of America ("U.S. GAAP"), have been condensed or omitted pursuant to the rules and regulations of the Securities and Exchange Commission. As used herein, the terms "Company," "we," "us," and "our" refer to Universal Electronics Inc. and its subsidiaries, unless the context indicates to the contrary.</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results of operations for the three and nine months ended September 30, 2019 are not necessarily indicative of the results to be expected for the full year. These financial statements should be read in conjunction with the "Risk Factors," "Management's Discussion and Analysis of Financial Condition and Results of Operations," "Quantitative and Qualitative Disclosures About Market Risk," and the "Financial Statements and Supplementary Data" included in Items 1A, 7, 7A, and 8, respectively, of our Annual Report on Form 10-K for the year ended December 31, 2018.</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Estimates, Judgments and Assumptions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us to make estimates, judgments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allowances for doubtful accounts, inventory valuation, our review for impairment of long-lived assets, intangible assets and goodwill, business combinations, income taxes, stock-based compensation expense and performance-based common stock warrants. Actual results may differ from these estimates and assumptions, and they may be adjusted as more information becomes available.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adopted Accounting Standards Update ("ASU") 2014-09, "Revenue from Contracts with Customers," and all related amendments as of January 1, 2018.</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performance obligations primarily arise from manufacturing and delivering universal control, sensing and automation products and AV accessories, which are sold through multiple channels, and intellectual property that is embedded in these products or licensed to others. Our contracts have an anticipated duration of less than a year. These performance obligations are satisfied at a point in time or over time, as described below. Payment terms are typically on open credit terms consistent with industry practice and do not have significant financing components. Some contracts contain early payment discounts, which are recognized as a reduction to revenue if the customer typically meets the early payment conditions, and are insignificant to net sales. Consideration may be variable based on indeterminate volumes.</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January 1, 2018, revenue is recognized over time when the customer simultaneously receives and consumes the benefits provided by our performance, our performance creates or enhances an asset that the customer controls, or when our performance creates an asset with no alternative use to us (custom products) and we have an enforceable right to payment for performance completed to date through a contractual commitment from the customer. An asset does not have an alternative use if we are unable to redirect the asset to another customer in the foreseeable future without significant rework. The method for measuring progress towards satisfying a performance obligation for a custom product is based on the costs incurred to date (cost-to-cost method). We believe that the costs associated with production are most closely aligned with the revenue associated with those products. Revenue recognized over time, for which we have not yet invoiced the customer, is included in contract assets in our consolidated balance sheets. Generally, we invoice the customer within 90 days of revenue recognition.</w:t>
      </w:r>
    </w:p>
    <w:p>
      <w:pPr>
        <w:spacing w:after="0" w:line="1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 revenue at a point in time if the criteria for recognizing revenue over time are not met, the title of the goods has transferred, and we have a present right to payment.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typically recognize revenue for the sale of tooling at a point in time, which is generally upon completion of the tooling and, if applicable, acceptance by the customer.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4" w:right="239" w:bottom="1440" w:gutter="0" w:footer="0" w:header="0"/>
        </w:sectPr>
      </w:pPr>
    </w:p>
    <w:bookmarkStart w:id="9" w:name="page10"/>
    <w:bookmarkEnd w:id="9"/>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provision is recorded for estimated sales returns and allowances and is deducted from gross sales to arrive at net sales in the period the related revenue is recorded. These estimates are based on historical sales returns and allowances, analysis of credit memo data and other known factors. Actual returns and claims in any future period are inherently uncertain and thus may differ from our estimates. If actual or expected future returns and claims are significantly greater or lower than the reserves that we have established, we will record a reduction or increase to net revenue in the period in which we make such a determination.</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accrue for discounts and rebates based on historical experience and our expectations regarding future sales to our customers. Accruals for discounts and rebates are recorded as a reduction to sales in the same period as the related revenue. Changes in such accruals may be required if future rebates and incentives differ from our estimates.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license our intellectual property including our patented technologies, trademarks, and database of control codes. When license fees are paid on a per-unit basis, we record license revenue when our customers manufacture or ship a product incorporating our intellectual property and we have a present right to payment. When a fixed up-front license fee is received in exchange for the delivery of a particular database of infrared codes or the contract contains a minimum guarantee provision, we record revenue when delivery of the intellectual property has occurred. Tiered royalties are recorded on a straight-line basis according to the forecasted per-unit fees taking into account the pricing tiers.</w:t>
      </w:r>
    </w:p>
    <w:p>
      <w:pPr>
        <w:spacing w:after="0" w:line="13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Contract assets represent revenue which has been recognized based on our accounting policies but for which the customer has not yet been invoiced and thus an account receivable has not yet been recorded.</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Trade accounts receivable are recorded at the invoiced amount and do not bear interest. Sales allowances are recognized as reductions of gross accounts receivable to arrive at accounts receivable, net if the sales allowances are distributed in customer account credits. See Note 3 for further information concerning our sales allowances.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present all non-income government-assessed taxes (sales, use and value added taxes) collected from our customers and remitted to governmental agencies on a net basis (excluded from revenue) in our financial statements. The government-assessed taxes are recorded in our consolidated balance sheets until they are remitted to the government agency.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adopted ASU 2016-02, "Leases," and all related amendments as of January 1, 2019.</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determine if an arrangement is a lease at inception and determine the classification of the lease, as either operating or finance, at commencement. Operating leases are included in operating lease right-of-use (“ROU”) assets, other accrued liabilities and long-term operating lease obligations on our consolidated balance sheets. We presently do not have any finance leases.</w:t>
      </w:r>
    </w:p>
    <w:p>
      <w:pPr>
        <w:spacing w:after="0" w:line="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the lease. Operating lease ROU assets and liabilities are recognized at the commencement date of the lease based on the present value of lease payments over the lease term. As most of our leases do not provide an implicit rate, we use our incremental borrowing rate based on the information available at the commencement date, including the lease term, in determining the present value of lease payments. Operating lease ROU assets also factor in any lease payments made, initial direct costs and lease incentives received. Our lease terms may include options to extend or terminate the lease when it is reasonably certain that we will exercise that option. Some of our leases include options to extend with a range of three to five years with up to two extensions at the then current market rate. Lease expense for lease payments is recognized on a straight-line basis over the lease term.</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Leases with an initial term of twelve months or less are not recorded on the balance sheet and are recognized on a straight-line basis over the lease term. If applicable, we combine lease and non-lease components, which primarily relate to ancillary expenses associated with real estate leases such as common area maintenance charges and management fees.</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other significant changes in our accounting policies during the three and nine months ended September 30, 2019 compared to the significant accounting policies described in our Annual Report on Form 10-K for the year ended December 31, 2018.</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4" w:right="239" w:bottom="1440" w:gutter="0" w:footer="0" w:header="0"/>
        </w:sectPr>
      </w:pPr>
    </w:p>
    <w:bookmarkStart w:id="10" w:name="page11"/>
    <w:bookmarkEnd w:id="10"/>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2016, the Financial Accounting Standards Board ("FASB") issued ASU 2016-02 (with amendments issued in 2018), which changes the accounting for leases and requires expanded disclosures about leasing activities. This new guidance also requires lessees to recognize a ROU asset and a lease liability at the commencement date for all leases with terms greater than twelve months. Accounting by lessors is largely unchanged. ASU 2016-02 is effective for fiscal periods beginning after December 15, 2018. We adopted ASU 2016-02 on January 1, 2019 using the modified retrospective optional transition method. Thus, the standard was applied starting January 1, 2019 and prior periods were not restated.</w:t>
      </w:r>
    </w:p>
    <w:p>
      <w:pPr>
        <w:spacing w:after="0" w:line="1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applied the package of practical expedients permitted under the transition guidance. As a result, we did not reassess the identification, classification and initial direct costs of leases commencing before the effective date. We also applied the practical expedient to not separate lease and non-lease components to all new leases as well as leases commencing before the effective date.</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adoption, ASU 2016-02 resulted in the recognition of lease ROU assets, accrued liabilities and long-term liabilities related to operating leases of $20.7 million, $3.3 million and $17.0 million, respectively. In addition, assets and liabilities totaling $2.5 million and $2.3 million, respectively, were reclassified into the opening ROU asset balance. The adoption of ASU 2016-02 did not result in any cumulative-effect adjustment to the opening balance of retained earnings and did not have any impact on our results of operations, cash flows or debt covenants.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for additional information.</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Accounting Pronouncements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2018, the FASB issued ASU 2018-07, "Improvements to Non-employee Share-Based Payment Accounting." This guidance expands the scope of Topic 718, "Compensation - Stock Compensation" to include share-based payment transactions for acquiring goods and services from non-employees, but excludes awards granted in conjunction with selling goods or services to a customer as part of a contract accounted for under ASC 606, "Revenue from Contracts with Customers." The adoption of ASU 2018-07 did not have a material impact on our consolidated financial statements.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August 2018, the FASB issued ASU 2018-15, "Customer’s Accounting for Implementation Costs Incurred in a Cloud Computing Arrangement That Is a Service Contract," which amends ASC 350-40, "Intangibles - Goodwill and Other - Internal-Use Software." The ASU aligns the requirements for capitalizing implementation costs incurred in a hosting arrangement that is a service contract with the requirements for capitalizing implementation costs incurred to develop or obtain internal-use software and requires the capitalized implementation costs to be expensed over the term of the hosting arrangement. The accounting for the service element of a hosting arrangement that is a service contract is not affected. ASU 2018-15 is effective for fiscal periods beginning after December 15, 2019, and interim periods within those fiscal years. The adoption of ASU 2018-15, effective January 1, 2019, did not have a material impact on our consolidated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Updates Not Yet Effective</w:t>
      </w:r>
    </w:p>
    <w:p>
      <w:pPr>
        <w:spacing w:after="0" w:line="17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In June 2016, the FASB issued ASU 2016-13, “Measurement of Credit Losses on Financial Instruments.” This guidance updates existing guidance for measuring and recording credit losses on financial assets measured at amortized cost by replacing the “incurred loss” model with an “expected loss” model. Accordingly, these financial assets will be presented at the net amount expected to be collected. ASU 2016-13 is effective for fiscal years beginning after December 15, 2019. Early adoption is permitted. We are currently evaluating the impact that ASU 2016-13 will have on our consolidated financial statements.</w:t>
      </w:r>
    </w:p>
    <w:p>
      <w:pPr>
        <w:spacing w:after="0" w:line="1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2017, the FASB issued ASU 2017-04, "Simplifying the Test for Goodwill Impairment." This guidance simplifies how an entity is required to test goodwill for impairment by eliminating Step 2 from the goodwill impairment test. Instead, if the carrying amount of a reporting unit exceeds its fair value, an impairment loss will be recognized in an amount equal to that excess, limited to the total amount of goodwill allocated to the reporting unit. ASU 2017-04 is effective for fiscal periods beginning after December 31, 2019. Early adoption is permitted. We do not expect the adoption of ASU 2017-04 to have a material impact on our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4" w:right="239" w:bottom="1440" w:gutter="0" w:footer="0" w:header="0"/>
        </w:sectPr>
      </w:pPr>
    </w:p>
    <w:bookmarkStart w:id="11" w:name="page12"/>
    <w:bookmarkEnd w:id="11"/>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Cash and Cash Equivalents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were held in the following geographic regions: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7,226</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8"/>
              </w:rPr>
              <w:t>1,156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People's Republic of China ("PRC")</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20,885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Asia (excluding the PRC)</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8"/>
              </w:rPr>
              <w:t>2,398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19,907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South America</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11,421</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8"/>
              </w:rPr>
              <w:t>8,861</w:t>
            </w:r>
          </w:p>
        </w:tc>
        <w:tc>
          <w:tcPr>
            <w:tcW w:w="0" w:type="dxa"/>
            <w:vAlign w:val="bottom"/>
          </w:tcPr>
          <w:p>
            <w:pPr>
              <w:spacing w:after="0"/>
              <w:rPr>
                <w:sz w:val="1"/>
                <w:szCs w:val="1"/>
                <w:color w:val="auto"/>
              </w:rPr>
            </w:pPr>
          </w:p>
        </w:tc>
      </w:tr>
      <w:tr>
        <w:trPr>
          <w:trHeight w:val="257"/>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54,729</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53,207</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3 — Accounts Receivable, Net and Revenue Concentrations</w:t>
            </w: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51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were as follows: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5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receivables, gross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151,220</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133,774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Allowance for sales returns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trade receivables</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149,431</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131,922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7,707</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12,767</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157,138</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144,689</w:t>
            </w:r>
          </w:p>
        </w:tc>
        <w:tc>
          <w:tcPr>
            <w:tcW w:w="0" w:type="dxa"/>
            <w:vAlign w:val="bottom"/>
          </w:tcPr>
          <w:p>
            <w:pPr>
              <w:spacing w:after="0"/>
              <w:rPr>
                <w:sz w:val="1"/>
                <w:szCs w:val="1"/>
                <w:color w:val="auto"/>
              </w:rPr>
            </w:pPr>
          </w:p>
        </w:tc>
      </w:tr>
      <w:tr>
        <w:trPr>
          <w:trHeight w:val="27"/>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Allowance for Doubtful Accounts</w:t>
            </w: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1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allowance for doubtful accounts were as follows: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5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51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left="175"/>
              <w:spacing w:after="0"/>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8"/>
              </w:rPr>
              <w:t>1,064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 to costs and expenses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(Write-offs)/Foreign exchange effects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Significant Customers</w:t>
            </w: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1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sales to the following customers totaled more than 10% of our net sales:</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5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5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Comcast Corporation</w:t>
            </w: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30,419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32,336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Ring L.L.C.</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21,050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702"/>
        </w:trPr>
        <w:tc>
          <w:tcPr>
            <w:tcW w:w="5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517"/>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2" w:name="page13"/>
    <w:bookmarkEnd w:id="12"/>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r>
      <w:tr>
        <w:trPr>
          <w:trHeight w:val="264"/>
        </w:trPr>
        <w:tc>
          <w:tcPr>
            <w:tcW w:w="53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ind w:right="11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2"/>
          </w:tcPr>
          <w:p>
            <w:pPr>
              <w:jc w:val="right"/>
              <w:ind w:right="156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4"/>
        </w:trPr>
        <w:tc>
          <w:tcPr>
            <w:tcW w:w="53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34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 of Net Sales</w:t>
            </w:r>
          </w:p>
        </w:tc>
      </w:tr>
      <w:tr>
        <w:trPr>
          <w:trHeight w:val="242"/>
        </w:trPr>
        <w:tc>
          <w:tcPr>
            <w:tcW w:w="5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Comcast Corporation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91,058</w:t>
            </w:r>
          </w:p>
        </w:tc>
        <w:tc>
          <w:tcPr>
            <w:tcW w:w="17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  $</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99,853</w:t>
            </w:r>
          </w:p>
        </w:tc>
        <w:tc>
          <w:tcPr>
            <w:tcW w:w="200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19.6%</w:t>
            </w:r>
          </w:p>
        </w:tc>
      </w:tr>
      <w:tr>
        <w:trPr>
          <w:trHeight w:val="27"/>
        </w:trPr>
        <w:tc>
          <w:tcPr>
            <w:tcW w:w="5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1" w:lineRule="exact"/>
        <w:rPr>
          <w:sz w:val="20"/>
          <w:szCs w:val="20"/>
          <w:color w:val="auto"/>
        </w:rPr>
      </w:pPr>
    </w:p>
    <w:p>
      <w:pPr>
        <w:ind w:left="520" w:hanging="188"/>
        <w:spacing w:after="0"/>
        <w:tabs>
          <w:tab w:leader="none" w:pos="52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Net sales to this customer did not total more than 10% of our total net sales in the prior period.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customers with an accounts receivable balance in excess of 10% of the total accounts receivable balance as of September 30, 2019.</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Pattern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pattern of revenue recognition was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10"/>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Goods and services transferred at a point in time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108,065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97,952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309,841</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275,552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Goods and services transferred over time</w:t>
            </w:r>
          </w:p>
        </w:tc>
        <w:tc>
          <w:tcPr>
            <w:tcW w:w="32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92,659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84,765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268,942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200,724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182,717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578,783</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509,938</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 Inventories, Net and Significant Suppliers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53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 were as follows:</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53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20" w:type="dxa"/>
            <w:vAlign w:val="bottom"/>
            <w:tcBorders>
              <w:bottom w:val="single" w:sz="8" w:color="CCEEFF"/>
            </w:tcBorders>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49"/>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center"/>
              <w:ind w:left="17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59,412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68,834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Components</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21,557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5,757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60,306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Reserve for excess and obsolete inventory</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Inventories, net</w:t>
            </w: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137,522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144,350</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Reserve for Excess and Obsolete Inventory</w:t>
            </w: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8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reserve for excess and obsolete inventory were as follows:</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5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40" w:type="dxa"/>
            <w:vAlign w:val="bottom"/>
            <w:gridSpan w:val="12"/>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gridSpan w:val="3"/>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CCEEFF"/>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3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Additions charged to costs and expenses </w:t>
            </w:r>
            <w:r>
              <w:rPr>
                <w:rFonts w:ascii="Times New Roman" w:cs="Times New Roman" w:eastAsia="Times New Roman" w:hAnsi="Times New Roman"/>
                <w:sz w:val="25"/>
                <w:szCs w:val="25"/>
                <w:color w:val="auto"/>
                <w:vertAlign w:val="superscript"/>
              </w:rPr>
              <w:t>(1)</w:t>
            </w: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5,353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Sell through </w:t>
            </w:r>
            <w:r>
              <w:rPr>
                <w:rFonts w:ascii="Times New Roman" w:cs="Times New Roman" w:eastAsia="Times New Roman" w:hAnsi="Times New Roman"/>
                <w:sz w:val="25"/>
                <w:szCs w:val="25"/>
                <w:color w:val="auto"/>
                <w:vertAlign w:val="superscript"/>
              </w:rPr>
              <w:t>(2)</w:t>
            </w: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(1,220)</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(Write-offs)/Foreign exchange effects</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7,283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660" w:hanging="328"/>
        <w:spacing w:after="0" w:line="228" w:lineRule="auto"/>
        <w:tabs>
          <w:tab w:leader="none" w:pos="660" w:val="left"/>
        </w:tabs>
        <w:numPr>
          <w:ilvl w:val="0"/>
          <w:numId w:val="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additions charged to costs and expenses do not include inventory directly written-off that was scrapped during production totaling $3.8 million and $1.1 million for the nine months ended September 30, 2019 and 2018, respectively. These amounts are production waste and manufacturing inefficiencies and are not included in management's reserve for excess and obsolete inventory.</w:t>
      </w:r>
    </w:p>
    <w:p>
      <w:pPr>
        <w:spacing w:after="0" w:line="36" w:lineRule="exact"/>
        <w:rPr>
          <w:rFonts w:ascii="Times New Roman" w:cs="Times New Roman" w:eastAsia="Times New Roman" w:hAnsi="Times New Roman"/>
          <w:sz w:val="25"/>
          <w:szCs w:val="25"/>
          <w:color w:val="auto"/>
          <w:vertAlign w:val="superscript"/>
        </w:rPr>
      </w:pPr>
    </w:p>
    <w:p>
      <w:pPr>
        <w:ind w:left="660" w:hanging="328"/>
        <w:spacing w:after="0"/>
        <w:tabs>
          <w:tab w:leader="none" w:pos="660" w:val="left"/>
        </w:tabs>
        <w:numPr>
          <w:ilvl w:val="0"/>
          <w:numId w:val="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These amounts represent the reduction in reserves associated with inventory items that were sold during the period.</w:t>
      </w:r>
    </w:p>
    <w:p>
      <w:pPr>
        <w:sectPr>
          <w:pgSz w:w="11900" w:h="16838" w:orient="portrait"/>
          <w:cols w:equalWidth="0" w:num="1">
            <w:col w:w="11420"/>
          </w:cols>
          <w:pgMar w:left="240" w:top="114"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4" w:right="239" w:bottom="1440" w:gutter="0" w:footer="0" w:header="0"/>
          <w:type w:val="continuous"/>
        </w:sectPr>
      </w:pPr>
    </w:p>
    <w:bookmarkStart w:id="13" w:name="page14"/>
    <w:bookmarkEnd w:id="13"/>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Suppliers</w:t>
      </w:r>
    </w:p>
    <w:p>
      <w:pPr>
        <w:spacing w:after="0" w:line="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purchase integrated circuits, components and finished goods from multiple sources. No suppliers totaled more than 10% of our total inventory purchases for the three and nine months ended September 30, 2019 and 2018.</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Supplier</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2018, we purchased certain printed circuit board assemblies from a related party supplier. The supplier was considered a related party for financial reporting purposes because our Senior Vice President of Strategic Operations owned 40% of this supplier. In the second quarter of 2018, our Senior Vice President sold his interest in this supplier, and thus this supplier is no longer considered a related party.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inventory purchases made from this supplier while it was a related party were $1.1 million during the nine months ended September 30, 2018.</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Leases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entered into various operating lease agreements for automobiles, offices and manufacturing facilities throughout the world. At September 30, 2019, our operating leases had remaining lease terms of up to 42 years.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balances within our consolidated balance sheet were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September 30, 2019</w:t>
            </w:r>
          </w:p>
        </w:tc>
      </w:tr>
      <w:tr>
        <w:trPr>
          <w:trHeight w:val="249"/>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304"/>
        </w:trPr>
        <w:tc>
          <w:tcPr>
            <w:tcW w:w="9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19,890</w:t>
            </w: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r>
      <w:tr>
        <w:trPr>
          <w:trHeight w:val="243"/>
        </w:trPr>
        <w:tc>
          <w:tcPr>
            <w:tcW w:w="9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4,501</w:t>
            </w:r>
          </w:p>
        </w:tc>
      </w:tr>
      <w:tr>
        <w:trPr>
          <w:trHeight w:val="27"/>
        </w:trPr>
        <w:tc>
          <w:tcPr>
            <w:tcW w:w="9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operating lease obligations</w:t>
            </w:r>
          </w:p>
        </w:tc>
        <w:tc>
          <w:tcPr>
            <w:tcW w:w="3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15,580</w:t>
            </w:r>
          </w:p>
        </w:tc>
      </w:tr>
      <w:tr>
        <w:trPr>
          <w:trHeight w:val="257"/>
        </w:trPr>
        <w:tc>
          <w:tcPr>
            <w:tcW w:w="92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Total lease liabilities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20,081</w:t>
            </w:r>
          </w:p>
        </w:tc>
      </w:tr>
      <w:tr>
        <w:trPr>
          <w:trHeight w:val="20"/>
        </w:trPr>
        <w:tc>
          <w:tcPr>
            <w:tcW w:w="9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8"/>
          <w:szCs w:val="18"/>
          <w:color w:val="auto"/>
        </w:rPr>
        <w:t>Operating lease expense, including short-term and variable lease costs, which are insignificant to the total, and operating lease cash flows and supplemental cash flow information were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6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620" w:type="dxa"/>
            <w:vAlign w:val="bottom"/>
            <w:tcBorders>
              <w:bottom w:val="single" w:sz="8" w:color="CCEEFF"/>
            </w:tcBorders>
            <w:vMerge w:val="continue"/>
          </w:tcPr>
          <w:p>
            <w:pPr>
              <w:spacing w:after="0"/>
              <w:rPr>
                <w:sz w:val="16"/>
                <w:szCs w:val="16"/>
                <w:color w:val="auto"/>
              </w:rPr>
            </w:pPr>
          </w:p>
        </w:tc>
        <w:tc>
          <w:tcPr>
            <w:tcW w:w="2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0" w:type="dxa"/>
            <w:vAlign w:val="bottom"/>
          </w:tcPr>
          <w:p>
            <w:pPr>
              <w:spacing w:after="0"/>
              <w:rPr>
                <w:sz w:val="1"/>
                <w:szCs w:val="1"/>
                <w:color w:val="auto"/>
              </w:rPr>
            </w:pP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1,627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1,036</w:t>
            </w:r>
          </w:p>
        </w:tc>
        <w:tc>
          <w:tcPr>
            <w:tcW w:w="24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3,324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lease expense</w:t>
            </w:r>
          </w:p>
        </w:tc>
        <w:tc>
          <w:tcPr>
            <w:tcW w:w="2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4,951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21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5,197</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Operating lease right-of-use assets obtained in exchange for lease obligations</w:t>
            </w:r>
          </w:p>
        </w:tc>
        <w:tc>
          <w:tcPr>
            <w:tcW w:w="2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2,655</w:t>
            </w:r>
          </w:p>
        </w:tc>
        <w:tc>
          <w:tcPr>
            <w:tcW w:w="0" w:type="dxa"/>
            <w:vAlign w:val="bottom"/>
          </w:tcPr>
          <w:p>
            <w:pPr>
              <w:spacing w:after="0"/>
              <w:rPr>
                <w:sz w:val="1"/>
                <w:szCs w:val="1"/>
                <w:color w:val="auto"/>
              </w:rPr>
            </w:pPr>
          </w:p>
        </w:tc>
      </w:tr>
      <w:tr>
        <w:trPr>
          <w:trHeight w:val="20"/>
        </w:trPr>
        <w:tc>
          <w:tcPr>
            <w:tcW w:w="778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weighted average remaining lease liability term and the weighted average discount rate were as follows:</w:t>
            </w: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5620" w:type="dxa"/>
            <w:vAlign w:val="bottom"/>
            <w:tcBorders>
              <w:bottom w:val="single" w:sz="8" w:color="CCEEFF"/>
            </w:tcBorders>
          </w:tcPr>
          <w:p>
            <w:pPr>
              <w:spacing w:after="0"/>
              <w:rPr>
                <w:sz w:val="24"/>
                <w:szCs w:val="24"/>
                <w:color w:val="auto"/>
              </w:rPr>
            </w:pPr>
          </w:p>
        </w:tc>
        <w:tc>
          <w:tcPr>
            <w:tcW w:w="21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0" w:type="dxa"/>
            <w:vAlign w:val="bottom"/>
          </w:tcPr>
          <w:p>
            <w:pPr>
              <w:spacing w:after="0"/>
              <w:rPr>
                <w:sz w:val="1"/>
                <w:szCs w:val="1"/>
                <w:color w:val="auto"/>
              </w:rPr>
            </w:pP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lease liability term (in years)</w:t>
            </w:r>
          </w:p>
        </w:tc>
        <w:tc>
          <w:tcPr>
            <w:tcW w:w="2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702"/>
        </w:trPr>
        <w:tc>
          <w:tcPr>
            <w:tcW w:w="5620" w:type="dxa"/>
            <w:vAlign w:val="bottom"/>
          </w:tcPr>
          <w:p>
            <w:pPr>
              <w:spacing w:after="0"/>
              <w:rPr>
                <w:sz w:val="24"/>
                <w:szCs w:val="24"/>
                <w:color w:val="auto"/>
              </w:rPr>
            </w:pPr>
          </w:p>
        </w:tc>
        <w:tc>
          <w:tcPr>
            <w:tcW w:w="216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w w:val="88"/>
              </w:rPr>
              <w:t>14</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4" w:name="page15"/>
    <w:bookmarkEnd w:id="14"/>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undiscounted cash flows for each of the first five years and thereafter to the operating lease liabilities recognized in our consolidated balance sheet at September 30, 2019. The reconciliation excludes short-term leases that are not recorded on the balance sheet.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September 30, 2019</w:t>
            </w:r>
          </w:p>
        </w:tc>
      </w:tr>
      <w:tr>
        <w:trPr>
          <w:trHeight w:val="249"/>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 (remaining 3 months)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1,190</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tcPr>
          <w:p>
            <w:pPr>
              <w:spacing w:after="0"/>
              <w:rPr>
                <w:sz w:val="21"/>
                <w:szCs w:val="21"/>
                <w:color w:val="auto"/>
              </w:rPr>
            </w:pPr>
          </w:p>
        </w:tc>
        <w:tc>
          <w:tcPr>
            <w:tcW w:w="1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5,482</w:t>
            </w:r>
          </w:p>
        </w:tc>
      </w:tr>
      <w:tr>
        <w:trPr>
          <w:trHeight w:val="27"/>
        </w:trPr>
        <w:tc>
          <w:tcPr>
            <w:tcW w:w="9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5,493</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21"/>
                <w:szCs w:val="21"/>
                <w:color w:val="auto"/>
              </w:rPr>
            </w:pPr>
          </w:p>
        </w:tc>
        <w:tc>
          <w:tcPr>
            <w:tcW w:w="1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4,523</w:t>
            </w:r>
          </w:p>
        </w:tc>
      </w:tr>
      <w:tr>
        <w:trPr>
          <w:trHeight w:val="27"/>
        </w:trPr>
        <w:tc>
          <w:tcPr>
            <w:tcW w:w="9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2,306</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21"/>
                <w:szCs w:val="21"/>
                <w:color w:val="auto"/>
              </w:rPr>
            </w:pPr>
          </w:p>
        </w:tc>
        <w:tc>
          <w:tcPr>
            <w:tcW w:w="1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3,366</w:t>
            </w:r>
          </w:p>
        </w:tc>
      </w:tr>
      <w:tr>
        <w:trPr>
          <w:trHeight w:val="27"/>
        </w:trPr>
        <w:tc>
          <w:tcPr>
            <w:tcW w:w="9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lease payments</w:t>
            </w: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22,360</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w:t>
            </w:r>
          </w:p>
        </w:tc>
      </w:tr>
      <w:tr>
        <w:trPr>
          <w:trHeight w:val="27"/>
        </w:trPr>
        <w:tc>
          <w:tcPr>
            <w:tcW w:w="9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lease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20,081</w:t>
            </w:r>
          </w:p>
        </w:tc>
      </w:tr>
      <w:tr>
        <w:trPr>
          <w:trHeight w:val="20"/>
        </w:trPr>
        <w:tc>
          <w:tcPr>
            <w:tcW w:w="9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2019, we have two operating leases that have not yet commenced with the total initial lease liability of approximately $3.2 million with three and five-year terms, which are not reflected within the maturity schedule above.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Goodwill and Intangible Assets, Net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48,485</w:t>
            </w:r>
          </w:p>
        </w:tc>
        <w:tc>
          <w:tcPr>
            <w:tcW w:w="0" w:type="dxa"/>
            <w:vAlign w:val="bottom"/>
          </w:tcPr>
          <w:p>
            <w:pPr>
              <w:spacing w:after="0"/>
              <w:rPr>
                <w:sz w:val="1"/>
                <w:szCs w:val="1"/>
                <w:color w:val="auto"/>
              </w:rPr>
            </w:pPr>
          </w:p>
        </w:tc>
      </w:tr>
      <w:tr>
        <w:trPr>
          <w:trHeight w:val="243"/>
        </w:trPr>
        <w:tc>
          <w:tcPr>
            <w:tcW w:w="3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exchange effects</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48,404</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Intangible Assets, Net</w:t>
            </w: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1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components of intangible assets, net were as follows:</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3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2"/>
                <w:szCs w:val="12"/>
                <w:color w:val="auto"/>
              </w:rPr>
            </w:pPr>
          </w:p>
        </w:tc>
        <w:tc>
          <w:tcPr>
            <w:tcW w:w="11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Gross </w:t>
            </w:r>
            <w:r>
              <w:rPr>
                <w:rFonts w:ascii="Times New Roman" w:cs="Times New Roman" w:eastAsia="Times New Roman" w:hAnsi="Times New Roman"/>
                <w:sz w:val="8"/>
                <w:szCs w:val="8"/>
                <w:b w:val="1"/>
                <w:bCs w:val="1"/>
                <w:color w:val="auto"/>
              </w:rPr>
              <w:t>(1)</w:t>
            </w: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2"/>
                <w:szCs w:val="12"/>
                <w:color w:val="auto"/>
              </w:rPr>
            </w:pPr>
          </w:p>
        </w:tc>
        <w:tc>
          <w:tcPr>
            <w:tcW w:w="10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Net</w:t>
            </w:r>
          </w:p>
        </w:tc>
        <w:tc>
          <w:tcPr>
            <w:tcW w:w="240" w:type="dxa"/>
            <w:vAlign w:val="bottom"/>
          </w:tcPr>
          <w:p>
            <w:pPr>
              <w:spacing w:after="0"/>
              <w:rPr>
                <w:sz w:val="12"/>
                <w:szCs w:val="12"/>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Gross </w:t>
            </w:r>
            <w:r>
              <w:rPr>
                <w:rFonts w:ascii="Times New Roman" w:cs="Times New Roman" w:eastAsia="Times New Roman" w:hAnsi="Times New Roman"/>
                <w:sz w:val="8"/>
                <w:szCs w:val="8"/>
                <w:b w:val="1"/>
                <w:bCs w:val="1"/>
                <w:color w:val="auto"/>
              </w:rPr>
              <w:t>(1)</w:t>
            </w:r>
          </w:p>
        </w:tc>
        <w:tc>
          <w:tcPr>
            <w:tcW w:w="100" w:type="dxa"/>
            <w:vAlign w:val="bottom"/>
          </w:tcPr>
          <w:p>
            <w:pPr>
              <w:spacing w:after="0"/>
              <w:rPr>
                <w:sz w:val="12"/>
                <w:szCs w:val="12"/>
                <w:color w:val="auto"/>
              </w:rPr>
            </w:pPr>
          </w:p>
        </w:tc>
        <w:tc>
          <w:tcPr>
            <w:tcW w:w="13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2"/>
                <w:szCs w:val="12"/>
                <w:color w:val="auto"/>
              </w:rPr>
            </w:pPr>
          </w:p>
        </w:tc>
        <w:tc>
          <w:tcPr>
            <w:tcW w:w="940" w:type="dxa"/>
            <w:vAlign w:val="bottom"/>
            <w:vMerge w:val="restart"/>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31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xml:space="preserve">Amortization </w:t>
            </w:r>
            <w:r>
              <w:rPr>
                <w:rFonts w:ascii="Times New Roman" w:cs="Times New Roman" w:eastAsia="Times New Roman" w:hAnsi="Times New Roman"/>
                <w:sz w:val="8"/>
                <w:szCs w:val="8"/>
                <w:b w:val="1"/>
                <w:bCs w:val="1"/>
                <w:color w:val="auto"/>
              </w:rPr>
              <w:t>(1)</w:t>
            </w:r>
          </w:p>
        </w:tc>
        <w:tc>
          <w:tcPr>
            <w:tcW w:w="3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xml:space="preserve">Amortization </w:t>
            </w:r>
            <w:r>
              <w:rPr>
                <w:rFonts w:ascii="Times New Roman" w:cs="Times New Roman" w:eastAsia="Times New Roman" w:hAnsi="Times New Roman"/>
                <w:sz w:val="8"/>
                <w:szCs w:val="8"/>
                <w:b w:val="1"/>
                <w:bCs w:val="1"/>
                <w:color w:val="auto"/>
              </w:rPr>
              <w:t>(1)</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Distribution rights</w:t>
            </w: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Patents</w:t>
            </w:r>
          </w:p>
        </w:tc>
        <w:tc>
          <w:tcPr>
            <w:tcW w:w="26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15,606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(6,253)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9,353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14,560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(5,704)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6"/>
                <w:szCs w:val="16"/>
                <w:color w:val="auto"/>
              </w:rPr>
              <w:t>8,856</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Trademarks and trade names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886</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Developed and core technology</w:t>
            </w:r>
          </w:p>
        </w:tc>
        <w:tc>
          <w:tcPr>
            <w:tcW w:w="26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12,560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(9,597)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12,560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(8,087)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6"/>
                <w:szCs w:val="16"/>
                <w:color w:val="auto"/>
              </w:rPr>
              <w:t>4,473</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Customer relationships</w:t>
            </w:r>
          </w:p>
        </w:tc>
        <w:tc>
          <w:tcPr>
            <w:tcW w:w="26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32,683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(25,285)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7,398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32,534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(22,675)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6"/>
                <w:szCs w:val="16"/>
                <w:color w:val="auto"/>
              </w:rPr>
              <w:t>9,859</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intangible assets, net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63,949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(43,462)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20,487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62,924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24,370</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20" w:hanging="328"/>
        <w:spacing w:after="0" w:line="218" w:lineRule="auto"/>
        <w:tabs>
          <w:tab w:leader="none" w:pos="660"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This table excludes the gross value of fully amortized intangible assets totaling $7.3 million and $7.1 million at September 30, 2019 and December 31, 2018, respectively.</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4" w:right="239" w:bottom="1440" w:gutter="0" w:footer="0" w:header="0"/>
        </w:sectPr>
      </w:pPr>
    </w:p>
    <w:bookmarkStart w:id="15" w:name="page16"/>
    <w:bookmarkEnd w:id="15"/>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is recorded in selling, general and administrative expenses, except amortization expense related to capitalized software development costs, which is recorded in cost of sales. Amortization expense by statement of operations caption was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top w:val="single" w:sz="8" w:color="auto"/>
              <w:bottom w:val="single" w:sz="8" w:color="auto"/>
            </w:tcBorders>
          </w:tcPr>
          <w:p>
            <w:pPr>
              <w:spacing w:after="0"/>
              <w:rPr>
                <w:sz w:val="22"/>
                <w:szCs w:val="22"/>
                <w:color w:val="auto"/>
              </w:rPr>
            </w:pP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1,798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20" w:type="dxa"/>
            <w:vAlign w:val="bottom"/>
          </w:tcPr>
          <w:p>
            <w:pPr>
              <w:spacing w:after="0"/>
              <w:rPr>
                <w:sz w:val="21"/>
                <w:szCs w:val="2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1,798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w:t>
            </w: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467"/>
        </w:trPr>
        <w:tc>
          <w:tcPr>
            <w:tcW w:w="8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Estimated future annual amortization expense related to our intangible assets at September 30, 2019, was as follows:</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0"/>
        </w:trPr>
        <w:tc>
          <w:tcPr>
            <w:tcW w:w="56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 (remaining 3 months)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1,791</w:t>
            </w:r>
          </w:p>
        </w:tc>
        <w:tc>
          <w:tcPr>
            <w:tcW w:w="20" w:type="dxa"/>
            <w:vAlign w:val="bottom"/>
          </w:tcPr>
          <w:p>
            <w:pPr>
              <w:spacing w:after="0"/>
              <w:rPr>
                <w:sz w:val="22"/>
                <w:szCs w:val="22"/>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6,045</w:t>
            </w:r>
          </w:p>
        </w:tc>
        <w:tc>
          <w:tcPr>
            <w:tcW w:w="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2,555</w:t>
            </w:r>
          </w:p>
        </w:tc>
        <w:tc>
          <w:tcPr>
            <w:tcW w:w="20" w:type="dxa"/>
            <w:vAlign w:val="bottom"/>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2,443</w:t>
            </w:r>
          </w:p>
        </w:tc>
        <w:tc>
          <w:tcPr>
            <w:tcW w:w="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2,298</w:t>
            </w:r>
          </w:p>
        </w:tc>
        <w:tc>
          <w:tcPr>
            <w:tcW w:w="20" w:type="dxa"/>
            <w:vAlign w:val="bottom"/>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5,355</w:t>
            </w:r>
          </w:p>
        </w:tc>
        <w:tc>
          <w:tcPr>
            <w:tcW w:w="20" w:type="dxa"/>
            <w:vAlign w:val="bottom"/>
          </w:tcPr>
          <w:p>
            <w:pPr>
              <w:spacing w:after="0"/>
              <w:rPr>
                <w:sz w:val="21"/>
                <w:szCs w:val="2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20,487</w:t>
            </w:r>
          </w:p>
        </w:tc>
        <w:tc>
          <w:tcPr>
            <w:tcW w:w="20" w:type="dxa"/>
            <w:vAlign w:val="bottom"/>
          </w:tcPr>
          <w:p>
            <w:pPr>
              <w:spacing w:after="0"/>
              <w:rPr>
                <w:sz w:val="22"/>
                <w:szCs w:val="22"/>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Line of Credit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Second Amended and Restated Credit Agreement ("Second Amended Credit Agreement") with U.S. Bank National Association ("U.S. Bank") provides for a $125.0 million revolving line of credit ("Credit Line") that expires on November 1, 2020. 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$2.7 million at September 30, 2019.</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PRC.</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Second Amended Credit Agreement, we may elect to pay interest on the Credit Line based on LIBOR plus an applicable margin (varying from 1.25% to 1.75%) or base rate (based on the prime rate of U.S. Bank or as otherwise specified in the Second Amended Credit Agreement) plus an applicable margin (varying from 0.00% to 0.50%). The applicable margins are calculated quarterly and vary based on our cash flow leverage ratio as set forth in the Second Amended Credit Agreement. The interest rate in effect at September 30, 2019 was 3.55%. There are no commitment fees or unused line fees under the Second Amended Credit Agreement.</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Second Amended Credit Agreement includes financial covenants requiring a minimum fixed charge coverage ratio and a maximum cash flow leverage ratio. In addition, the Second Amended Credit Agreement contains other customary affirmative and negative covenants and events of default. As of September 30, 2019, we were in compliance with the covenants and conditions of the Second Amended Credit Agreement.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2019, we had $88.0 million outstanding under the Credit Line. Our total interest expense on borrowings was $0.9 million and $1.2 million during the three months ended September 30, 2019 and 2018, respectively. Our total interest expense on borrowings was $3.4 million and $3.7 million during the nine months ended September 30, 2019 and 2018, respectively.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4" w:right="239" w:bottom="1440" w:gutter="0" w:footer="0" w:header="0"/>
        </w:sectPr>
      </w:pPr>
    </w:p>
    <w:bookmarkStart w:id="16" w:name="page17"/>
    <w:bookmarkEnd w:id="16"/>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Income Taxes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utilize our estimated annual effective tax rate to determine our provision for income taxes for interim periods. The income tax provision is computed by taking the estimated annual effective rate and multiplying it by the year-to-date pre-tax book income.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an income tax expense of $2.5 million and $0.3 million for the three months ended September 30, 2019 and 2018, respectively. We recorded income tax expense of $3.7 million and $2.2 million for the nine months ended September 30, 2019 and 2018, respectively. The income tax expense for the nine months ended September 30, 2019 increased primarily due to the mix of pre-tax income among jurisdictions, including losses not benefited for federal and state as a result of a valuation allowance and a remeasurement of deferred taxes to recognize the High Technology Exemption ("HTE") approved for our Yangzhou factory located in northern China.</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2018, we assessed the realizability of our deferred tax assets by considering whether it is "more likely than not" some portion or all of the deferred tax assets will not be realized. The ultimate realization of deferred tax assets is dependent upon the generation of future taxable income during the periods in which those temporary differences become deductible. We considered taxable income in carryback years, the scheduled reversal of deferred tax liabilities, tax planning strategies and projected future taxable income in making this assessment. At December 31, 2018, we had a three year cumulative operating loss for our U.S. operations and accordingly, provided a full valuation allowance on our U.S. and state deferred tax assets. During the three and nine months ended September 30, 2019, there has been no change to our valuation allowance position.</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September 30, 2019, we had gross unrecognized tax benefits of $4.8 million, including interest and penalties, of which approximately $4.4 million of this amount, if not for the state Research and Experimentation income tax credit valuation allowance, would affect the annual effective tax rate, if these tax benefits are realized. Further, we are unaware of any positions for which it is reasonably possible that the total amounts of unrecognized tax benefits will significantly increase within the next twelve months. However, based on federal, state and foreign statute expirations in various jurisdictions, we anticipate a decrease in unrecognized tax benefits of approximately $0.2 million within the next twelve months. We have classified uncertain tax positions as non-current income tax liabilities unless expected to be paid within one year.</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elected to classify interest and penalties as a component of tax expense. Accrued interest and penalties of $0.6 million as of September 30, 2019 and $0.5 million at December 31, 2018 are included in the unrecognized tax benefits.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Accrued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accrued compensation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00" w:type="dxa"/>
            <w:vAlign w:val="bottom"/>
          </w:tcPr>
          <w:p>
            <w:pPr>
              <w:spacing w:after="0"/>
              <w:rPr>
                <w:sz w:val="16"/>
                <w:szCs w:val="16"/>
                <w:color w:val="auto"/>
              </w:rPr>
            </w:pPr>
          </w:p>
        </w:tc>
        <w:tc>
          <w:tcPr>
            <w:tcW w:w="15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69"/>
        </w:trPr>
        <w:tc>
          <w:tcPr>
            <w:tcW w:w="7900" w:type="dxa"/>
            <w:vAlign w:val="bottom"/>
            <w:tcBorders>
              <w:top w:val="single" w:sz="8" w:color="CCEEFF"/>
            </w:tcBorders>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 xml:space="preserve">Accrued social insurance </w:t>
            </w:r>
            <w:r>
              <w:rPr>
                <w:rFonts w:ascii="Times New Roman" w:cs="Times New Roman" w:eastAsia="Times New Roman" w:hAnsi="Times New Roman"/>
                <w:sz w:val="25"/>
                <w:szCs w:val="25"/>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16,462</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16,735</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salary/wages</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8,783</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vacation/holiday</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2,954</w:t>
            </w:r>
          </w:p>
        </w:tc>
      </w:tr>
      <w:tr>
        <w:trPr>
          <w:trHeight w:val="270"/>
        </w:trPr>
        <w:tc>
          <w:tcPr>
            <w:tcW w:w="79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Accrued bonus </w:t>
            </w:r>
            <w:r>
              <w:rPr>
                <w:rFonts w:ascii="Times New Roman" w:cs="Times New Roman" w:eastAsia="Times New Roman" w:hAnsi="Times New Roman"/>
                <w:sz w:val="25"/>
                <w:szCs w:val="25"/>
                <w:color w:val="auto"/>
                <w:vertAlign w:val="superscript"/>
              </w:rPr>
              <w:t>(2)</w:t>
            </w:r>
          </w:p>
        </w:tc>
        <w:tc>
          <w:tcPr>
            <w:tcW w:w="180" w:type="dxa"/>
            <w:vAlign w:val="bottom"/>
          </w:tcPr>
          <w:p>
            <w:pPr>
              <w:spacing w:after="0"/>
              <w:rPr>
                <w:sz w:val="23"/>
                <w:szCs w:val="23"/>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10,823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2,361</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commission</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1,432</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accrued compensation</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1,700</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accrued compensation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40,343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33,965</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60" w:hanging="328"/>
        <w:spacing w:after="0" w:line="233" w:lineRule="auto"/>
        <w:tabs>
          <w:tab w:leader="none" w:pos="66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PRC employers are required by law to remit the applicable social insurance payments to their local government. Social insurance is comprised of various components such as pension, medical insurance, job industry insurance, unemployment insurance, and a housing assistance fund, and is administered in a manner similar to social security in the United States. This amount represents our estimate of the amounts due to the PRC government for social insurance on September 30, 2019 and December 31, 2018.</w:t>
      </w:r>
    </w:p>
    <w:p>
      <w:pPr>
        <w:spacing w:after="0" w:line="90" w:lineRule="exact"/>
        <w:rPr>
          <w:rFonts w:ascii="Times New Roman" w:cs="Times New Roman" w:eastAsia="Times New Roman" w:hAnsi="Times New Roman"/>
          <w:sz w:val="25"/>
          <w:szCs w:val="25"/>
          <w:color w:val="auto"/>
          <w:vertAlign w:val="superscript"/>
        </w:rPr>
      </w:pPr>
    </w:p>
    <w:p>
      <w:pPr>
        <w:jc w:val="both"/>
        <w:ind w:left="660" w:hanging="328"/>
        <w:spacing w:after="0" w:line="212" w:lineRule="auto"/>
        <w:tabs>
          <w:tab w:leader="none" w:pos="66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Accrued bonus includes an accrual for an extra month of salary ("13</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month salary") to be paid to employees in certain geographies where it is the customary business practice. This 13</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month salary is paid to these employees if they remain employed with us through December 31st. The total accrued for the 13</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month salary was $0.7 million and $0.4 million at September 30, 2019 and December 31, 2018, respectively.</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4" w:right="239" w:bottom="1440" w:gutter="0" w:footer="0" w:header="0"/>
        </w:sectPr>
      </w:pPr>
    </w:p>
    <w:bookmarkStart w:id="17" w:name="page18"/>
    <w:bookmarkEnd w:id="17"/>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Other Accrued Liabilities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other accrued liabilities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00" w:type="dxa"/>
            <w:vAlign w:val="bottom"/>
          </w:tcPr>
          <w:p>
            <w:pPr>
              <w:spacing w:after="0"/>
              <w:rPr>
                <w:sz w:val="16"/>
                <w:szCs w:val="16"/>
                <w:color w:val="auto"/>
              </w:rPr>
            </w:pPr>
          </w:p>
        </w:tc>
        <w:tc>
          <w:tcPr>
            <w:tcW w:w="15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Duties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4,865</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Freight and handling fees</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3,217</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Professional fees</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1,930</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 taxes and VAT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1,050</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contingent consideration</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4,190</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Tooling </w:t>
            </w:r>
            <w:r>
              <w:rPr>
                <w:rFonts w:ascii="Times New Roman" w:cs="Times New Roman" w:eastAsia="Times New Roman" w:hAnsi="Times New Roman"/>
                <w:sz w:val="25"/>
                <w:szCs w:val="25"/>
                <w:color w:val="auto"/>
                <w:vertAlign w:val="superscript"/>
              </w:rPr>
              <w:t>(1)</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1,770</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8,426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6,989</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other accrued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32,659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24,011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hanging="328"/>
        <w:spacing w:after="0" w:line="218" w:lineRule="auto"/>
        <w:tabs>
          <w:tab w:leader="none" w:pos="660" w:val="left"/>
        </w:tabs>
        <w:numPr>
          <w:ilvl w:val="0"/>
          <w:numId w:val="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tooling accrual balance relates to unearned revenue for tooling that will be sold to customers. Revenue recognized for the sale of tooling during the three and nine months ended September 30, 2019 and 2018 was insignificant in relation to our net sales.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liability for product warranty claim costs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78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49"/>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339</w:t>
            </w:r>
          </w:p>
        </w:tc>
      </w:tr>
      <w:tr>
        <w:trPr>
          <w:trHeight w:val="243"/>
        </w:trPr>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Accruals for warranties issued during the period</w:t>
            </w:r>
          </w:p>
        </w:tc>
        <w:tc>
          <w:tcPr>
            <w:tcW w:w="4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695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787</w:t>
            </w:r>
          </w:p>
        </w:tc>
      </w:tr>
      <w:tr>
        <w:trPr>
          <w:trHeight w:val="27"/>
        </w:trPr>
        <w:tc>
          <w:tcPr>
            <w:tcW w:w="7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Settlements (in cash or in kind) during the period</w:t>
            </w:r>
          </w:p>
        </w:tc>
        <w:tc>
          <w:tcPr>
            <w:tcW w:w="4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57"/>
        </w:trPr>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971</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276</w:t>
            </w:r>
          </w:p>
        </w:tc>
      </w:tr>
      <w:tr>
        <w:trPr>
          <w:trHeight w:val="20"/>
        </w:trPr>
        <w:tc>
          <w:tcPr>
            <w:tcW w:w="7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Activities and Sale of Guangzhou Factory</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quarter of 2016, we implemented a plan to transition manufacturing activities from our southern-most China factory, located in the city of Guangzhou in the Guangdong province, to our other China factories. All operations ceased in our Guangzhou factory in the third quarter of 2017 and the transition to the other China factories was completed by the end of 2017.</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26, 2016, we entered into an agreement to sell our Guangzhou manufacturing facility for RMB 320 million. In accordance with the terms of the agreement, the buyer deposited 10% of the purchase price into an escrow account upon the execution of the agreement. In April 2018, we and the buyer mutually agreed to terminate the sale. The mutually agreed termination took effect immediately with no incremental penalty or costs to either party. In connection with this termination, the deposit was returned to the buyer.</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23, 2018, we entered into a new agreement to sell our Guangzhou manufacturing facility to a second buyer for RMB 339 million (approximately $51.4 million based on exchange rates in effect at the time of closing). On April 26, 2018, the second buyer paid to us a deposit of RMB 34 million (approximately $5.1 million based on exchange rates in effect at the time of closing), which under the terms of the agreement was nonrefundable. Upon receipt by the Governmental Agency of the second buyer’s application of approval of transfer, the second buyer was to pay to us RMB 237 million (approximately $35.8 million based on exchange rates in effect at the time of closing). Additionally, within two days after the second payment was made to us, the second buyer was to deposit the remaining consideration of RMB 68 million (approximately $10.3 million based on exchange rates in effect at the time of closing) into escrow, which was to be released to us upon the closing of the sale. Per the terms of the agreement, the sale was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4" w:right="239" w:bottom="1440" w:gutter="0" w:footer="0" w:header="0"/>
        </w:sectPr>
      </w:pPr>
    </w:p>
    <w:bookmarkStart w:id="18" w:name="page19"/>
    <w:bookmarkEnd w:id="18"/>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be completed no later than June 30, 2018. On June 26, 2018, all conditions to closing were satisfied and the sale was completed, resulting in a pretax gain of $37.0 million ($32.1 million, net of income taxes).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or about June 10, 2015, FM Marketing GmbH ("FMH") and Ruwido Austria GmbH ("Ruwido") filed a Summons in Summary Proceedings in Belgium court against one of our subsidiaries, Universal Electronics BV ("UEBV"), and one of its customers, Telenet N.V. ("Telenet"), claiming that one of the products UEBV supplied to Telenet violates two design patents and one utility patent owned by FMH and/or Ruwido. By this summons, FMH and Ruwido sought to enjoin Telenet and UEBV from continued distribution and use of the product at issue. After the September 29, 2015 hearing, the court issued its ruling in our and Telenet’s favor, rejecting FMH and Ruwido’s request entirely. On October 22, 2015, Ruwido filed its notice of appeal to this ruling.</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parties have fully briefed and argued before the appellate court and we are awaiting the appellate court’s ruling. In addition, on or about February 9, 2016, Ruwido filed a writ of summons for proceeding on the merits with respect to the asserted patents. UEBV and Telenet have replied, denying all of Ruwido's allegations, and in June 2017, a hearing was held before the trial court. During this hearing, Ruwido sought to have a second product which we are currently selling to Telenet included in this case. In September 2017, the Court ruled in our favor that our current product cannot be made part of this case. The Court also refused to rule on whether the original product (which we are no longer selling) infringes the Ruwido patent, instead deciding to wait until the European Patent Office (the "EPO") has ruled on our Opposition (see below). Finally, the Court ruled that our original product (which we are no longer selling) infringes certain of Ruwido’s design rights but stayed any decision of compensation and/or damages until all aspects of the case have been decided. We have filed an appeal as to the Court’s ruling of infringement. On September 16, 2019, the appellate court ruled in our favor concluding that our original product did not infringe Ruwido’s design rights. Now that the EPO has issued its ruling (see below), we expect the trial on Ruwido’s remaining infringement and unfair competition claims to occur in the summer of 2020.</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Subsequent to the Court's ruling that a second product could not be added to the first case on the merits, Ruwido filed a separate case on the merits with respect to this second product, claiming that it too infringes the same patent at issue in the first suit. We have denied these claims. According to the Court’s trial schedule, briefs from both parties were due during the second half of 2018 and early 2019 with a trial date set for January 2019. This trial date has since been postponed pending a request to submit additional pleadings which the Court is expected to rule upon during the fourth quarter of 2019. Presently, the oral hearing on the merits with respect to this is set for February 10, 2020.</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September 2015, UEBV filed an Opposition with the EPO seeking to invalidate the one utility patent asserted against UEBV and Telenet by Ruwido. The hearing on this opposition was held in July 2017. During this hearing the panel requested additional information. We have assembled this additional information and the final hearing was scheduled for January 29, 2019. The EPO held this hearing on January 29 and 30, 2019 and revoked Ruwido's patent as originally filed. The EPO, however, maintained the patent in an amended form with a much narrower claim. On August 23, 2019, the EPO issued its written opinion. The parties had until November 1, 2019 to file its notice of appeal. We and Ruwido have each filed notices of appeal and we are to file the detailed grounds for the appeal by the end of December.</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5, 2017, Ruwido and FMH filed a patent infringement case on the merits against UEBV and Telenet in the Netherlands alleging the same claims of infringement as in the Belgium Courts (see above). We have denied these claims and filed a counterclaim seeking to invalidate the Ruwido patent. A November 30, 2018 hearing date was set by the Court but it deferred its decision until the decision from the EPO has become final. Subsequently, the parties requested they each be allowed to submit additional pleadings. The Court is expected to rule on this request during the fourth quarter of 2019. At about the same time, the Court is expected to set a trial date.</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5, 2018, we filed a lawsuit against Roku, Inc. (“Roku”) in the United States District Court, Central District of California (Universal Electronics Inc. v. Roku, Inc.) alleging that Roku is willfully infringing nine of our patents that are in four patent families related to remote control set-up and touchscreen remotes. On December 5, 2018, we amended our complaint to add additional details supporting our infringement and willfulness allegations. We have alleged that this complaint relates to multiple Roku streaming players and components therefore and certain universal control devices, including but not limited to the Roku App, Roku TV, Roku Express, Roku Streaming Stick, Roku Ultra, Roku Premiere, Roku 4, Roku 3, Roku 2, Roku Enhanced Remote and any other Roku product that provides for the remote control of an external device such as a TV, audiovisual receiver, sound bar or Roku TV Wireless Speakers. Roku has answered our complaint with a general denial. In September and October, 2019, Roku filed Inter Party Review (“IPR”) requests with the Patent Trial and Appeals Board (the “PTAB”) on the nine patents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4" w:right="239" w:bottom="1440" w:gutter="0" w:footer="0" w:header="0"/>
        </w:sectPr>
      </w:pPr>
    </w:p>
    <w:bookmarkStart w:id="19" w:name="page20"/>
    <w:bookmarkEnd w:id="19"/>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issue in this case, seeking to invalidate our patents. We have three months from those dates to file our responses with the PTAB, which we will do. The PTAB, in turn has three months after we file our responses to decide whether to institute the requested IPRs. We will vigorously defend against the IPRs. As a further result of Roku filing the IPRs, the Court has stayed the underlying patent lawsuit pending the resolution of IPRs.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consolidated financial condition, results of operations, or cash flows. Moreover, we believe that our products do not infringe any third parties' patents or other intellectual property rights.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Treasury Stock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our Board of Directors authorizes management to repurchase shares of our issued and outstanding common stock on the open market. On October 30, 2018, our Board approved an adjustment to the amount of common stock that we could purchase under our existing repurchase plan to an amount not to exceed $5.0 million of our common stock. As of September 30, 2019, we had $3.9 million of authorized repurchases remaining under the Board's authorizations. We may utilize various methods to effect the repurchases, which could include open market repurchases, negotiated block transactions, accelerated share repurchases or open market solicitations for shares, some of which may be effected through Rule 10b5-1 plans. The timing and amount of future repurchases, if any, will depend upon several factors, including market and business conditions, and such repurchases may be discontinued at any time.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Repurchased shares of our common stock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repurchased</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373</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shares repurchased</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12,564</w:t>
            </w: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Repurchased shares are recorded as shares held in treasury at cost. We hold these shares for future use as management and the Board of Directors deem appropriate.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4" w:right="239" w:bottom="1440" w:gutter="0" w:footer="0" w:header="0"/>
        </w:sectPr>
      </w:pPr>
    </w:p>
    <w:bookmarkStart w:id="20" w:name="page21"/>
    <w:bookmarkEnd w:id="20"/>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Foreign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Operations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net sales to external customers by geographic area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107,546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84,756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313,029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243,801</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Asia (excluding PRC)</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29,613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36,888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79,157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91,755</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23,388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18,785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69,510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58,245</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People's Republic of China</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23,704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28,108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66,465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68,852</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Latin America</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8,281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26,187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23,077</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8,192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24,435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24,208</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200,724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182,717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578,783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509,938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identification of the customer billing location was the basis used for attributing revenues from external customers to geographic areas.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Long-lived tangible assets by geographic area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13,385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14,504</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8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64,347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79,382</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 other countries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15,692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6,569</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long-lived tangible assets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93,424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100,455</w:t>
            </w:r>
          </w:p>
        </w:tc>
      </w:tr>
      <w:tr>
        <w:trPr>
          <w:trHeight w:val="27"/>
        </w:trPr>
        <w:tc>
          <w:tcPr>
            <w:tcW w:w="7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Stock-Based Compensation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for each employee and director is presented in the same statement of operations caption as their cash compensation.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by statement of operations caption and the related income tax benefit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2440" w:type="dxa"/>
            <w:vAlign w:val="bottom"/>
            <w:gridSpan w:val="4"/>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5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w:t>
            </w: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556</w:t>
            </w:r>
          </w:p>
        </w:tc>
      </w:tr>
      <w:tr>
        <w:trPr>
          <w:trHeight w:val="27"/>
        </w:trPr>
        <w:tc>
          <w:tcPr>
            <w:tcW w:w="5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Employees</w:t>
            </w: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5,005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4,936</w:t>
            </w:r>
          </w:p>
        </w:tc>
      </w:tr>
      <w:tr>
        <w:trPr>
          <w:trHeight w:val="27"/>
        </w:trPr>
        <w:tc>
          <w:tcPr>
            <w:tcW w:w="5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Outside directors</w:t>
            </w:r>
          </w:p>
        </w:tc>
        <w:tc>
          <w:tcPr>
            <w:tcW w:w="9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1,255</w:t>
            </w:r>
          </w:p>
        </w:tc>
      </w:tr>
      <w:tr>
        <w:trPr>
          <w:trHeight w:val="237"/>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employee and director stock-based compensation expense</w:t>
            </w:r>
          </w:p>
        </w:tc>
        <w:tc>
          <w:tcPr>
            <w:tcW w:w="9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2,527</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2,139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6,718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6,808</w:t>
            </w:r>
          </w:p>
        </w:tc>
      </w:tr>
      <w:tr>
        <w:trPr>
          <w:trHeight w:val="67"/>
        </w:trPr>
        <w:tc>
          <w:tcPr>
            <w:tcW w:w="5120" w:type="dxa"/>
            <w:vAlign w:val="bottom"/>
            <w:tcBorders>
              <w:bottom w:val="single" w:sz="8" w:color="CCEEFF"/>
            </w:tcBorders>
          </w:tcPr>
          <w:p>
            <w:pPr>
              <w:spacing w:after="0"/>
              <w:rPr>
                <w:sz w:val="5"/>
                <w:szCs w:val="5"/>
                <w:color w:val="auto"/>
              </w:rPr>
            </w:pPr>
          </w:p>
        </w:tc>
        <w:tc>
          <w:tcPr>
            <w:tcW w:w="9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78"/>
        </w:trPr>
        <w:tc>
          <w:tcPr>
            <w:tcW w:w="5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1,423</w:t>
            </w:r>
          </w:p>
        </w:tc>
      </w:tr>
      <w:tr>
        <w:trPr>
          <w:trHeight w:val="702"/>
        </w:trPr>
        <w:tc>
          <w:tcPr>
            <w:tcW w:w="5120" w:type="dxa"/>
            <w:vAlign w:val="bottom"/>
          </w:tcPr>
          <w:p>
            <w:pPr>
              <w:spacing w:after="0"/>
              <w:rPr>
                <w:sz w:val="24"/>
                <w:szCs w:val="24"/>
                <w:color w:val="auto"/>
              </w:rPr>
            </w:pP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21" w:name="page22"/>
    <w:bookmarkEnd w:id="21"/>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60" w:type="dxa"/>
            <w:vAlign w:val="bottom"/>
          </w:tcPr>
          <w:p>
            <w:pPr>
              <w:spacing w:after="0"/>
              <w:rPr>
                <w:sz w:val="12"/>
                <w:szCs w:val="12"/>
                <w:color w:val="auto"/>
              </w:rPr>
            </w:pPr>
          </w:p>
        </w:tc>
        <w:tc>
          <w:tcPr>
            <w:tcW w:w="1100" w:type="dxa"/>
            <w:vAlign w:val="bottom"/>
          </w:tcPr>
          <w:p>
            <w:pPr>
              <w:jc w:val="center"/>
              <w:ind w:right="176"/>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5"/>
        </w:trPr>
        <w:tc>
          <w:tcPr>
            <w:tcW w:w="55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0" w:type="dxa"/>
            <w:vAlign w:val="bottom"/>
          </w:tcPr>
          <w:p>
            <w:pPr>
              <w:spacing w:after="0"/>
              <w:rPr>
                <w:sz w:val="1"/>
                <w:szCs w:val="1"/>
                <w:color w:val="auto"/>
              </w:rPr>
            </w:pPr>
          </w:p>
        </w:tc>
      </w:tr>
      <w:tr>
        <w:trPr>
          <w:trHeight w:val="249"/>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597</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44.27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27.07</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20.55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Forfeited/canceled/expired</w:t>
            </w: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Outstanding at September 30, 2019 </w:t>
            </w:r>
            <w:r>
              <w:rPr>
                <w:rFonts w:ascii="Times New Roman" w:cs="Times New Roman" w:eastAsia="Times New Roman" w:hAnsi="Times New Roman"/>
                <w:sz w:val="25"/>
                <w:szCs w:val="25"/>
                <w:color w:val="auto"/>
                <w:vertAlign w:val="superscript"/>
              </w:rPr>
              <w:t>(1)</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727</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41.36</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9,149</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500" w:type="dxa"/>
            <w:vAlign w:val="bottom"/>
          </w:tcPr>
          <w:p>
            <w:pPr>
              <w:ind w:left="40"/>
              <w:spacing w:after="0" w:line="251" w:lineRule="exact"/>
              <w:rPr>
                <w:sz w:val="20"/>
                <w:szCs w:val="20"/>
                <w:color w:val="auto"/>
              </w:rPr>
            </w:pPr>
            <w:r>
              <w:rPr>
                <w:rFonts w:ascii="Times New Roman" w:cs="Times New Roman" w:eastAsia="Times New Roman" w:hAnsi="Times New Roman"/>
                <w:sz w:val="18"/>
                <w:szCs w:val="18"/>
                <w:color w:val="auto"/>
              </w:rPr>
              <w:t>Vested and expected to vest at September 30, 2019</w:t>
            </w:r>
            <w:r>
              <w:rPr>
                <w:rFonts w:ascii="Times New Roman" w:cs="Times New Roman" w:eastAsia="Times New Roman" w:hAnsi="Times New Roman"/>
                <w:sz w:val="25"/>
                <w:szCs w:val="25"/>
                <w:color w:val="auto"/>
                <w:vertAlign w:val="superscript"/>
              </w:rPr>
              <w:t>(1)</w:t>
            </w: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727</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41.36</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Pr>
          <w:p>
            <w:pPr>
              <w:spacing w:after="0"/>
              <w:rPr>
                <w:sz w:val="21"/>
                <w:szCs w:val="21"/>
                <w:color w:val="auto"/>
              </w:rPr>
            </w:pP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9,149</w:t>
            </w:r>
          </w:p>
        </w:tc>
        <w:tc>
          <w:tcPr>
            <w:tcW w:w="0" w:type="dxa"/>
            <w:vAlign w:val="bottom"/>
          </w:tcPr>
          <w:p>
            <w:pPr>
              <w:spacing w:after="0"/>
              <w:rPr>
                <w:sz w:val="1"/>
                <w:szCs w:val="1"/>
                <w:color w:val="auto"/>
              </w:rPr>
            </w:pPr>
          </w:p>
        </w:tc>
      </w:tr>
      <w:tr>
        <w:trPr>
          <w:trHeight w:val="270"/>
        </w:trPr>
        <w:tc>
          <w:tcPr>
            <w:tcW w:w="55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Exercisable at September 30, 2019</w:t>
            </w:r>
            <w:r>
              <w:rPr>
                <w:rFonts w:ascii="Times New Roman" w:cs="Times New Roman" w:eastAsia="Times New Roman" w:hAnsi="Times New Roman"/>
                <w:sz w:val="25"/>
                <w:szCs w:val="25"/>
                <w:color w:val="auto"/>
                <w:vertAlign w:val="superscript"/>
              </w:rPr>
              <w:t>(1)</w:t>
            </w:r>
          </w:p>
        </w:tc>
        <w:tc>
          <w:tcPr>
            <w:tcW w:w="1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501</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44.56</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5,201</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660" w:hanging="328"/>
        <w:spacing w:after="0" w:line="228" w:lineRule="auto"/>
        <w:tabs>
          <w:tab w:leader="none" w:pos="66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aggregate intrinsic value represents the total pre-tax value (the difference between our closing stock price on the last trading day of the third quarter of 2019 and the exercise price, multiplied by the number of in-the-money options) that would have been received by the option holders had they all exercised their options on September 30, 2019. This amount will change based on the fair market value of our stock.</w:t>
      </w:r>
    </w:p>
    <w:p>
      <w:pPr>
        <w:spacing w:after="0" w:line="14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assumptions we utilized in the Black-Scholes option pricing model and the resulting weighted average fair value of stock option grants were the following:</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tcPr>
          <w:p>
            <w:pPr>
              <w:spacing w:after="0"/>
              <w:rPr>
                <w:sz w:val="16"/>
                <w:szCs w:val="16"/>
                <w:color w:val="auto"/>
              </w:rPr>
            </w:pPr>
          </w:p>
        </w:tc>
        <w:tc>
          <w:tcPr>
            <w:tcW w:w="3220" w:type="dxa"/>
            <w:vAlign w:val="bottom"/>
            <w:tcBorders>
              <w:bottom w:val="single" w:sz="8" w:color="auto"/>
            </w:tcBorders>
            <w:gridSpan w:val="5"/>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70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55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1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fair value of grants</w:t>
            </w:r>
          </w:p>
        </w:tc>
        <w:tc>
          <w:tcPr>
            <w:tcW w:w="880" w:type="dxa"/>
            <w:vAlign w:val="bottom"/>
            <w:tcBorders>
              <w:bottom w:val="single" w:sz="8" w:color="CCEEFF"/>
            </w:tcBorders>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14.26</w:t>
            </w: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880" w:type="dxa"/>
            <w:vAlign w:val="bottom"/>
          </w:tcPr>
          <w:p>
            <w:pPr>
              <w:spacing w:after="0"/>
              <w:rPr>
                <w:sz w:val="21"/>
                <w:szCs w:val="21"/>
                <w:color w:val="auto"/>
              </w:rPr>
            </w:pPr>
          </w:p>
        </w:tc>
        <w:tc>
          <w:tcPr>
            <w:tcW w:w="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3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7"/>
        </w:trPr>
        <w:tc>
          <w:tcPr>
            <w:tcW w:w="5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8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w:t>
            </w: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life in years</w:t>
            </w:r>
          </w:p>
        </w:tc>
        <w:tc>
          <w:tcPr>
            <w:tcW w:w="880" w:type="dxa"/>
            <w:vAlign w:val="bottom"/>
          </w:tcPr>
          <w:p>
            <w:pPr>
              <w:spacing w:after="0"/>
              <w:rPr>
                <w:sz w:val="21"/>
                <w:szCs w:val="21"/>
                <w:color w:val="auto"/>
              </w:rPr>
            </w:pP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0.00</w:t>
            </w:r>
          </w:p>
        </w:tc>
        <w:tc>
          <w:tcPr>
            <w:tcW w:w="11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4.53</w:t>
            </w: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2019, we expect to recognize $2.2 million of total unrecognized pre-tax stock-based compensation expense related to non-vested stock options over a remaining weighted-average life of 1.8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restricted stock award activity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1380" w:type="dxa"/>
            <w:vAlign w:val="bottom"/>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Weighted-Average Grant Date</w:t>
            </w:r>
          </w:p>
        </w:tc>
      </w:tr>
      <w:tr>
        <w:trPr>
          <w:trHeight w:val="195"/>
        </w:trPr>
        <w:tc>
          <w:tcPr>
            <w:tcW w:w="744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49"/>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December 31, 2018</w:t>
            </w:r>
          </w:p>
        </w:tc>
        <w:tc>
          <w:tcPr>
            <w:tcW w:w="13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49.23</w:t>
            </w:r>
          </w:p>
        </w:tc>
      </w:tr>
      <w:tr>
        <w:trPr>
          <w:trHeight w:val="243"/>
        </w:trPr>
        <w:tc>
          <w:tcPr>
            <w:tcW w:w="8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30.26</w:t>
            </w:r>
          </w:p>
        </w:tc>
      </w:tr>
      <w:tr>
        <w:trPr>
          <w:trHeight w:val="27"/>
        </w:trPr>
        <w:tc>
          <w:tcPr>
            <w:tcW w:w="7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47.43</w:t>
            </w:r>
          </w:p>
        </w:tc>
      </w:tr>
      <w:tr>
        <w:trPr>
          <w:trHeight w:val="243"/>
        </w:trPr>
        <w:tc>
          <w:tcPr>
            <w:tcW w:w="8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36.29</w:t>
            </w:r>
          </w:p>
        </w:tc>
      </w:tr>
      <w:tr>
        <w:trPr>
          <w:trHeight w:val="27"/>
        </w:trPr>
        <w:tc>
          <w:tcPr>
            <w:tcW w:w="74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September 30, 2019</w:t>
            </w:r>
          </w:p>
        </w:tc>
        <w:tc>
          <w:tcPr>
            <w:tcW w:w="138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35.23</w:t>
            </w:r>
          </w:p>
        </w:tc>
      </w:tr>
      <w:tr>
        <w:trPr>
          <w:trHeight w:val="20"/>
        </w:trPr>
        <w:tc>
          <w:tcPr>
            <w:tcW w:w="74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2019, we expect to recognize $8.7 million of total unrecognized pre-tax stock-based compensation expense related to non-vested restricted stock awards over a weighted-average life of 1.8 years.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4" w:right="239" w:bottom="1440" w:gutter="0" w:footer="0" w:header="0"/>
        </w:sectPr>
      </w:pPr>
    </w:p>
    <w:bookmarkStart w:id="22" w:name="page23"/>
    <w:bookmarkEnd w:id="22"/>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Performance-Based Common Stock Warrants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9, 2016, we issued common stock purchase warrants to Comcast to purchase up to 725,000 shares of our common stock at a price of $54.55 per share. The right to exercise the warrants is subject to vesting over three successive two-year periods (with the first two-year period commencing on January 1, 2016) based on the level of purchases of goods and services from us by Comcast and its affiliates, as defined in the warrants. The table below presents the purchase levels and number of warrants that will vest in each period based upon achieving these purchase levels.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3880" w:type="dxa"/>
            <w:vAlign w:val="bottom"/>
            <w:tcBorders>
              <w:bottom w:val="single" w:sz="8" w:color="auto"/>
            </w:tcBorders>
            <w:gridSpan w:val="5"/>
          </w:tcPr>
          <w:p>
            <w:pPr>
              <w:jc w:val="center"/>
              <w:ind w:left="1418"/>
              <w:spacing w:after="0"/>
              <w:rPr>
                <w:sz w:val="20"/>
                <w:szCs w:val="20"/>
                <w:color w:val="auto"/>
              </w:rPr>
            </w:pPr>
            <w:r>
              <w:rPr>
                <w:rFonts w:ascii="Times New Roman" w:cs="Times New Roman" w:eastAsia="Times New Roman" w:hAnsi="Times New Roman"/>
                <w:sz w:val="14"/>
                <w:szCs w:val="14"/>
                <w:b w:val="1"/>
                <w:bCs w:val="1"/>
                <w:color w:val="auto"/>
              </w:rPr>
              <w:t>Incremental Warrants That Will Vest</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0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Aggregate Level of Purchases by Comcast and Affiliates</w:t>
            </w:r>
          </w:p>
        </w:tc>
        <w:tc>
          <w:tcPr>
            <w:tcW w:w="1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January 1, 2016 -</w:t>
            </w:r>
          </w:p>
        </w:tc>
        <w:tc>
          <w:tcPr>
            <w:tcW w:w="20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January 1, 2018 -</w:t>
            </w:r>
          </w:p>
        </w:tc>
        <w:tc>
          <w:tcPr>
            <w:tcW w:w="1480" w:type="dxa"/>
            <w:vAlign w:val="bottom"/>
          </w:tcPr>
          <w:p>
            <w:pPr>
              <w:jc w:val="right"/>
              <w:ind w:right="236"/>
              <w:spacing w:after="0" w:line="149" w:lineRule="exact"/>
              <w:rPr>
                <w:sz w:val="20"/>
                <w:szCs w:val="20"/>
                <w:color w:val="auto"/>
              </w:rPr>
            </w:pPr>
            <w:r>
              <w:rPr>
                <w:rFonts w:ascii="Times New Roman" w:cs="Times New Roman" w:eastAsia="Times New Roman" w:hAnsi="Times New Roman"/>
                <w:sz w:val="14"/>
                <w:szCs w:val="14"/>
                <w:b w:val="1"/>
                <w:bCs w:val="1"/>
                <w:color w:val="auto"/>
              </w:rPr>
              <w:t>January 1, 2020 -</w:t>
            </w:r>
          </w:p>
        </w:tc>
        <w:tc>
          <w:tcPr>
            <w:tcW w:w="0" w:type="dxa"/>
            <w:vAlign w:val="bottom"/>
          </w:tcPr>
          <w:p>
            <w:pPr>
              <w:spacing w:after="0"/>
              <w:rPr>
                <w:sz w:val="1"/>
                <w:szCs w:val="1"/>
                <w:color w:val="auto"/>
              </w:rPr>
            </w:pPr>
          </w:p>
        </w:tc>
      </w:tr>
      <w:tr>
        <w:trPr>
          <w:trHeight w:val="195"/>
        </w:trPr>
        <w:tc>
          <w:tcPr>
            <w:tcW w:w="6060" w:type="dxa"/>
            <w:vAlign w:val="bottom"/>
            <w:vMerge w:val="continue"/>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0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4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49"/>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$260 million</w:t>
            </w:r>
          </w:p>
        </w:tc>
        <w:tc>
          <w:tcPr>
            <w:tcW w:w="17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$300 million</w:t>
            </w:r>
          </w:p>
        </w:tc>
        <w:tc>
          <w:tcPr>
            <w:tcW w:w="17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tcPr>
          <w:p>
            <w:pPr>
              <w:spacing w:after="0"/>
              <w:rPr>
                <w:sz w:val="21"/>
                <w:szCs w:val="21"/>
                <w:color w:val="auto"/>
              </w:rPr>
            </w:pPr>
          </w:p>
        </w:tc>
        <w:tc>
          <w:tcPr>
            <w:tcW w:w="17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$340 million</w:t>
            </w:r>
          </w:p>
        </w:tc>
        <w:tc>
          <w:tcPr>
            <w:tcW w:w="17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64"/>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Maximum Potential Warrants Earned by Comcast</w:t>
            </w:r>
          </w:p>
        </w:tc>
        <w:tc>
          <w:tcPr>
            <w:tcW w:w="17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tcPr>
          <w:p>
            <w:pPr>
              <w:spacing w:after="0"/>
              <w:rPr>
                <w:sz w:val="22"/>
                <w:szCs w:val="22"/>
                <w:color w:val="auto"/>
              </w:rPr>
            </w:pPr>
          </w:p>
        </w:tc>
        <w:tc>
          <w:tcPr>
            <w:tcW w:w="17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225,000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total aggregate purchases by Comcast and its affiliates are below $260 million in any of the two-year periods above, no warrants will vest related to that two-year period. If total aggregate purchases of goods and services by Comcast and its affiliates exceed $340 million during either the first or second two-year period, the amount of any such excess will count toward aggregate purchases in the following two-year period. At September 30, 2019, 175,000 vested warrants were outstanding. To fully vest in the rights to purchase all of the remaining unearned 475,000 underlying shares, Comcast and its affiliates must purchase an aggregate of $680 million in goods and services from us during the period January 1, 2018 through December 31, 2021.</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and all warrants that vest will expire on January 1, 2023. The warrants provide for certain adjustments that may be made to the exercise price and the number of shares issuable upon exercise due to customary anti-dilution provisions. Additionally, in connection with the common stock purchase warrants, we have also entered into a registration rights agreement with Comcast under which Comcast may from time to time request that we register the shares of common stock underlying vested warrants with the SEC.</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the warrants contain performance criteria under which Comcast must achieve specified aggregate purchase levels for the warrants to vest, as detailed above, the measurement date for the warrants is the date on which the warrants vest. Through September 30, 2019, none of the warrants had vested for the two-year period beginning January 1, 2018.</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we utilized in the Black Scholes option pricing model and the resulting weighted average fair value of the warrants were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96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4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top w:val="single" w:sz="8" w:color="auto"/>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top w:val="single" w:sz="8" w:color="auto"/>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$16.78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$16.78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$10.06</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Price of Universal Electronics Inc. common stock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$51.09</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$38.95</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$51.09</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$38.95</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2.92%</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47.82%</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41.00%</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47.82%</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41.00%</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life in years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4.25</w:t>
            </w:r>
          </w:p>
        </w:tc>
      </w:tr>
      <w:tr>
        <w:trPr>
          <w:trHeight w:val="513"/>
        </w:trPr>
        <w:tc>
          <w:tcPr>
            <w:tcW w:w="5620" w:type="dxa"/>
            <w:vAlign w:val="bottom"/>
          </w:tcPr>
          <w:p>
            <w:pPr>
              <w:spacing w:after="0"/>
              <w:rPr>
                <w:sz w:val="24"/>
                <w:szCs w:val="24"/>
                <w:color w:val="auto"/>
              </w:rPr>
            </w:pPr>
          </w:p>
        </w:tc>
        <w:tc>
          <w:tcPr>
            <w:tcW w:w="1380" w:type="dxa"/>
            <w:vAlign w:val="bottom"/>
          </w:tcPr>
          <w:p>
            <w:pPr>
              <w:jc w:val="right"/>
              <w:ind w:right="1114"/>
              <w:spacing w:after="0"/>
              <w:rPr>
                <w:sz w:val="20"/>
                <w:szCs w:val="20"/>
                <w:color w:val="auto"/>
              </w:rPr>
            </w:pPr>
            <w:r>
              <w:rPr>
                <w:rFonts w:ascii="Times New Roman" w:cs="Times New Roman" w:eastAsia="Times New Roman" w:hAnsi="Times New Roman"/>
                <w:sz w:val="18"/>
                <w:szCs w:val="18"/>
                <w:color w:val="auto"/>
                <w:w w:val="88"/>
              </w:rPr>
              <w:t>23</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23" w:name="page24"/>
    <w:bookmarkEnd w:id="23"/>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 to net sales recorded in connection with the warrants and the related income tax benefit were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Reduction to net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1,381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747</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186</w:t>
            </w: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estimate the number of warrants that will vest based on projected future purchases that will be made by Comcast and its affiliates. These estimates may increase or decrease based on actual future purchases. The aggregate unrecognized estimated fair value of unvested warrants at September 30, 2019 was $6.4 million.</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Other Income (Expense), Net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9"/>
        </w:trPr>
        <w:tc>
          <w:tcPr>
            <w:tcW w:w="562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 xml:space="preserve">Net gain (loss) on foreign currency exchange contracts </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603</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gain (loss) on foreign currency exchange transactions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(3,951)</w:t>
            </w:r>
          </w:p>
        </w:tc>
      </w:tr>
      <w:tr>
        <w:trPr>
          <w:trHeight w:val="27"/>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This represents the gains (losses) incurred on foreign currency hedging derivatives (see Note 18 for further details).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Earnings (Loss) Per Share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(loss) per share was calculated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per-share amounts)</w:t>
            </w: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304"/>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2,669</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23,031</w:t>
            </w: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13,894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13,836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13,861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13,997</w:t>
            </w:r>
          </w:p>
        </w:tc>
      </w:tr>
      <w:tr>
        <w:trPr>
          <w:trHeight w:val="297"/>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1.65</w:t>
            </w:r>
          </w:p>
        </w:tc>
      </w:tr>
      <w:tr>
        <w:trPr>
          <w:trHeight w:val="284"/>
        </w:trPr>
        <w:tc>
          <w:tcPr>
            <w:tcW w:w="5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2,669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23,031</w:t>
            </w: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0"/>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 for basic</w:t>
            </w:r>
          </w:p>
        </w:tc>
        <w:tc>
          <w:tcPr>
            <w:tcW w:w="26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13,894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13,836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13,861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13,997</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Dilutive effect of stock options, restricted stock and common stock warrants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119</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 on a diluted basis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14,170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13,959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13,861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14,116</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1.63</w:t>
            </w: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608"/>
        </w:trPr>
        <w:tc>
          <w:tcPr>
            <w:tcW w:w="56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24" w:name="page25"/>
    <w:bookmarkEnd w:id="24"/>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number of stock options, shares of restricted stock and common stock warrants were excluded from the computation of diluted earnings per common share as their inclusion would have been anti-dilutive: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20" w:type="dxa"/>
            <w:vAlign w:val="bottom"/>
            <w:gridSpan w:val="10"/>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6"/>
                <w:szCs w:val="16"/>
                <w:color w:val="auto"/>
              </w:rPr>
            </w:pPr>
          </w:p>
        </w:tc>
        <w:tc>
          <w:tcPr>
            <w:tcW w:w="2720" w:type="dxa"/>
            <w:vAlign w:val="bottom"/>
            <w:gridSpan w:val="9"/>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gridSpan w:val="3"/>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gridSpan w:val="2"/>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365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Performance-based warrants</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175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18 — Derivatives</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sets forth the total net fair value of derivatives:</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5"/>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8"/>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9"/>
          </w:tcPr>
          <w:p>
            <w:pPr>
              <w:ind w:left="280"/>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3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5"/>
                <w:szCs w:val="5"/>
                <w:color w:val="auto"/>
              </w:rPr>
            </w:pP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vMerge w:val="restart"/>
          </w:tcPr>
          <w:p>
            <w:pPr>
              <w:spacing w:after="0"/>
              <w:rPr>
                <w:sz w:val="5"/>
                <w:szCs w:val="5"/>
                <w:color w:val="auto"/>
              </w:rPr>
            </w:pPr>
          </w:p>
        </w:tc>
        <w:tc>
          <w:tcPr>
            <w:tcW w:w="140" w:type="dxa"/>
            <w:vAlign w:val="bottom"/>
            <w:vMerge w:val="restart"/>
          </w:tcPr>
          <w:p>
            <w:pPr>
              <w:spacing w:after="0"/>
              <w:rPr>
                <w:sz w:val="5"/>
                <w:szCs w:val="5"/>
                <w:color w:val="auto"/>
              </w:rPr>
            </w:pPr>
          </w:p>
        </w:tc>
        <w:tc>
          <w:tcPr>
            <w:tcW w:w="62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vMerge w:val="restart"/>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5"/>
                <w:szCs w:val="5"/>
                <w:color w:val="auto"/>
              </w:rPr>
            </w:pPr>
          </w:p>
        </w:tc>
        <w:tc>
          <w:tcPr>
            <w:tcW w:w="9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Balance</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vMerge w:val="restart"/>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5"/>
                <w:szCs w:val="5"/>
                <w:color w:val="auto"/>
              </w:rPr>
            </w:pPr>
          </w:p>
        </w:tc>
        <w:tc>
          <w:tcPr>
            <w:tcW w:w="900" w:type="dxa"/>
            <w:vAlign w:val="bottom"/>
            <w:gridSpan w:val="4"/>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(249)</w:t>
            </w:r>
          </w:p>
        </w:tc>
        <w:tc>
          <w:tcPr>
            <w:tcW w:w="48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rPr>
              <w:t>$   (249)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held foreign currency exchange contracts, which resulted in a net pre-tax gain of $0.4 million and $0.1 million for the three months ended September 30, 2019 and 2018, respectively. For the nine months ended September 30, 2019 and 2018, we had a net pre-tax loss of $8.0 thousand and a net pre-tax gain of $0.6 million, respectively (see Note 16).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foreign currency exchange contracts held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Gain/(Loss)</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Recorded at Balance</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Sheet</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Date Held</w:t>
            </w:r>
          </w:p>
        </w:tc>
        <w:tc>
          <w:tcPr>
            <w:tcW w:w="120" w:type="dxa"/>
            <w:vAlign w:val="bottom"/>
            <w:vMerge w:val="restart"/>
          </w:tcPr>
          <w:p>
            <w:pPr>
              <w:spacing w:after="0"/>
              <w:rPr>
                <w:sz w:val="12"/>
                <w:szCs w:val="12"/>
                <w:color w:val="auto"/>
              </w:rPr>
            </w:pPr>
          </w:p>
        </w:tc>
        <w:tc>
          <w:tcPr>
            <w:tcW w:w="2520" w:type="dxa"/>
            <w:vAlign w:val="bottom"/>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vMerge w:val="restart"/>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 Held</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4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Forward Rate</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Settlement Date</w:t>
            </w:r>
          </w:p>
        </w:tc>
        <w:tc>
          <w:tcPr>
            <w:tcW w:w="0" w:type="dxa"/>
            <w:vAlign w:val="bottom"/>
          </w:tcPr>
          <w:p>
            <w:pPr>
              <w:spacing w:after="0"/>
              <w:rPr>
                <w:sz w:val="1"/>
                <w:szCs w:val="1"/>
                <w:color w:val="auto"/>
              </w:rPr>
            </w:pPr>
          </w:p>
        </w:tc>
      </w:tr>
      <w:tr>
        <w:trPr>
          <w:trHeight w:val="195"/>
        </w:trPr>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(in thousands)</w:t>
            </w:r>
            <w:r>
              <w:rPr>
                <w:rFonts w:ascii="Times New Roman" w:cs="Times New Roman" w:eastAsia="Times New Roman" w:hAnsi="Times New Roman"/>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30, 2019</w:t>
            </w:r>
          </w:p>
        </w:tc>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USD/Chinese Yuan Renminbi</w:t>
            </w:r>
          </w:p>
        </w:tc>
        <w:tc>
          <w:tcPr>
            <w:tcW w:w="1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7.1253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8, 2019</w:t>
            </w: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September 30, 2019</w:t>
            </w: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USD/Brazilian Real</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USD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4.1565</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25, 2019</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30, 2019</w:t>
            </w:r>
          </w:p>
        </w:tc>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USD/Euro</w:t>
            </w:r>
          </w:p>
        </w:tc>
        <w:tc>
          <w:tcPr>
            <w:tcW w:w="1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1.0971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25, 2019</w:t>
            </w: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2018</w:t>
            </w: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USD/Euro</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USD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1.1421</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25, 2019</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 2018</w:t>
            </w:r>
          </w:p>
        </w:tc>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USD/Chinese Yuan Renminbi</w:t>
            </w:r>
          </w:p>
        </w:tc>
        <w:tc>
          <w:tcPr>
            <w:tcW w:w="1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6.8969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January 25, 2019</w:t>
            </w: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2018</w:t>
            </w: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USD/Chinese Yuan Renminbi</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USD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6.9245</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25, 2019</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 2018</w:t>
            </w:r>
          </w:p>
        </w:tc>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USD/Brazilian Real</w:t>
            </w:r>
          </w:p>
        </w:tc>
        <w:tc>
          <w:tcPr>
            <w:tcW w:w="1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USD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3.8651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January 25, 2019</w:t>
            </w:r>
          </w:p>
        </w:tc>
        <w:tc>
          <w:tcPr>
            <w:tcW w:w="0" w:type="dxa"/>
            <w:vAlign w:val="bottom"/>
          </w:tcPr>
          <w:p>
            <w:pPr>
              <w:spacing w:after="0"/>
              <w:rPr>
                <w:sz w:val="1"/>
                <w:szCs w:val="1"/>
                <w:color w:val="auto"/>
              </w:rPr>
            </w:pPr>
          </w:p>
        </w:tc>
      </w:tr>
      <w:tr>
        <w:trPr>
          <w:trHeight w:val="27"/>
        </w:trPr>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660" w:right="380" w:hanging="328"/>
        <w:spacing w:after="0" w:line="218" w:lineRule="auto"/>
        <w:tabs>
          <w:tab w:leader="none" w:pos="660"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Unrealized gains on foreign currency exchange contracts are recorded in prepaid expenses and other current assets. Unrealized losses on foreign currency exchange contracts are recorded in other accrued liabilities.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4" w:right="239" w:bottom="1440" w:gutter="0" w:footer="0" w:header="0"/>
        </w:sectPr>
      </w:pPr>
    </w:p>
    <w:bookmarkStart w:id="25" w:name="page26"/>
    <w:bookmarkEnd w:id="25"/>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9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Consolidated Financial Statements and the related notes that appear elsewhere in this document.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develop control and sensor technology solutions and manufacture a broad line of pre-programmed and universal remote control products, AV accessories and intelligent wireless security and smart home products dedicated to redefining the home entertainment, automation and security experience. Our customers operate primarily in the consumer electronics market and include subscription broadcasters, OEMs, retailers, private label brands, pro-security installers and companies in the computing industry. We also sell integrated circuits, on which our software and device control database is embedded, and license our device control database to OEMs that manufacture televisions, digital audio and video players, streamer boxes, cable converters, satellite receivers, set-top boxes, room air conditioning equipment, game consoles, and wireless mobile phones and tablets.</w:t>
      </w:r>
    </w:p>
    <w:p>
      <w:pPr>
        <w:spacing w:after="0" w:line="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our beginning in 1986, we have compiled an extensive device control code database that covers over one million individual device functions and approximately 8,900 unique consumer electronic brands. QuickSet®, our proprietary software, can automatically detect, identify and enable the appropriate control commands for home entertainment, automation and appliances like air conditioners. Our library is regularly updated with new control functions captured directly from devices, remote controls and manufacturer specifications to ensure the accuracy and integrity of our database and control engine. Our universal remote control library contains device codes that are capable of controlling virtually all set-top boxes, televisions, audio components, DVD players, Blu-Ray players, and CD players, as well as most other remote controlled home entertainment devices and home automation control modules worldwide.</w:t>
      </w:r>
    </w:p>
    <w:p>
      <w:pPr>
        <w:spacing w:after="0" w:line="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the wider adoption of more advanced control technologies, emerging radio frequency ("RF") technologies, such as RF4CE, Bluetooth, and Bluetooth Smart, have increasingly become a focus in our development efforts. Several new recently released platforms utilize RF to effectively implement popular features like voice search.</w:t>
      </w:r>
    </w:p>
    <w:p>
      <w:pPr>
        <w:spacing w:after="0" w:line="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developed a comprehensive patent portfolio of over 500 issued and pending United States patents related to remote control, home security, safety and automation as well as hundreds of foreign counterpart patents and applications in various territories around the world.</w:t>
      </w:r>
    </w:p>
    <w:p>
      <w:pPr>
        <w:spacing w:after="0" w:line="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as one business segment. We have 24 international subsidiaries located in Argentina, Brazil, British Virgin Islands, Cayman Islands, France, Germany, Hong Kong (3), India, Italy, Japan, Korea, Mexico, the Netherlands, People's Republic of China (the "PRC") (6), Singapore, Spain, and the United Kingdom.</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recap our results for the three months ended September 30, 2019:</w:t>
      </w:r>
    </w:p>
    <w:p>
      <w:pPr>
        <w:spacing w:after="0" w:line="63" w:lineRule="exact"/>
        <w:rPr>
          <w:sz w:val="20"/>
          <w:szCs w:val="20"/>
          <w:color w:val="auto"/>
        </w:rPr>
      </w:pPr>
    </w:p>
    <w:p>
      <w:pPr>
        <w:ind w:left="980" w:hanging="324"/>
        <w:spacing w:after="0" w:line="281"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increased 9.9% to $200.7 million for the three months ended September 30, 2019 from $182.7 million for the three months ended September 30, 2018.</w:t>
      </w:r>
    </w:p>
    <w:p>
      <w:pPr>
        <w:spacing w:after="0" w:line="1" w:lineRule="exact"/>
        <w:rPr>
          <w:rFonts w:ascii="Times New Roman" w:cs="Times New Roman" w:eastAsia="Times New Roman" w:hAnsi="Times New Roman"/>
          <w:sz w:val="18"/>
          <w:szCs w:val="18"/>
          <w:color w:val="auto"/>
        </w:rPr>
      </w:pPr>
    </w:p>
    <w:p>
      <w:pPr>
        <w:ind w:left="980" w:hanging="324"/>
        <w:spacing w:after="0" w:line="281"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gross margin percentage increased from 22.1% for the three months ended September 30, 2018 to 23.2% for the three months ended September 30, 2019.</w:t>
      </w:r>
    </w:p>
    <w:p>
      <w:pPr>
        <w:spacing w:after="0" w:line="1" w:lineRule="exact"/>
        <w:rPr>
          <w:rFonts w:ascii="Times New Roman" w:cs="Times New Roman" w:eastAsia="Times New Roman" w:hAnsi="Times New Roman"/>
          <w:sz w:val="18"/>
          <w:szCs w:val="18"/>
          <w:color w:val="auto"/>
        </w:rPr>
      </w:pPr>
    </w:p>
    <w:p>
      <w:pPr>
        <w:ind w:left="980" w:hanging="324"/>
        <w:spacing w:after="0" w:line="281"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as a percent of net sales, increased from 19.5% for the three months ended September 30, 2018 to 20.2% for the three months ended September 30, 2019.</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income increased from $4.7 million for the three months ended September 30, 2018 to $6.1 million for the three months ended September 30, 2019. Our operating income percentage increased from 2.6% for the three months ended September 30, 2018 to 3.0% for the three months ended September 30, 2019.</w:t>
      </w:r>
    </w:p>
    <w:p>
      <w:pPr>
        <w:spacing w:after="0" w:line="14"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increased from $0.3 million for the three months ended September 30, 2018 to $2.5 million for the three months ended September 30, 2019.</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strategic business objectives for 2019 include the following:</w:t>
      </w:r>
    </w:p>
    <w:p>
      <w:pPr>
        <w:spacing w:after="0" w:line="63"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and market the advanced remote control products and technologies that our customer base is adopting;</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broaden our home control and automation product offerings;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penetrate international subscription broadcasting markets;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new customers in historically strong regions;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share with existing customers; and</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seek acquisitions or strategic partners that complement and strengthen our existing business.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4" w:right="239" w:bottom="1440" w:gutter="0" w:footer="0" w:header="0"/>
        </w:sectPr>
      </w:pPr>
    </w:p>
    <w:bookmarkStart w:id="26" w:name="page27"/>
    <w:bookmarkEnd w:id="26"/>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allowances for doubtful accounts, inventory valuation, our review for impairment of long-lived assets, intangible assets and goodwill, business combinations, income taxes, stock-based compensation expense and performance-based common stock warrants. Actual results may differ from these judgments and estimates, and they may be adjusted as more information becomes available. Any adjustment may be significant and may have a material impact on our consolidated financial position or results of operations.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We do not believe that there have been any significant changes during the three and nine months ended September 30, 2019 to the items that we disclosed as our critical accounting policies and estimates in Item 7, "Management's Discussion and Analysis of Financial Condition and Results of Operations" contained in our Annual Report on Form 10-K for our fiscal year ended December 31, 2018.</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contained in the "Notes to Consolidated Financial Statements" for a discussion of recent accounting pronouncements.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reported results of operations expressed as a percentage of net sales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00" w:type="dxa"/>
            <w:vAlign w:val="bottom"/>
          </w:tcPr>
          <w:p>
            <w:pPr>
              <w:spacing w:after="0"/>
              <w:rPr>
                <w:sz w:val="16"/>
                <w:szCs w:val="16"/>
                <w:color w:val="auto"/>
              </w:rPr>
            </w:pPr>
          </w:p>
        </w:tc>
        <w:tc>
          <w:tcPr>
            <w:tcW w:w="330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20" w:type="dxa"/>
            <w:vAlign w:val="bottom"/>
            <w:gridSpan w:val="3"/>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4900" w:type="dxa"/>
            <w:vAlign w:val="bottom"/>
            <w:tcBorders>
              <w:bottom w:val="single" w:sz="8" w:color="CCEEFF"/>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3"/>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5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Pr>
          <w:p>
            <w:pPr>
              <w:spacing w:after="0"/>
              <w:rPr>
                <w:sz w:val="21"/>
                <w:szCs w:val="21"/>
                <w:color w:val="auto"/>
              </w:rPr>
            </w:pPr>
          </w:p>
        </w:tc>
        <w:tc>
          <w:tcPr>
            <w:tcW w:w="15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tcPr>
          <w:p>
            <w:pPr>
              <w:spacing w:after="0"/>
              <w:rPr>
                <w:sz w:val="21"/>
                <w:szCs w:val="21"/>
                <w:color w:val="auto"/>
              </w:rPr>
            </w:pPr>
          </w:p>
        </w:tc>
        <w:tc>
          <w:tcPr>
            <w:tcW w:w="15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79.6</w:t>
            </w:r>
          </w:p>
        </w:tc>
      </w:tr>
      <w:tr>
        <w:trPr>
          <w:trHeight w:val="27"/>
        </w:trPr>
        <w:tc>
          <w:tcPr>
            <w:tcW w:w="49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5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20.4</w:t>
            </w:r>
          </w:p>
        </w:tc>
      </w:tr>
      <w:tr>
        <w:trPr>
          <w:trHeight w:val="243"/>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5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15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15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4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5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17.7</w:t>
            </w:r>
          </w:p>
        </w:tc>
      </w:tr>
      <w:tr>
        <w:trPr>
          <w:trHeight w:val="237"/>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154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(0.8)</w:t>
            </w:r>
          </w:p>
        </w:tc>
      </w:tr>
      <w:tr>
        <w:trPr>
          <w:trHeight w:val="27"/>
        </w:trPr>
        <w:tc>
          <w:tcPr>
            <w:tcW w:w="4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5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sale of Guangzhou factory</w:t>
            </w: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7.3</w:t>
            </w:r>
          </w:p>
        </w:tc>
      </w:tr>
      <w:tr>
        <w:trPr>
          <w:trHeight w:val="27"/>
        </w:trPr>
        <w:tc>
          <w:tcPr>
            <w:tcW w:w="4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5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(0.8)</w:t>
            </w:r>
          </w:p>
        </w:tc>
      </w:tr>
      <w:tr>
        <w:trPr>
          <w:trHeight w:val="237"/>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54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4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5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0.5</w:t>
            </w:r>
          </w:p>
        </w:tc>
      </w:tr>
      <w:tr>
        <w:trPr>
          <w:trHeight w:val="237"/>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7"/>
        </w:trPr>
        <w:tc>
          <w:tcPr>
            <w:tcW w:w="49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49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2019 versus Three Months Ended September 30, 2018</w:t>
      </w:r>
    </w:p>
    <w:p>
      <w:pPr>
        <w:spacing w:after="0" w:line="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for the three months ended September 30, 2019 were $200.7 million, an increase of 9.9% compared to $182.7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2018. The increase in net sales was primarily due to the recent launches of higher end platforms by existing customers in the subscription broadcasting channel, a newly acquired customer and continued strength in home automation.</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for the three months ended September 30, 2019 was $46.5 million compared to $40.3 million for the three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2018. Gross profit as a percent of sales increased to 23.2% for the three months ended September 30, 2019 from 22.1% for the three months ended September 30, 2018. The gross margin percentage was favorably impacted by product mix due to small to medium sized subscription broadcasters launching advanced platforms and an increase in royalty</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4" w:right="239" w:bottom="1440" w:gutter="0" w:footer="0" w:header="0"/>
        </w:sectPr>
      </w:pPr>
    </w:p>
    <w:bookmarkStart w:id="27" w:name="page28"/>
    <w:bookmarkEnd w:id="27"/>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as certain consumer electronic companies are embedding our technology in their devices, lower raw material costs during the three months ended September 30, 2019 and foreign currency as the U.S. Dollar strengthened by approximately 300 basis points versus the Chinese Yuan. These savings were partially offset by higher U.S tariffs on many of our products that are manufactured in China and imported into the U.S. In an effort to mitigate the effect of the increased tariffs, we are in the process of transitioning the production of goods destined for the U.S. from our China factories to our factory in Mexico. In connection with this transition, which began in the fourth quarter of 2018, we have incurred costs related to the movement of materials, duplicative labor efforts and indirect costs including unabsorbed duplicative overhead. We expect this manufacturing transition to be substantially completed in 2019. Until then, we expect that our gross margin rate will continue to be negatively impacted by increased U.S. tariffs and manufacturing transition inefficiencies.</w:t>
      </w:r>
    </w:p>
    <w:p>
      <w:pPr>
        <w:spacing w:after="0" w:line="13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("R&amp;D") expenses. </w:t>
      </w:r>
      <w:r>
        <w:rPr>
          <w:rFonts w:ascii="Times New Roman" w:cs="Times New Roman" w:eastAsia="Times New Roman" w:hAnsi="Times New Roman"/>
          <w:sz w:val="18"/>
          <w:szCs w:val="18"/>
          <w:color w:val="auto"/>
        </w:rPr>
        <w:t>R&amp;D expenses increased 41.8% to $7.9 million for the three months ended September 30, 2019 from $5.6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September 30, 2018 primarily due to our continued investment in the development of new products that enhance the user experience in home entertainment and home automation.</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("SG&amp;A") expenses. </w:t>
      </w:r>
      <w:r>
        <w:rPr>
          <w:rFonts w:ascii="Times New Roman" w:cs="Times New Roman" w:eastAsia="Times New Roman" w:hAnsi="Times New Roman"/>
          <w:sz w:val="18"/>
          <w:szCs w:val="18"/>
          <w:color w:val="auto"/>
        </w:rPr>
        <w:t>SG&amp;A expenses were $32.4 million for the three months ended September 30, 2019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$30.0 million for the three months ended September 30, 2018, primarily due to increases in incentive compensation expense and an increase in contingent consideration recorded in connection with our acquisition of the net assets of Ecolink Intelligent Technology, Inc. ("Ecolink"). Partially offsetting these increases was payroll expense, which decreased as a result of our ongoing corporate restructuring initiatives.</w:t>
      </w:r>
    </w:p>
    <w:p>
      <w:pPr>
        <w:spacing w:after="0" w:line="12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(expense), net. </w:t>
      </w:r>
      <w:r>
        <w:rPr>
          <w:rFonts w:ascii="Times New Roman" w:cs="Times New Roman" w:eastAsia="Times New Roman" w:hAnsi="Times New Roman"/>
          <w:sz w:val="18"/>
          <w:szCs w:val="18"/>
          <w:color w:val="auto"/>
        </w:rPr>
        <w:t>Net interest expense decreased to $0.8 million for the three months ended September 30, 2019 from $1.2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2018 as a result of a lower average quarterly loan balance.</w:t>
      </w:r>
    </w:p>
    <w:p>
      <w:pPr>
        <w:spacing w:after="0" w:line="10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Net other income was $0.1 million for the three months ended September 30, 2019 compared to net other expense of $2.3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September 30, 2018. This change was driven primarily by foreign currency losses associated with fluctuations in the Chinese Yuan Renminbi and Euro exchange rates versus the U.S. Dollar in the prior year period.</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Income tax expense was $2.5 million for the three months ended September 30, 2019 compared to $0.3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2018. The $2.5 million tax expense incurred in the three months ending September 30, 2019 relates to pre-tax income generated in foreign jurisdictions. The U.S. incurred a pre-tax loss for the same period; however, because of a full valuation allowance begin applied to its deferred tax assets, this loss was not benefited, resulting in an increase in our effective tax rate.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2019 versus Nine Months Ended September 30, 2018</w:t>
      </w:r>
    </w:p>
    <w:p>
      <w:pPr>
        <w:spacing w:after="0" w:line="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for the nine months ended September 30, 2019 were $578.8 million, an increase of 13.5% compared to $509.9 million for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2018. The increase in net sales was primarily due to the recent launches of higher end platforms by existing customers in the subscription broadcasting channel, a newly acquired customer and continued strength in home automation.</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for the nine months ended September 30, 2019 was $120.3 million compared to $104.3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2018. Gross profit as a percent of sales was increased to 20.8% for the nine months ended September 30, 2019 compared to 20.4% for the nine months ended September 30, 2018. The gross margin percentage was favorably impacted by product mix due to small to medium sized subscription broadcasters launching advanced platforms and an increase in royalty revenue as certain consumer electronic companies are embedding our technology in their devices, lower raw material costs during the nine months ended September 30, 2019 and foreign currency as the U.S. Dollar strengthened by approximately 500 basis points versus the Chinese Yuan. The gross margin percentage was unfavorably impacted by higher U.S tariffs on many of our products that are manufactured in China and imported into the U.S. In an effort to mitigate the effect of the increased tariffs, we are in the process of transitioning the production of goods destined for the U.S. from our China factories to our factory in Mexico. In connection with this transition, which began in the fourth quarter of 2018, we have incurred costs related to the movement of materials, duplicative labor efforts and indirect costs including unabsorbed duplicative overhead. We expect this manufacturing transition to be substantially completed by 2019. Until then, we expect that our gross margin rate will continue to be negatively impacted by increased U.S. tariffs and manufacturing transition inefficiencies.</w:t>
      </w:r>
    </w:p>
    <w:p>
      <w:pPr>
        <w:spacing w:after="0" w:line="1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R&amp;D expenses increased 23.6% to $21.9 million for the nine months ended September 30, 2019 from $17.7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nine months ended September 30, 2018 primarily due to our continued investment in the development of new products that enhance the user experience in home entertainment and home automation.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4" w:right="239" w:bottom="1440" w:gutter="0" w:footer="0" w:header="0"/>
        </w:sectPr>
      </w:pPr>
    </w:p>
    <w:bookmarkStart w:id="28" w:name="page29"/>
    <w:bookmarkEnd w:id="28"/>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SG&amp;A expenses increased to $94.6 million for the nine months ended September 30, 2019 from $90.8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nine months ended September 30, 2018, primarily due to increases in incentive compensation expense and an increase in contingent consideration recorded in connection with our acquisition of the net assets of Ecolink Intelligent Technology, Inc. Partially offsetting these increases was payroll expense, which decreased as a result of our ongoing corporate restructuring initiatives.</w:t>
      </w:r>
    </w:p>
    <w:p>
      <w:pPr>
        <w:spacing w:after="0" w:line="12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(expense), net. </w:t>
      </w:r>
      <w:r>
        <w:rPr>
          <w:rFonts w:ascii="Times New Roman" w:cs="Times New Roman" w:eastAsia="Times New Roman" w:hAnsi="Times New Roman"/>
          <w:sz w:val="18"/>
          <w:szCs w:val="18"/>
          <w:color w:val="auto"/>
        </w:rPr>
        <w:t>Net interest expense was $3.1 million for the nine months ended September 30, 2019 and $3.5 million for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2018 as a result of a lower average quarterly loan balance.</w:t>
      </w:r>
    </w:p>
    <w:p>
      <w:pPr>
        <w:spacing w:after="0" w:line="10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Gain on sale of Guangzhou factory</w:t>
      </w:r>
      <w:r>
        <w:rPr>
          <w:rFonts w:ascii="Times New Roman" w:cs="Times New Roman" w:eastAsia="Times New Roman" w:hAnsi="Times New Roman"/>
          <w:sz w:val="18"/>
          <w:szCs w:val="18"/>
          <w:color w:val="auto"/>
        </w:rPr>
        <w:t>. In June 2018, we completed the sale of our Guangzhou manufacturing facility in exchange for cash proceeds of $51.3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resulting in a pre-tax gain of $37.0 million.</w:t>
      </w:r>
    </w:p>
    <w:p>
      <w:pPr>
        <w:spacing w:after="0" w:line="10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Net other expense was $0.4 million for the nine months ended September 30, 2019 compared to $4.0 million for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2018. This change was driven primarily by foreign currency losses associated with fluctuations in the Chinese Yuan Renminbi, Argentinian Peso, and Euro exchange rates versus the U.S. Dollar in the prior year period.</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Income tax expense was $3.7 million for the nine months ended September 30, 2019 compared to $2.2 million for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2018. Income tax expense for the nine months ended September 30, 2019 includes losses not benefited in the U.S. as a result of a valuation allowance being applied against its deferred tax assets and the net effect (expense) of a remeasurement of deferred taxes at our Yangzhou entity in China resulting from a lower tax rate that was achieved via the High Technology Exemption ("HTE") approval. The majority of pre-tax income earned in the nine months ended September 30, 2018 was a result of the gain on sale of our Guangzhou factory located in southern China. The tax rate applicable to this transaction was lower than our blended consolidated tax rate.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and Uses of Cash</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3"/>
                <w:szCs w:val="13"/>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60" w:type="dxa"/>
            <w:vAlign w:val="bottom"/>
          </w:tcPr>
          <w:p>
            <w:pPr>
              <w:spacing w:after="0"/>
              <w:rPr>
                <w:sz w:val="13"/>
                <w:szCs w:val="13"/>
                <w:color w:val="auto"/>
              </w:rPr>
            </w:pPr>
          </w:p>
        </w:tc>
        <w:tc>
          <w:tcPr>
            <w:tcW w:w="15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200" w:type="dxa"/>
            <w:vAlign w:val="bottom"/>
          </w:tcPr>
          <w:p>
            <w:pPr>
              <w:spacing w:after="0"/>
              <w:rPr>
                <w:sz w:val="13"/>
                <w:szCs w:val="13"/>
                <w:color w:val="auto"/>
              </w:rPr>
            </w:pPr>
          </w:p>
        </w:tc>
        <w:tc>
          <w:tcPr>
            <w:tcW w:w="162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360" w:type="dxa"/>
            <w:vAlign w:val="bottom"/>
          </w:tcPr>
          <w:p>
            <w:pPr>
              <w:spacing w:after="0"/>
              <w:rPr>
                <w:sz w:val="16"/>
                <w:szCs w:val="16"/>
                <w:color w:val="auto"/>
              </w:rPr>
            </w:pPr>
          </w:p>
        </w:tc>
        <w:tc>
          <w:tcPr>
            <w:tcW w:w="15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00" w:type="dxa"/>
            <w:vAlign w:val="bottom"/>
          </w:tcPr>
          <w:p>
            <w:pPr>
              <w:spacing w:after="0"/>
              <w:rPr>
                <w:sz w:val="16"/>
                <w:szCs w:val="16"/>
                <w:color w:val="auto"/>
              </w:rPr>
            </w:pPr>
          </w:p>
        </w:tc>
        <w:tc>
          <w:tcPr>
            <w:tcW w:w="16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0" w:type="dxa"/>
            <w:vAlign w:val="bottom"/>
          </w:tcPr>
          <w:p>
            <w:pPr>
              <w:spacing w:after="0"/>
              <w:rPr>
                <w:sz w:val="1"/>
                <w:szCs w:val="1"/>
                <w:color w:val="auto"/>
              </w:rPr>
            </w:pPr>
          </w:p>
        </w:tc>
      </w:tr>
      <w:tr>
        <w:trPr>
          <w:trHeight w:val="249"/>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provided by (used for) operating activities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39,921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44,495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provided by (used for) investing activities</w:t>
            </w: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27,489</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provided by (used for)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30,977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(50,058)</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1,799</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26,866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(25,344)</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5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360" w:type="dxa"/>
            <w:vAlign w:val="bottom"/>
          </w:tcPr>
          <w:p>
            <w:pPr>
              <w:spacing w:after="0"/>
              <w:rPr>
                <w:sz w:val="24"/>
                <w:szCs w:val="24"/>
                <w:color w:val="auto"/>
              </w:rPr>
            </w:pPr>
          </w:p>
        </w:tc>
        <w:tc>
          <w:tcPr>
            <w:tcW w:w="15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200" w:type="dxa"/>
            <w:vAlign w:val="bottom"/>
          </w:tcPr>
          <w:p>
            <w:pPr>
              <w:spacing w:after="0"/>
              <w:rPr>
                <w:sz w:val="24"/>
                <w:szCs w:val="24"/>
                <w:color w:val="auto"/>
              </w:rPr>
            </w:pPr>
          </w:p>
        </w:tc>
        <w:tc>
          <w:tcPr>
            <w:tcW w:w="1620" w:type="dxa"/>
            <w:vAlign w:val="bottom"/>
            <w:vMerge w:val="restart"/>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95"/>
        </w:trPr>
        <w:tc>
          <w:tcPr>
            <w:tcW w:w="5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54,729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1,522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53,207</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Working capital</w:t>
            </w:r>
          </w:p>
        </w:tc>
        <w:tc>
          <w:tcPr>
            <w:tcW w:w="220" w:type="dxa"/>
            <w:vAlign w:val="bottom"/>
          </w:tcPr>
          <w:p>
            <w:pPr>
              <w:spacing w:after="0"/>
              <w:rPr>
                <w:sz w:val="21"/>
                <w:szCs w:val="21"/>
                <w:color w:val="auto"/>
              </w:rPr>
            </w:pPr>
          </w:p>
        </w:tc>
        <w:tc>
          <w:tcPr>
            <w:tcW w:w="16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102,894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2,297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100,597</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w:t>
      </w:r>
      <w:r>
        <w:rPr>
          <w:rFonts w:ascii="Times New Roman" w:cs="Times New Roman" w:eastAsia="Times New Roman" w:hAnsi="Times New Roman"/>
          <w:sz w:val="18"/>
          <w:szCs w:val="18"/>
          <w:color w:val="auto"/>
        </w:rPr>
        <w:t>was $39.9 million during the nine months ended September 30, 2019 compared to $4.6 million of net cash used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activities during the nine months ended September 30, 2018. Accounts payable and accrued liabilities produced net cash inflows of $11.7 million during the nine months ended September 30, 2019 versus cash outflows of $13.1 million during the nine months ended September 30, 2018, largely as a result of timing of payments. Accounts receivable and contract assets produced cash outflows of $11.1 million during the nine months ended September 30, 2019 compared to $1.3 million during the nine months ended September 30, 2018 largely due to strong sales growth partially offset by a decrease in days sales outstanding of 67 days at September 30, 2019 compared to 74 days at September 30, 2018. Inventory turns were consistent at 3.5 turns at September 30, 2019 and September 30, 2018.</w:t>
      </w:r>
    </w:p>
    <w:p>
      <w:pPr>
        <w:spacing w:after="0" w:line="12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cash used for investing activities </w:t>
      </w:r>
      <w:r>
        <w:rPr>
          <w:rFonts w:ascii="Times New Roman" w:cs="Times New Roman" w:eastAsia="Times New Roman" w:hAnsi="Times New Roman"/>
          <w:sz w:val="18"/>
          <w:szCs w:val="18"/>
          <w:color w:val="auto"/>
        </w:rPr>
        <w:t>during the nine months ended September 30, 2019 was $17.4 million, of which $15.9 million was utilized for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expenditures. Net cash provided by investing activities during the nine months ended September 30, 2018 was $27.5 million which included cash proceeds relating to the sale of our Guangzhou factory of $51.3 million offset partially by $16.9 million of capital expenditures.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4" w:right="239" w:bottom="1440" w:gutter="0" w:footer="0" w:header="0"/>
        </w:sectPr>
      </w:pPr>
    </w:p>
    <w:bookmarkStart w:id="29" w:name="page30"/>
    <w:bookmarkEnd w:id="29"/>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cash used for financing activities </w:t>
      </w:r>
      <w:r>
        <w:rPr>
          <w:rFonts w:ascii="Times New Roman" w:cs="Times New Roman" w:eastAsia="Times New Roman" w:hAnsi="Times New Roman"/>
          <w:sz w:val="18"/>
          <w:szCs w:val="18"/>
          <w:color w:val="auto"/>
        </w:rPr>
        <w:t>was $19.1 million during the nine months ended September 30, 2019 compared to $50.1 million during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2018. The decrease in cash used in financing activities was driven primarily by borrowing and repayment activity on our line of credit and fewer shares repurchased on the open market. During the nine months ended September 30, 2019 we had net repayments of $13.5 million compared to $34.5 million during the nine months ended September 30, 2018.</w:t>
      </w:r>
    </w:p>
    <w:p>
      <w:pPr>
        <w:spacing w:after="0" w:line="1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2019, we repurchased 54,403 shares of our common stock at a cost of $1.7 million compared to our repurchase of 373,511 shares at a cost of $12.6 million during the nine months ended September 30, 2018. We hold these shares as treasury stock and they are available for reissue. Presently, we have no plans to distribute these shares, although we may change these plans if necessary to fulfill our on-going business objectives. See Note 12 contained in "Notes to Consolidated Financial Statements" for further information regarding our share repurchase programs.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and the effect these obligations are expected to have on our liquidity and cash flow in future periods.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2"/>
                <w:szCs w:val="12"/>
                <w:color w:val="auto"/>
              </w:rPr>
            </w:pPr>
          </w:p>
        </w:tc>
        <w:tc>
          <w:tcPr>
            <w:tcW w:w="96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176"/>
              <w:spacing w:after="0" w:line="149"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center"/>
              <w:ind w:right="196"/>
              <w:spacing w:after="0" w:line="149" w:lineRule="exact"/>
              <w:rPr>
                <w:sz w:val="20"/>
                <w:szCs w:val="20"/>
                <w:color w:val="auto"/>
              </w:rPr>
            </w:pPr>
            <w:r>
              <w:rPr>
                <w:rFonts w:ascii="Times New Roman" w:cs="Times New Roman" w:eastAsia="Times New Roman" w:hAnsi="Times New Roman"/>
                <w:sz w:val="14"/>
                <w:szCs w:val="14"/>
                <w:b w:val="1"/>
                <w:bCs w:val="1"/>
                <w:color w:val="auto"/>
              </w:rPr>
              <w:t>1 - 3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416"/>
              <w:spacing w:after="0" w:line="149" w:lineRule="exact"/>
              <w:rPr>
                <w:sz w:val="20"/>
                <w:szCs w:val="20"/>
                <w:color w:val="auto"/>
              </w:rPr>
            </w:pPr>
            <w:r>
              <w:rPr>
                <w:rFonts w:ascii="Times New Roman" w:cs="Times New Roman" w:eastAsia="Times New Roman" w:hAnsi="Times New Roman"/>
                <w:sz w:val="14"/>
                <w:szCs w:val="14"/>
                <w:b w:val="1"/>
                <w:bCs w:val="1"/>
                <w:color w:val="auto"/>
              </w:rPr>
              <w:t>4 - 5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jc w:val="right"/>
              <w:ind w:right="376"/>
              <w:spacing w:after="0" w:line="149" w:lineRule="exact"/>
              <w:rPr>
                <w:sz w:val="20"/>
                <w:szCs w:val="20"/>
                <w:color w:val="auto"/>
              </w:rPr>
            </w:pPr>
            <w:r>
              <w:rPr>
                <w:rFonts w:ascii="Times New Roman" w:cs="Times New Roman" w:eastAsia="Times New Roman" w:hAnsi="Times New Roman"/>
                <w:sz w:val="14"/>
                <w:szCs w:val="14"/>
                <w:b w:val="1"/>
                <w:bCs w:val="1"/>
                <w:color w:val="auto"/>
              </w:rPr>
              <w:t>After</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26,344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12,420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4,991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2,713</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25"/>
                <w:szCs w:val="25"/>
                <w:color w:val="auto"/>
                <w:vertAlign w:val="superscript"/>
              </w:rPr>
              <w:t>(1)</w:t>
            </w:r>
          </w:p>
        </w:tc>
        <w:tc>
          <w:tcPr>
            <w:tcW w:w="30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5,162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5,162</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Contingent consideration </w:t>
            </w:r>
            <w:r>
              <w:rPr>
                <w:rFonts w:ascii="Times New Roman" w:cs="Times New Roman" w:eastAsia="Times New Roman" w:hAnsi="Times New Roman"/>
                <w:sz w:val="25"/>
                <w:szCs w:val="25"/>
                <w:color w:val="auto"/>
                <w:vertAlign w:val="superscript"/>
              </w:rPr>
              <w:t>(2)</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10,143</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4,564</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41,649</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16,793</w:t>
            </w:r>
          </w:p>
        </w:tc>
        <w:tc>
          <w:tcPr>
            <w:tcW w:w="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16,984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5,159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2,713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Purchase obligations primarily consist of contractual payments to purchase property, plant and equipment.</w:t>
      </w:r>
    </w:p>
    <w:p>
      <w:pPr>
        <w:spacing w:after="0" w:line="98" w:lineRule="exact"/>
        <w:rPr>
          <w:rFonts w:ascii="Times New Roman" w:cs="Times New Roman" w:eastAsia="Times New Roman" w:hAnsi="Times New Roman"/>
          <w:sz w:val="25"/>
          <w:szCs w:val="25"/>
          <w:color w:val="auto"/>
          <w:vertAlign w:val="superscript"/>
        </w:rPr>
      </w:pPr>
    </w:p>
    <w:p>
      <w:pPr>
        <w:ind w:left="660" w:hanging="328"/>
        <w:spacing w:after="0" w:line="211" w:lineRule="auto"/>
        <w:tabs>
          <w:tab w:leader="none" w:pos="660" w:val="left"/>
        </w:tabs>
        <w:numPr>
          <w:ilvl w:val="0"/>
          <w:numId w:val="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Contingent consideration consists of contingent payments related to our purchases of the net assets of Ecolink and RCS Control Systems,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Historically, we have utilized cash provided from operations as our primary source of liquidity, as internally generated cash flows have been sufficient to support our business operations, capital expenditures and discretionary share repurchases. More recently, we have utilized our revolving line of credit to fund an increased level of share repurchases and our acquisitions of the net assets of Ecolink and RCS. We anticipate that we will continue to utilize both cash flows from operations and our revolving line of credit to support ongoing business operations, capital expenditures and future discretionary share repurchases. We believe our current cash balances, anticipated cash flow to be generated from operations and available borrowing resources will be sufficient to cover expected cash outlays during the next twelve months; however, because our cash is located in various jurisdictions throughout the world, we may at times need to increase borrowing from our revolving line of credit or take on additional debt until we are able to transfer cash among our various entities.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liquidity is subject to various risks including the risks discussed under "Item 3. Quantitative and Qualitative Disclosures about Market Risk."</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19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300" w:type="dxa"/>
            <w:vAlign w:val="bottom"/>
          </w:tcPr>
          <w:p>
            <w:pPr>
              <w:spacing w:after="0"/>
              <w:rPr>
                <w:sz w:val="16"/>
                <w:szCs w:val="16"/>
                <w:color w:val="auto"/>
              </w:rPr>
            </w:pPr>
          </w:p>
        </w:tc>
        <w:tc>
          <w:tcPr>
            <w:tcW w:w="18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54,729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53,207</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Available borrowing resources</w:t>
            </w:r>
          </w:p>
        </w:tc>
        <w:tc>
          <w:tcPr>
            <w:tcW w:w="300" w:type="dxa"/>
            <w:vAlign w:val="bottom"/>
          </w:tcPr>
          <w:p>
            <w:pPr>
              <w:spacing w:after="0"/>
              <w:rPr>
                <w:sz w:val="21"/>
                <w:szCs w:val="21"/>
                <w:color w:val="auto"/>
              </w:rPr>
            </w:pPr>
          </w:p>
        </w:tc>
        <w:tc>
          <w:tcPr>
            <w:tcW w:w="18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34,300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28,500</w:t>
            </w: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cash balances are held in numerous locations throughout the world. The majority of our cash is held outside of the United States and may be repatriated to the United States but, under current law, may be subject to state income taxes and foreign withholding taxes. Additionally, repatriation of some foreign balances is restricted by local laws. We have provided for the state income tax liability and the foreign withholding tax on these amounts for financial statement purposes.</w:t>
      </w:r>
    </w:p>
    <w:p>
      <w:pPr>
        <w:spacing w:after="0" w:line="12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September 30, 2019, we had $7.2 million, $12.8 million, $11.1 million, $12.2 million and $11.4 million of cash and cash equivalents in the United States, the PRC, Asia (excluding the PRC), Europe, and South America, respectively. On December 31, 2018, we had $1.2 million, $20.9 million, $2.4 million, $19.9 million, and $8.9 million of cash and cash equivalents in the United States, the PRC, Asia (excluding the PRC), Europe and South America, respectively. We attempt to mitigate our exposure to liquidity, credit and other relevant risks by placing our cash and cash equivalents with financial institutions we believe are high quality.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4" w:right="239" w:bottom="1440" w:gutter="0" w:footer="0" w:header="0"/>
        </w:sectPr>
      </w:pPr>
    </w:p>
    <w:bookmarkStart w:id="30" w:name="page31"/>
    <w:bookmarkEnd w:id="30"/>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Second Amended and Restated Credit Agreement ("Second Amended Credit Agreement") with U.S. Bank National Association ("U.S. Bank") provides for a $125.0 million revolving line of credit ("Credit Line") that expires on November 1, 2020. 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$2.7 million at September 30, 2019.</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obligations under the Credit Line are secured by substantially all of our U.S. personal property and tangible and intangible assets as well as 65% of our ownership interest in Enson Assets Limited, our wholly-owned subsidiary that controls our manufacturing factories in the PRC.</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Second Amended Credit Agreement, we may elect to pay interest on the Credit Line based on LIBOR plus an applicable margin (varying from 1.25% to 1.75%) or base rate (based on the prime rate of U.S. Bank or as otherwise specified in the Second Amended Credit Agreement) plus an applicable margin (varying from 0.00% to 0.50%). The applicable margins are calculated quarterly and vary based on our cash flow leverage ratio as set forth in the Second Amended Credit Agreement. The interest rate in effect at September 30, 2019 was 3.55%. There are no commitment fees or unused line fees under the Second Amended Credit Agreement.</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Second Amended Credit Agreement includes financial covenants requiring a minimum fixed charge coverage ratio and a maximum cash flow leverage ratio. In addition, the Second Amended Credit Agreement contains other customary affirmative and negative covenants and events of default. As of September 30, 2019, we were in compliance with the covenants and conditions of the Second Amended Credit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2019, we had an outstanding balance of $88.0 million on our Credit Line and $34.3 million of availability.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participate in any material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That May Affect Financial Condition and Future Results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caution that the following important factors, among others (including but not limited to factors discussed in "Management's Discussion and Analysis of Financial Condition and Results of Operations," as well as those discussed in our 2018 Annual Report on Form 10-K, or in our other reports filed from time to time with the Securities and Exchange Commission),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 Therefore, forward-looking statements should not be relied upon as a prediction of actual future results.</w:t>
      </w:r>
    </w:p>
    <w:p>
      <w:pPr>
        <w:spacing w:after="0" w:line="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While we believe that the forward-looking statements made in this report are based on reasonable assumptions, the actual outcome of such statements is subject to a number of risks and uncertainties, including the significant percentage of our revenue attributable to a limited number of customers; the failure of our markets to continue growing and expanding in the manner we anticipated; the loss of market share due to competition; the delay by or failure of our customers to order products from us due to delays by them of their new product rollouts, their decision to purchase their products from an alternative or second source supplier, their efforts to refocus their operations to broadband and OTT versus traditional linear video, their failure to grow as we anticipated, their internal inventory control measures, including to mitigate effects due to increases in tariffs, or their loss of market share; the effects of natural or other events beyond our control, including the effects political unrest, war or terrorist activities may have on us or the economy; the economic environment's effect on us or our customers; the effects of doing business internationally, including the effects that changes in laws, regulations and policies may have on our business including the impact of new or additional tariffs and surcharges; the growth of, acceptance of and the demand for our products and technologies in various markets and geographical regions, including cable, satellite, consumer electronics, retail, and digital media and interactive technology; our inability to add profitable complementary products which are accepted by the marketplace; our inability to attract and retain a quality workforce at adequate levels in all regions of the world, and particularly those jurisdictions where we are moving our operations; our inability to continue to maintain our operating costs at acceptable levels through our cost containment efforts including moving our operations and manufacturing facilities to lower cost jurisdictions; an unfavorable ruling in any or all of the litigation matters to which we are party; our inability to continue selling our products or licensing our technologies at higher or profitable margins; our inability to obtain orders or maintain our order volume with new and existing customers; our inability to develop new and innovative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4" w:right="239" w:bottom="1440" w:gutter="0" w:footer="0" w:header="0"/>
        </w:sectPr>
      </w:pPr>
    </w:p>
    <w:bookmarkStart w:id="31" w:name="page32"/>
    <w:bookmarkEnd w:id="31"/>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technologies and products that are accepted by our customers; our inability to successfully, timely and profitably restructure and/or relocate our manufacturing facilities and activities; possible dilutive effect our stock incentive programs may have on our earnings per share and stock price; the continued ability to identify and execute on opportunities that maximize stockholder value, including the effects repurchasing the company's shares have on the company's stock value; our inability to continue to obtain adequate quantities of component parts or secure adequate factory production capacity on a timely basis; and other factors listed from time to time in our press releases and filings with the Securities and Exchange Commission.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interest rate risk related to our debt. From time to time we borrow amounts on our Credit Line for working capital and other liquidity needs. Under our Second Amended Credit Agreement, we may elect to pay interest on outstanding borrowings on our Credit Line based on LIBOR or a base rate (based on the prime rate of U.S. Bank) plus an applicable margin as defined in the Second Amended Credit Agreement. Accordingly, changes in interest rates would impact our results of operations in future periods. A 100 basis point increase in interest rates would have an approximately $0.7 million annual impact on net income based on our outstanding line of credit balance at September 30, 2019.</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September 30, 2019, we had wholly-owned subsidiaries in Argentina, Brazil, the British Virgin Islands, Cayman Islands, France, Germany, Hong Kong, India, Italy, Japan, Korea, Mexico, the Netherlands, the PRC, Singapore, Spain and the United Kingdom. We are exposed to foreign currency exchange rate risk inherent in our sales commitments, anticipated sales, anticipated purchases, operating expenses, assets and liabilities denominated in currencies other than the U.S. Dollar. The most significant foreign currencies to our operations are the Chinese Yuan Renminbi, Euro, British Pound, Argentinian Peso, Mexican Peso, Brazilian Real, Indian Rupee, Philippine Peso and Japanese Yen. Our most significant foreign currency exposure is to the Chinese Yuan Renminbi as this is the functional currency of our China-based factories where the majority of our products are manufactured. If the Chinese Yuan Renminbi were to strengthen against the U.S. Dollar, our manufacturing costs would increase. We are generally a net payor of the Euro, Mexican Peso, Indian Rupee, Philippine Peso and Japanese Yen and therefore benefit from a stronger U.S. Dollar and are adversely affected by a weaker U.S. Dollar relative to the foreign currency. For the British Pound, Argentinian Peso and Brazilian Real, we are generally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4" w:right="239" w:bottom="1440" w:gutter="0" w:footer="0" w:header="0"/>
        </w:sectPr>
      </w:pPr>
    </w:p>
    <w:bookmarkStart w:id="32" w:name="page33"/>
    <w:bookmarkEnd w:id="32"/>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sensitivity of earnings and cash flows to variability in exchange rates is assessed by applying an approximate range of potential rate fluctuations to our assets, obligations and projected results of operations denominated in foreign currency with all other variables held constant. The analysis includes all of our foreign currency contracts offset by the underlying exposures. Based on our overall foreign currency rate exposure at September 30, 2019, we believe that movements in foreign currency rates may have a material effect on our financial position and results of operations. We estimate that if the exchange rates for the Chinese Yuan Renminbi, Euro, British Pound, Argentinian Peso, Mexican Peso, Brazilian Real, Indian Rupee, Philippine Peso and Japanese Yen relative to the U.S. Dollar fluctuate 10% from September 30, 2019, net income in the third quarter of 2019 would fluctuate by approximately $9.1 million.</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4" w:right="239" w:bottom="1440" w:gutter="0" w:footer="0" w:header="0"/>
        </w:sectPr>
      </w:pPr>
    </w:p>
    <w:bookmarkStart w:id="33" w:name="page34"/>
    <w:bookmarkEnd w:id="33"/>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 rules and forms and is accumulated and communicated to our management to allow timely decisions regarding required disclosures.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2019, we implemented the provisions of ASU 2016-02, which impacted certain of our accounting processes and polices around accounting for leases. As a result, we added and/or enhanced certain internal controls around the accumulation of accounting information and recording of right-of-use lease assets and lease liabilities.</w:t>
      </w:r>
    </w:p>
    <w:p>
      <w:pPr>
        <w:spacing w:after="0" w:line="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Except as described above, there have been no other changes in our internal control over financial reporting during the fiscal quarter covered by this Quarterly Report on Form 10-Q that have materially affected, or are reasonably likely to materially affect, our internal control over financial reporting.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subject to lawsuits arising out of the conduct of our business. The discussion of our litigation matters contained in "Notes to Consolidated Financial Statements - Note 11"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reader should carefully consider, in connection with the other information in this report, the risk factors discussed in "Part I, Item 1A: Risk Factors" of the Company's 2018 Annual Report on Form 10-K incorporated herein by reference. These factors may cause our actual results to differ materially from those stated in forward-looking statements contained in this document and elsewhere.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4" w:right="239" w:bottom="1440" w:gutter="0" w:footer="0" w:header="0"/>
        </w:sectPr>
      </w:pPr>
    </w:p>
    <w:bookmarkStart w:id="34" w:name="page35"/>
    <w:bookmarkEnd w:id="34"/>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three months ended September 30, 2019, our total stock repurchases, average price paid per share and the maximum number of shares that may yet be purchased on the open market under our plans or programs: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 Dollar Value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Maximum Dollar Value of</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3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160" w:type="dxa"/>
            <w:vAlign w:val="bottom"/>
          </w:tcPr>
          <w:p>
            <w:pPr>
              <w:spacing w:after="0"/>
              <w:rPr>
                <w:sz w:val="16"/>
                <w:szCs w:val="16"/>
                <w:color w:val="auto"/>
              </w:rPr>
            </w:pPr>
          </w:p>
        </w:tc>
        <w:tc>
          <w:tcPr>
            <w:tcW w:w="1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9"/>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vMerge w:val="restart"/>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3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2"/>
                <w:szCs w:val="12"/>
                <w:color w:val="auto"/>
              </w:rPr>
            </w:pPr>
          </w:p>
        </w:tc>
        <w:tc>
          <w:tcPr>
            <w:tcW w:w="206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8"/>
                <w:szCs w:val="8"/>
                <w:b w:val="1"/>
                <w:bCs w:val="1"/>
                <w:color w:val="auto"/>
              </w:rPr>
              <w:t>(2)</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8"/>
                <w:szCs w:val="8"/>
                <w:b w:val="1"/>
                <w:bCs w:val="1"/>
                <w:color w:val="auto"/>
              </w:rPr>
              <w:t>(3)</w:t>
            </w: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July 1, 2019 - July 31, 2019</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3,934,261</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August 1, 2019 - August 31, 2019</w:t>
            </w: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4,747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43.52</w:t>
            </w:r>
          </w:p>
        </w:tc>
        <w:tc>
          <w:tcPr>
            <w:tcW w:w="120" w:type="dxa"/>
            <w:vAlign w:val="bottom"/>
          </w:tcPr>
          <w:p>
            <w:pPr>
              <w:spacing w:after="0"/>
              <w:rPr>
                <w:sz w:val="21"/>
                <w:szCs w:val="21"/>
                <w:color w:val="auto"/>
              </w:rPr>
            </w:pPr>
          </w:p>
        </w:tc>
        <w:tc>
          <w:tcPr>
            <w:tcW w:w="14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3,934,261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1, 2019 - September 30, 2019</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2,556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51.09</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3,934,261</w:t>
            </w:r>
          </w:p>
        </w:tc>
        <w:tc>
          <w:tcPr>
            <w:tcW w:w="0" w:type="dxa"/>
            <w:vAlign w:val="bottom"/>
          </w:tcPr>
          <w:p>
            <w:pPr>
              <w:spacing w:after="0"/>
              <w:rPr>
                <w:sz w:val="1"/>
                <w:szCs w:val="1"/>
                <w:color w:val="auto"/>
              </w:rPr>
            </w:pPr>
          </w:p>
        </w:tc>
      </w:tr>
      <w:tr>
        <w:trPr>
          <w:trHeight w:val="257"/>
        </w:trPr>
        <w:tc>
          <w:tcPr>
            <w:tcW w:w="3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color w:val="auto"/>
              </w:rPr>
              <w:t>7,303</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46.17</w:t>
            </w:r>
          </w:p>
        </w:tc>
        <w:tc>
          <w:tcPr>
            <w:tcW w:w="120" w:type="dxa"/>
            <w:vAlign w:val="bottom"/>
          </w:tcPr>
          <w:p>
            <w:pPr>
              <w:spacing w:after="0"/>
              <w:rPr>
                <w:sz w:val="22"/>
                <w:szCs w:val="22"/>
                <w:color w:val="auto"/>
              </w:rPr>
            </w:pPr>
          </w:p>
        </w:tc>
        <w:tc>
          <w:tcPr>
            <w:tcW w:w="134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328"/>
        <w:spacing w:after="0" w:line="218" w:lineRule="auto"/>
        <w:tabs>
          <w:tab w:leader="none" w:pos="660" w:val="left"/>
        </w:tabs>
        <w:numPr>
          <w:ilvl w:val="0"/>
          <w:numId w:val="1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Of the repurchases in August and September, 4,747 and 2,556 shares, respectively, represent common shares of the Company that were owned and tendered by employees to satisfy tax withholding obligations in connection with the vesting of restricted shares.</w:t>
      </w:r>
    </w:p>
    <w:p>
      <w:pPr>
        <w:spacing w:after="0" w:line="91" w:lineRule="exact"/>
        <w:rPr>
          <w:rFonts w:ascii="Times New Roman" w:cs="Times New Roman" w:eastAsia="Times New Roman" w:hAnsi="Times New Roman"/>
          <w:sz w:val="25"/>
          <w:szCs w:val="25"/>
          <w:color w:val="auto"/>
          <w:vertAlign w:val="superscript"/>
        </w:rPr>
      </w:pPr>
    </w:p>
    <w:p>
      <w:pPr>
        <w:ind w:left="660" w:hanging="328"/>
        <w:spacing w:after="0" w:line="218" w:lineRule="auto"/>
        <w:tabs>
          <w:tab w:leader="none" w:pos="660" w:val="left"/>
        </w:tabs>
        <w:numPr>
          <w:ilvl w:val="0"/>
          <w:numId w:val="1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Amounts in this column reflect the weighted average price paid for shares purchased under our share repurchase authorizations, inclusive of commissions paid to brokers.</w:t>
      </w:r>
    </w:p>
    <w:p>
      <w:pPr>
        <w:spacing w:after="0" w:line="91" w:lineRule="exact"/>
        <w:rPr>
          <w:rFonts w:ascii="Times New Roman" w:cs="Times New Roman" w:eastAsia="Times New Roman" w:hAnsi="Times New Roman"/>
          <w:sz w:val="25"/>
          <w:szCs w:val="25"/>
          <w:color w:val="auto"/>
          <w:vertAlign w:val="superscript"/>
        </w:rPr>
      </w:pPr>
    </w:p>
    <w:p>
      <w:pPr>
        <w:jc w:val="both"/>
        <w:ind w:left="660" w:hanging="328"/>
        <w:spacing w:after="0" w:line="233" w:lineRule="auto"/>
        <w:tabs>
          <w:tab w:leader="none" w:pos="660" w:val="left"/>
        </w:tabs>
        <w:numPr>
          <w:ilvl w:val="0"/>
          <w:numId w:val="1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On October 30, 2018, our board of directors approved a repurchase plan authorizing the repurchase of up to $5.0 million of our common stock. Under these authorizations, shares may be repurchased in privately negotiated and/or open market transactions, including under plans complying with Rule 10b5-1 under the Exchange Act. As of September 30, 2019, we had $3.9 million of authorized repurchases remaining under the Board's authorizations.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4" w:right="239" w:bottom="1440" w:gutter="0" w:footer="0" w:header="0"/>
        </w:sectPr>
      </w:pPr>
    </w:p>
    <w:bookmarkStart w:id="35" w:name="page36"/>
    <w:bookmarkEnd w:id="35"/>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tbl>
      <w:tblPr>
        <w:tblLayout w:type="fixed"/>
        <w:tblInd w:w="180" w:type="dxa"/>
        <w:tblCellMar>
          <w:top w:w="0" w:type="dxa"/>
          <w:left w:w="0" w:type="dxa"/>
          <w:bottom w:w="0" w:type="dxa"/>
          <w:right w:w="0" w:type="dxa"/>
        </w:tblCellMar>
      </w:tblPr>
      <w:tr>
        <w:trPr>
          <w:trHeight w:val="238"/>
        </w:trPr>
        <w:tc>
          <w:tcPr>
            <w:tcW w:w="13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20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31"/>
        </w:trPr>
        <w:tc>
          <w:tcPr>
            <w:tcW w:w="13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31.1</w:t>
            </w:r>
          </w:p>
        </w:tc>
        <w:tc>
          <w:tcPr>
            <w:tcW w:w="940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w:anchor="page38">
              <w:r>
                <w:rPr>
                  <w:rFonts w:ascii="Times New Roman" w:cs="Times New Roman" w:eastAsia="Times New Roman" w:hAnsi="Times New Roman"/>
                  <w:sz w:val="18"/>
                  <w:szCs w:val="18"/>
                  <w:color w:val="0000FF"/>
                  <w:w w:val="99"/>
                </w:rPr>
                <w:t>Rule 13a-14(a) Certifications of Paul D. Arling, Chief Executive Officer (principal executive officer) of Universal Electronics Inc.</w:t>
              </w:r>
            </w:hyperlink>
          </w:p>
        </w:tc>
        <w:tc>
          <w:tcPr>
            <w:tcW w:w="460" w:type="dxa"/>
            <w:vAlign w:val="bottom"/>
          </w:tcPr>
          <w:p>
            <w:pPr>
              <w:spacing w:after="0"/>
              <w:rPr>
                <w:sz w:val="24"/>
                <w:szCs w:val="24"/>
                <w:color w:val="auto"/>
              </w:rPr>
            </w:pPr>
          </w:p>
        </w:tc>
      </w:tr>
      <w:tr>
        <w:trPr>
          <w:trHeight w:val="372"/>
        </w:trPr>
        <w:tc>
          <w:tcPr>
            <w:tcW w:w="13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31.2</w:t>
            </w:r>
          </w:p>
        </w:tc>
        <w:tc>
          <w:tcPr>
            <w:tcW w:w="986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Rule 13a-14(a) Certifications of Bryan M. Hackworth, Chief Financial Officer (principal financial officer and principal accounting</w:t>
              </w:r>
            </w:hyperlink>
          </w:p>
        </w:tc>
      </w:tr>
      <w:tr>
        <w:trPr>
          <w:trHeight w:val="196"/>
        </w:trPr>
        <w:tc>
          <w:tcPr>
            <w:tcW w:w="1340" w:type="dxa"/>
            <w:vAlign w:val="bottom"/>
          </w:tcPr>
          <w:p>
            <w:pPr>
              <w:spacing w:after="0"/>
              <w:rPr>
                <w:sz w:val="17"/>
                <w:szCs w:val="17"/>
                <w:color w:val="auto"/>
              </w:rPr>
            </w:pPr>
          </w:p>
        </w:tc>
        <w:tc>
          <w:tcPr>
            <w:tcW w:w="26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w:anchor="page39">
              <w:r>
                <w:rPr>
                  <w:rFonts w:ascii="Times New Roman" w:cs="Times New Roman" w:eastAsia="Times New Roman" w:hAnsi="Times New Roman"/>
                  <w:sz w:val="18"/>
                  <w:szCs w:val="18"/>
                  <w:color w:val="0000FF"/>
                  <w:w w:val="99"/>
                </w:rPr>
                <w:t>officer) of Universal Electronics Inc.</w:t>
              </w:r>
            </w:hyperlink>
          </w:p>
        </w:tc>
        <w:tc>
          <w:tcPr>
            <w:tcW w:w="7200" w:type="dxa"/>
            <w:vAlign w:val="bottom"/>
            <w:gridSpan w:val="2"/>
          </w:tcPr>
          <w:p>
            <w:pPr>
              <w:spacing w:after="0"/>
              <w:rPr>
                <w:sz w:val="17"/>
                <w:szCs w:val="17"/>
                <w:color w:val="auto"/>
              </w:rPr>
            </w:pPr>
          </w:p>
        </w:tc>
      </w:tr>
    </w:tbl>
    <w:p>
      <w:pPr>
        <w:spacing w:after="0" w:line="184" w:lineRule="exact"/>
        <w:rPr>
          <w:sz w:val="20"/>
          <w:szCs w:val="20"/>
          <w:color w:val="auto"/>
        </w:rPr>
      </w:pPr>
    </w:p>
    <w:p>
      <w:pPr>
        <w:jc w:val="both"/>
        <w:ind w:left="1520" w:hanging="1350"/>
        <w:spacing w:after="0" w:line="266" w:lineRule="auto"/>
        <w:tabs>
          <w:tab w:leader="none" w:pos="1520" w:val="left"/>
        </w:tabs>
        <w:numPr>
          <w:ilvl w:val="0"/>
          <w:numId w:val="15"/>
        </w:numPr>
        <w:rPr>
          <w:rFonts w:ascii="Times New Roman" w:cs="Times New Roman" w:eastAsia="Times New Roman" w:hAnsi="Times New Roman"/>
          <w:sz w:val="18"/>
          <w:szCs w:val="18"/>
          <w:u w:val="single" w:color="auto"/>
          <w:color w:val="0000FF"/>
        </w:rPr>
      </w:pPr>
      <w:hyperlink w:anchor="page40">
        <w:r>
          <w:rPr>
            <w:rFonts w:ascii="Times New Roman" w:cs="Times New Roman" w:eastAsia="Times New Roman" w:hAnsi="Times New Roman"/>
            <w:sz w:val="18"/>
            <w:szCs w:val="18"/>
            <w:u w:val="single" w:color="auto"/>
            <w:color w:val="0000FF"/>
          </w:rPr>
          <w:t>Section 1350 Certifications of Paul D. Arling, Chief Executive Officer (principal executive officer) of Universal Electronics Inc., and</w:t>
        </w:r>
      </w:hyperlink>
      <w:r>
        <w:rPr>
          <w:rFonts w:ascii="Times New Roman" w:cs="Times New Roman" w:eastAsia="Times New Roman" w:hAnsi="Times New Roman"/>
          <w:sz w:val="18"/>
          <w:szCs w:val="18"/>
          <w:u w:val="single" w:color="auto"/>
          <w:color w:val="0000FF"/>
        </w:rPr>
        <w:t xml:space="preserve"> </w:t>
      </w:r>
      <w:hyperlink w:anchor="page40">
        <w:r>
          <w:rPr>
            <w:rFonts w:ascii="Times New Roman" w:cs="Times New Roman" w:eastAsia="Times New Roman" w:hAnsi="Times New Roman"/>
            <w:sz w:val="18"/>
            <w:szCs w:val="18"/>
            <w:u w:val="single" w:color="auto"/>
            <w:color w:val="0000FF"/>
          </w:rPr>
          <w:t>Bryan M. Hackworth, Chief Financial Officer (principal financial officer and principal accounting officer) of Universal Electronics Inc.,</w:t>
        </w:r>
      </w:hyperlink>
      <w:r>
        <w:rPr>
          <w:rFonts w:ascii="Times New Roman" w:cs="Times New Roman" w:eastAsia="Times New Roman" w:hAnsi="Times New Roman"/>
          <w:sz w:val="18"/>
          <w:szCs w:val="18"/>
          <w:u w:val="single" w:color="auto"/>
          <w:color w:val="0000FF"/>
        </w:rPr>
        <w:t xml:space="preserve"> </w:t>
      </w:r>
      <w:hyperlink w:anchor="page40">
        <w:r>
          <w:rPr>
            <w:rFonts w:ascii="Times New Roman" w:cs="Times New Roman" w:eastAsia="Times New Roman" w:hAnsi="Times New Roman"/>
            <w:sz w:val="18"/>
            <w:szCs w:val="18"/>
            <w:u w:val="single" w:color="auto"/>
            <w:color w:val="0000FF"/>
          </w:rPr>
          <w:t>pursuant to 18 U.S.C. Section 1350</w:t>
        </w:r>
      </w:hyperlink>
    </w:p>
    <w:p>
      <w:pPr>
        <w:spacing w:after="0" w:line="136" w:lineRule="exact"/>
        <w:rPr>
          <w:rFonts w:ascii="Times New Roman" w:cs="Times New Roman" w:eastAsia="Times New Roman" w:hAnsi="Times New Roman"/>
          <w:sz w:val="18"/>
          <w:szCs w:val="18"/>
          <w:u w:val="single" w:color="auto"/>
          <w:color w:val="0000FF"/>
        </w:rPr>
      </w:pPr>
    </w:p>
    <w:tbl>
      <w:tblPr>
        <w:tblLayout w:type="fixed"/>
        <w:tblInd w:w="18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9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9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9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9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9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8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XBRL Taxonomy Extension Presentation Linkbase Document</w:t>
            </w:r>
          </w:p>
        </w:tc>
      </w:tr>
    </w:tbl>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16" w:lineRule="exact"/>
        <w:rPr>
          <w:rFonts w:ascii="Times New Roman" w:cs="Times New Roman" w:eastAsia="Times New Roman" w:hAnsi="Times New Roman"/>
          <w:sz w:val="18"/>
          <w:szCs w:val="18"/>
          <w:u w:val="single" w:color="auto"/>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80"/>
          </w:cols>
          <w:pgMar w:left="240" w:top="114" w:right="279" w:bottom="1440" w:gutter="0" w:footer="0" w:header="0"/>
        </w:sectPr>
      </w:pPr>
    </w:p>
    <w:bookmarkStart w:id="36" w:name="page37"/>
    <w:bookmarkEnd w:id="36"/>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Dated:November 8, 2019</w:t>
            </w:r>
          </w:p>
        </w:tc>
        <w:tc>
          <w:tcPr>
            <w:tcW w:w="7520" w:type="dxa"/>
            <w:vAlign w:val="bottom"/>
            <w:gridSpan w:val="2"/>
          </w:tcPr>
          <w:p>
            <w:pPr>
              <w:ind w:left="1760"/>
              <w:spacing w:after="0"/>
              <w:rPr>
                <w:sz w:val="20"/>
                <w:szCs w:val="20"/>
                <w:color w:val="auto"/>
              </w:rPr>
            </w:pPr>
            <w:r>
              <w:rPr>
                <w:rFonts w:ascii="Times New Roman" w:cs="Times New Roman" w:eastAsia="Times New Roman" w:hAnsi="Times New Roman"/>
                <w:sz w:val="18"/>
                <w:szCs w:val="18"/>
                <w:b w:val="1"/>
                <w:bCs w:val="1"/>
                <w:color w:val="auto"/>
              </w:rPr>
              <w:t>UNIVERSAL ELECTRONICS INC.</w:t>
            </w:r>
          </w:p>
        </w:tc>
      </w:tr>
      <w:tr>
        <w:trPr>
          <w:trHeight w:val="392"/>
        </w:trPr>
        <w:tc>
          <w:tcPr>
            <w:tcW w:w="3860" w:type="dxa"/>
            <w:vAlign w:val="bottom"/>
          </w:tcPr>
          <w:p>
            <w:pPr>
              <w:spacing w:after="0"/>
              <w:rPr>
                <w:sz w:val="24"/>
                <w:szCs w:val="24"/>
                <w:color w:val="auto"/>
              </w:rPr>
            </w:pPr>
          </w:p>
        </w:tc>
        <w:tc>
          <w:tcPr>
            <w:tcW w:w="238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Bryan M. Hackworth</w:t>
            </w:r>
          </w:p>
        </w:tc>
      </w:tr>
      <w:tr>
        <w:trPr>
          <w:trHeight w:val="27"/>
        </w:trPr>
        <w:tc>
          <w:tcPr>
            <w:tcW w:w="38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Bryan M. Hackworth</w:t>
            </w:r>
          </w:p>
        </w:tc>
      </w:tr>
      <w:tr>
        <w:trPr>
          <w:trHeight w:val="270"/>
        </w:trPr>
        <w:tc>
          <w:tcPr>
            <w:tcW w:w="386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r>
        <w:trPr>
          <w:trHeight w:val="270"/>
        </w:trPr>
        <w:tc>
          <w:tcPr>
            <w:tcW w:w="386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principal accounting officer)</w:t>
            </w:r>
          </w:p>
        </w:tc>
      </w:tr>
      <w:tr>
        <w:trPr>
          <w:trHeight w:val="864"/>
        </w:trPr>
        <w:tc>
          <w:tcPr>
            <w:tcW w:w="3860" w:type="dxa"/>
            <w:vAlign w:val="bottom"/>
          </w:tcPr>
          <w:p>
            <w:pPr>
              <w:spacing w:after="0"/>
              <w:rPr>
                <w:sz w:val="24"/>
                <w:szCs w:val="24"/>
                <w:color w:val="auto"/>
              </w:rPr>
            </w:pPr>
          </w:p>
        </w:tc>
        <w:tc>
          <w:tcPr>
            <w:tcW w:w="23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37</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D. Arling, certify that:</w:t>
      </w:r>
    </w:p>
    <w:p>
      <w:pPr>
        <w:spacing w:after="0" w:line="171"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Universal Electronics Inc.;</w:t>
      </w:r>
    </w:p>
    <w:p>
      <w:pPr>
        <w:spacing w:after="0" w:line="17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rFonts w:ascii="Times New Roman" w:cs="Times New Roman" w:eastAsia="Times New Roman" w:hAnsi="Times New Roman"/>
          <w:sz w:val="18"/>
          <w:szCs w:val="18"/>
          <w:color w:val="auto"/>
        </w:rPr>
      </w:pPr>
    </w:p>
    <w:p>
      <w:pPr>
        <w:jc w:val="both"/>
        <w:ind w:left="340" w:firstLine="154"/>
        <w:spacing w:after="0" w:line="313" w:lineRule="auto"/>
        <w:tabs>
          <w:tab w:leader="none" w:pos="86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left="340" w:firstLine="154"/>
        <w:spacing w:after="0" w:line="313" w:lineRule="auto"/>
        <w:tabs>
          <w:tab w:leader="none" w:pos="89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340" w:firstLine="154"/>
        <w:spacing w:after="0" w:line="329" w:lineRule="auto"/>
        <w:tabs>
          <w:tab w:leader="none" w:pos="89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340" w:firstLine="154"/>
        <w:spacing w:after="0" w:line="328" w:lineRule="auto"/>
        <w:tabs>
          <w:tab w:leader="none" w:pos="87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53" w:lineRule="exact"/>
        <w:rPr>
          <w:rFonts w:ascii="Times New Roman" w:cs="Times New Roman" w:eastAsia="Times New Roman" w:hAnsi="Times New Roman"/>
          <w:sz w:val="18"/>
          <w:szCs w:val="18"/>
          <w:color w:val="auto"/>
        </w:rPr>
      </w:pPr>
    </w:p>
    <w:p>
      <w:pPr>
        <w:ind w:left="340" w:firstLine="154"/>
        <w:spacing w:after="0" w:line="329" w:lineRule="auto"/>
        <w:tabs>
          <w:tab w:leader="none" w:pos="8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340" w:right="20" w:firstLine="154"/>
        <w:spacing w:after="0" w:line="329" w:lineRule="auto"/>
        <w:tabs>
          <w:tab w:leader="none" w:pos="87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2019</w:t>
      </w:r>
    </w:p>
    <w:p>
      <w:pPr>
        <w:spacing w:after="0" w:line="3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2924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Paul D. Arling</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Bryan M. Hackworth, certify that:</w:t>
      </w:r>
    </w:p>
    <w:p>
      <w:pPr>
        <w:spacing w:after="0" w:line="171"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Universal Electronics Inc.;</w:t>
      </w:r>
    </w:p>
    <w:p>
      <w:pPr>
        <w:spacing w:after="0" w:line="17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340" w:firstLine="154"/>
        <w:spacing w:after="0" w:line="313" w:lineRule="auto"/>
        <w:tabs>
          <w:tab w:leader="none" w:pos="86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jc w:val="both"/>
        <w:ind w:left="340" w:firstLine="154"/>
        <w:spacing w:after="0" w:line="313" w:lineRule="auto"/>
        <w:tabs>
          <w:tab w:leader="none" w:pos="89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ind w:left="340" w:firstLine="154"/>
        <w:spacing w:after="0" w:line="329" w:lineRule="auto"/>
        <w:tabs>
          <w:tab w:leader="none" w:pos="89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340" w:firstLine="154"/>
        <w:spacing w:after="0" w:line="328" w:lineRule="auto"/>
        <w:tabs>
          <w:tab w:leader="none" w:pos="87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53" w:lineRule="exact"/>
        <w:rPr>
          <w:rFonts w:ascii="Times New Roman" w:cs="Times New Roman" w:eastAsia="Times New Roman" w:hAnsi="Times New Roman"/>
          <w:sz w:val="18"/>
          <w:szCs w:val="18"/>
          <w:color w:val="auto"/>
        </w:rPr>
      </w:pPr>
    </w:p>
    <w:p>
      <w:pPr>
        <w:ind w:left="340" w:firstLine="154"/>
        <w:spacing w:after="0" w:line="329" w:lineRule="auto"/>
        <w:tabs>
          <w:tab w:leader="none" w:pos="86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340" w:right="20" w:firstLine="154"/>
        <w:spacing w:after="0" w:line="329" w:lineRule="auto"/>
        <w:tabs>
          <w:tab w:leader="none" w:pos="87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2019</w:t>
      </w: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2924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Bryan M. Hackworth</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and principal accounting officer)</w:t>
      </w:r>
    </w:p>
    <w:p>
      <w:pPr>
        <w:sectPr>
          <w:pgSz w:w="11900" w:h="16838" w:orient="portrait"/>
          <w:cols w:equalWidth="0" w:num="1">
            <w:col w:w="11420"/>
          </w:cols>
          <w:pgMar w:left="240" w:top="576" w:right="2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1350 CERTIFICATIONS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each of the undersigned officers of Universal Electronics Inc. (the “Company”), hereby certifies that the (i) Company’s Form 10-Q for the fiscal quarter ended September 30, 2019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820" w:val="left"/>
          <w:tab w:leader="none" w:pos="8040" w:val="left"/>
          <w:tab w:leader="none" w:pos="84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November 8,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35560</wp:posOffset>
            </wp:positionV>
            <wp:extent cx="17837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59"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Paul D. Arling</w:t>
      </w:r>
    </w:p>
    <w:p>
      <w:pPr>
        <w:spacing w:after="0" w:line="63"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85" w:lineRule="exact"/>
        <w:rPr>
          <w:sz w:val="20"/>
          <w:szCs w:val="20"/>
          <w:color w:val="auto"/>
        </w:rPr>
      </w:pPr>
    </w:p>
    <w:p>
      <w:pPr>
        <w:ind w:left="8060"/>
        <w:spacing w:after="0"/>
        <w:tabs>
          <w:tab w:leader="none" w:pos="84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35560</wp:posOffset>
            </wp:positionV>
            <wp:extent cx="17837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59"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Bryan M. Hackworth</w:t>
      </w:r>
    </w:p>
    <w:p>
      <w:pPr>
        <w:spacing w:after="0" w:line="63"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27"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32"/>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2019-12-28T02:12:05Z</dcterms:created>
  <dcterms:modified xsi:type="dcterms:W3CDTF">2019-12-28T02:12:05Z</dcterms:modified>
</cp:coreProperties>
</file>