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line="237"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5" w:lineRule="exact"/>
        <w:rPr>
          <w:sz w:val="24"/>
          <w:szCs w:val="24"/>
          <w:color w:val="auto"/>
        </w:rPr>
      </w:pPr>
    </w:p>
    <w:p>
      <w:pPr>
        <w:ind w:left="680" w:right="10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3"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For the quarterly period ended June 30, 2021</w:t>
      </w:r>
    </w:p>
    <w:p>
      <w:pPr>
        <w:spacing w:after="0" w:line="58"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12"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5" w:lineRule="exact"/>
        <w:rPr>
          <w:sz w:val="24"/>
          <w:szCs w:val="24"/>
          <w:color w:val="auto"/>
        </w:rPr>
      </w:pPr>
    </w:p>
    <w:p>
      <w:pPr>
        <w:ind w:left="3720"/>
        <w:spacing w:after="0"/>
        <w:tabs>
          <w:tab w:leader="none" w:pos="71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1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UNIVERSAL ELECTRONICS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tbl>
      <w:tblPr>
        <w:tblLayout w:type="fixed"/>
        <w:tblInd w:w="2300" w:type="dxa"/>
        <w:tblCellMar>
          <w:top w:w="0" w:type="dxa"/>
          <w:left w:w="0" w:type="dxa"/>
          <w:bottom w:w="0" w:type="dxa"/>
          <w:right w:w="0" w:type="dxa"/>
        </w:tblCellMar>
      </w:tblPr>
      <w:tr>
        <w:trPr>
          <w:trHeight w:val="256"/>
        </w:trPr>
        <w:tc>
          <w:tcPr>
            <w:tcW w:w="3600" w:type="dxa"/>
            <w:vAlign w:val="bottom"/>
          </w:tcPr>
          <w:p>
            <w:pPr>
              <w:jc w:val="center"/>
              <w:ind w:right="1067"/>
              <w:spacing w:after="0"/>
              <w:rPr>
                <w:sz w:val="20"/>
                <w:szCs w:val="20"/>
                <w:color w:val="auto"/>
              </w:rPr>
            </w:pPr>
            <w:r>
              <w:rPr>
                <w:rFonts w:ascii="Arial" w:cs="Arial" w:eastAsia="Arial" w:hAnsi="Arial"/>
                <w:sz w:val="20"/>
                <w:szCs w:val="20"/>
                <w:b w:val="1"/>
                <w:bCs w:val="1"/>
                <w:color w:val="auto"/>
                <w:w w:val="91"/>
              </w:rPr>
              <w:t>Delaware</w:t>
            </w:r>
          </w:p>
        </w:tc>
        <w:tc>
          <w:tcPr>
            <w:tcW w:w="2600" w:type="dxa"/>
            <w:vAlign w:val="bottom"/>
          </w:tcPr>
          <w:p>
            <w:pPr>
              <w:jc w:val="center"/>
              <w:ind w:left="1087"/>
              <w:spacing w:after="0"/>
              <w:rPr>
                <w:sz w:val="20"/>
                <w:szCs w:val="20"/>
                <w:color w:val="auto"/>
              </w:rPr>
            </w:pPr>
            <w:r>
              <w:rPr>
                <w:rFonts w:ascii="Arial" w:cs="Arial" w:eastAsia="Arial" w:hAnsi="Arial"/>
                <w:sz w:val="20"/>
                <w:szCs w:val="20"/>
                <w:b w:val="1"/>
                <w:bCs w:val="1"/>
                <w:color w:val="auto"/>
                <w:w w:val="88"/>
              </w:rPr>
              <w:t>33-0204817</w:t>
            </w:r>
          </w:p>
        </w:tc>
      </w:tr>
      <w:tr>
        <w:trPr>
          <w:trHeight w:val="185"/>
        </w:trPr>
        <w:tc>
          <w:tcPr>
            <w:tcW w:w="3600" w:type="dxa"/>
            <w:vAlign w:val="bottom"/>
          </w:tcPr>
          <w:p>
            <w:pPr>
              <w:jc w:val="center"/>
              <w:ind w:right="1087"/>
              <w:spacing w:after="0" w:line="185" w:lineRule="exact"/>
              <w:rPr>
                <w:sz w:val="20"/>
                <w:szCs w:val="20"/>
                <w:color w:val="auto"/>
              </w:rPr>
            </w:pPr>
            <w:r>
              <w:rPr>
                <w:rFonts w:ascii="Arial" w:cs="Arial" w:eastAsia="Arial" w:hAnsi="Arial"/>
                <w:sz w:val="18"/>
                <w:szCs w:val="18"/>
                <w:b w:val="1"/>
                <w:bCs w:val="1"/>
                <w:color w:val="auto"/>
                <w:w w:val="91"/>
              </w:rPr>
              <w:t>(State or Other Jurisdiction of</w:t>
            </w:r>
          </w:p>
        </w:tc>
        <w:tc>
          <w:tcPr>
            <w:tcW w:w="2600" w:type="dxa"/>
            <w:vAlign w:val="bottom"/>
          </w:tcPr>
          <w:p>
            <w:pPr>
              <w:jc w:val="center"/>
              <w:ind w:left="1087"/>
              <w:spacing w:after="0" w:line="18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600" w:type="dxa"/>
            <w:vAlign w:val="bottom"/>
          </w:tcPr>
          <w:p>
            <w:pPr>
              <w:jc w:val="center"/>
              <w:ind w:right="1087"/>
              <w:spacing w:after="0"/>
              <w:rPr>
                <w:sz w:val="20"/>
                <w:szCs w:val="20"/>
                <w:color w:val="auto"/>
              </w:rPr>
            </w:pPr>
            <w:r>
              <w:rPr>
                <w:rFonts w:ascii="Arial" w:cs="Arial" w:eastAsia="Arial" w:hAnsi="Arial"/>
                <w:sz w:val="18"/>
                <w:szCs w:val="18"/>
                <w:b w:val="1"/>
                <w:bCs w:val="1"/>
                <w:color w:val="auto"/>
                <w:w w:val="93"/>
              </w:rPr>
              <w:t>Incorporation or Organization)</w:t>
            </w:r>
          </w:p>
        </w:tc>
        <w:tc>
          <w:tcPr>
            <w:tcW w:w="2600" w:type="dxa"/>
            <w:vAlign w:val="bottom"/>
          </w:tcPr>
          <w:p>
            <w:pPr>
              <w:jc w:val="center"/>
              <w:ind w:left="1087"/>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130"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2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left="20" w:right="160"/>
        <w:spacing w:after="0" w:line="20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13,483,554 shares of Common Stock, par value $0.01 per share, of the registrant were outstanding on August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jc w:val="center"/>
              <w:ind w:right="1420"/>
              <w:spacing w:after="0"/>
              <w:rPr>
                <w:sz w:val="20"/>
                <w:szCs w:val="20"/>
                <w:color w:val="auto"/>
              </w:rPr>
            </w:pPr>
            <w:r>
              <w:rPr>
                <w:rFonts w:ascii="Arial" w:cs="Arial" w:eastAsia="Arial" w:hAnsi="Arial"/>
                <w:sz w:val="18"/>
                <w:szCs w:val="18"/>
                <w:b w:val="1"/>
                <w:bCs w:val="1"/>
                <w:color w:val="auto"/>
              </w:rPr>
              <w:t>UNIVERSAL ELECTRONICS INC.</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rPr>
              <w:t>INDEX</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Page</w:t>
            </w: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8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rPr>
              <w:t>Number</w:t>
            </w:r>
          </w:p>
        </w:tc>
      </w:tr>
      <w:tr>
        <w:trPr>
          <w:trHeight w:val="209"/>
        </w:trPr>
        <w:tc>
          <w:tcPr>
            <w:tcW w:w="20" w:type="dxa"/>
            <w:vAlign w:val="bottom"/>
          </w:tcPr>
          <w:p>
            <w:pPr>
              <w:spacing w:after="0"/>
              <w:rPr>
                <w:sz w:val="18"/>
                <w:szCs w:val="18"/>
                <w:color w:val="auto"/>
              </w:rPr>
            </w:pPr>
          </w:p>
        </w:tc>
        <w:tc>
          <w:tcPr>
            <w:tcW w:w="3020" w:type="dxa"/>
            <w:vAlign w:val="bottom"/>
            <w:gridSpan w:val="9"/>
          </w:tcPr>
          <w:p>
            <w:pPr>
              <w:spacing w:after="0"/>
              <w:rPr>
                <w:rFonts w:ascii="Arial" w:cs="Arial" w:eastAsia="Arial" w:hAnsi="Arial"/>
                <w:sz w:val="18"/>
                <w:szCs w:val="18"/>
                <w:b w:val="1"/>
                <w:bCs w:val="1"/>
                <w:color w:val="0000FF"/>
                <w:w w:val="99"/>
              </w:rPr>
            </w:pPr>
            <w:hyperlink w:anchor="page2">
              <w:r>
                <w:rPr>
                  <w:rFonts w:ascii="Arial" w:cs="Arial" w:eastAsia="Arial" w:hAnsi="Arial"/>
                  <w:sz w:val="18"/>
                  <w:szCs w:val="18"/>
                  <w:b w:val="1"/>
                  <w:bCs w:val="1"/>
                  <w:color w:val="0000FF"/>
                  <w:w w:val="99"/>
                </w:rPr>
                <w:t>PART I. FINANCIAL INFORMATION</w:t>
              </w:r>
            </w:hyperlink>
          </w:p>
        </w:tc>
        <w:tc>
          <w:tcPr>
            <w:tcW w:w="5620" w:type="dxa"/>
            <w:vAlign w:val="bottom"/>
            <w:gridSpan w:val="8"/>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12"/>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 Consolidated Financial Statements (Unaudited)</w:t>
              </w:r>
            </w:hyperlink>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w:t>
              </w:r>
            </w:hyperlink>
          </w:p>
        </w:tc>
        <w:tc>
          <w:tcPr>
            <w:tcW w:w="1680" w:type="dxa"/>
            <w:vAlign w:val="bottom"/>
            <w:gridSpan w:val="6"/>
          </w:tcPr>
          <w:p>
            <w:pPr>
              <w:spacing w:after="0"/>
              <w:rPr>
                <w:sz w:val="18"/>
                <w:szCs w:val="18"/>
                <w:color w:val="auto"/>
              </w:rPr>
            </w:pPr>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w:t>
              </w:r>
            </w:hyperlink>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Comprehensive Income (Loss) Statements</w:t>
              </w:r>
            </w:hyperlink>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Stockholders' Equity</w:t>
              </w:r>
            </w:hyperlink>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8"/>
          </w:tcPr>
          <w:p>
            <w:pPr>
              <w:spacing w:after="0"/>
              <w:rPr>
                <w:rFonts w:ascii="Arial" w:cs="Arial" w:eastAsia="Arial" w:hAnsi="Arial"/>
                <w:sz w:val="18"/>
                <w:szCs w:val="18"/>
                <w:color w:val="0000FF"/>
                <w:w w:val="86"/>
              </w:rPr>
            </w:pPr>
            <w:hyperlink w:anchor="page7">
              <w:r>
                <w:rPr>
                  <w:rFonts w:ascii="Arial" w:cs="Arial" w:eastAsia="Arial" w:hAnsi="Arial"/>
                  <w:sz w:val="18"/>
                  <w:szCs w:val="18"/>
                  <w:color w:val="0000FF"/>
                  <w:w w:val="86"/>
                </w:rPr>
                <w:t>Consolidated Statements of Cash Flows</w:t>
              </w:r>
            </w:hyperlink>
          </w:p>
        </w:tc>
        <w:tc>
          <w:tcPr>
            <w:tcW w:w="700" w:type="dxa"/>
            <w:vAlign w:val="bottom"/>
            <w:gridSpan w:val="2"/>
          </w:tcPr>
          <w:p>
            <w:pPr>
              <w:spacing w:after="0"/>
              <w:rPr>
                <w:sz w:val="18"/>
                <w:szCs w:val="18"/>
                <w:color w:val="auto"/>
              </w:rPr>
            </w:pPr>
          </w:p>
        </w:tc>
        <w:tc>
          <w:tcPr>
            <w:tcW w:w="4920" w:type="dxa"/>
            <w:vAlign w:val="bottom"/>
            <w:gridSpan w:val="6"/>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9"/>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Consolidated Financial Statements</w:t>
              </w:r>
            </w:hyperlink>
          </w:p>
        </w:tc>
        <w:tc>
          <w:tcPr>
            <w:tcW w:w="5280" w:type="dxa"/>
            <w:vAlign w:val="bottom"/>
            <w:gridSpan w:val="7"/>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Item 2. Management's Discussion and Analysis of Financial Condition and Results of Operations</w:t>
              </w:r>
            </w:hyperlink>
          </w:p>
        </w:tc>
        <w:tc>
          <w:tcPr>
            <w:tcW w:w="164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26</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2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Item 3. Quantitative and Qualitative Disclosures About Market Risk</w:t>
              </w:r>
            </w:hyperlink>
          </w:p>
        </w:tc>
        <w:tc>
          <w:tcPr>
            <w:tcW w:w="3720" w:type="dxa"/>
            <w:vAlign w:val="bottom"/>
            <w:gridSpan w:val="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40" w:type="dxa"/>
            <w:vAlign w:val="bottom"/>
            <w:gridSpan w:val="1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 Controls and Procedures</w:t>
              </w:r>
            </w:hyperlink>
          </w:p>
        </w:tc>
        <w:tc>
          <w:tcPr>
            <w:tcW w:w="2140" w:type="dxa"/>
            <w:vAlign w:val="bottom"/>
            <w:gridSpan w:val="4"/>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OTHER INFORMATION</w:t>
              </w:r>
            </w:hyperlink>
          </w:p>
        </w:tc>
        <w:tc>
          <w:tcPr>
            <w:tcW w:w="5860" w:type="dxa"/>
            <w:vAlign w:val="bottom"/>
            <w:gridSpan w:val="9"/>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0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Item 1. Legal Proceedings</w:t>
              </w:r>
            </w:hyperlink>
          </w:p>
        </w:tc>
        <w:tc>
          <w:tcPr>
            <w:tcW w:w="6740" w:type="dxa"/>
            <w:vAlign w:val="bottom"/>
            <w:gridSpan w:val="1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Item 1A. Risk Factors</w:t>
              </w:r>
            </w:hyperlink>
          </w:p>
        </w:tc>
        <w:tc>
          <w:tcPr>
            <w:tcW w:w="7040" w:type="dxa"/>
            <w:vAlign w:val="bottom"/>
            <w:gridSpan w:val="1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40" w:type="dxa"/>
            <w:vAlign w:val="bottom"/>
            <w:gridSpan w:val="1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2. Unregistered Sales of Equity Securities and Use of Proceeds</w:t>
              </w:r>
            </w:hyperlink>
          </w:p>
        </w:tc>
        <w:tc>
          <w:tcPr>
            <w:tcW w:w="214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0000FF"/>
            </w:tcBorders>
            <w:gridSpan w:val="1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6. Exhibits</w:t>
              </w:r>
            </w:hyperlink>
          </w:p>
        </w:tc>
        <w:tc>
          <w:tcPr>
            <w:tcW w:w="3740" w:type="dxa"/>
            <w:vAlign w:val="bottom"/>
            <w:gridSpan w:val="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tcBorders>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Signatures</w:t>
              </w:r>
            </w:hyperlink>
          </w:p>
        </w:tc>
        <w:tc>
          <w:tcPr>
            <w:tcW w:w="7480" w:type="dxa"/>
            <w:vAlign w:val="bottom"/>
            <w:gridSpan w:val="14"/>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38</w:t>
              </w:r>
            </w:hyperlink>
          </w:p>
        </w:tc>
        <w:tc>
          <w:tcPr>
            <w:tcW w:w="44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6"/>
                <w:szCs w:val="16"/>
                <w:color w:val="auto"/>
              </w:rPr>
            </w:pPr>
          </w:p>
        </w:tc>
        <w:tc>
          <w:tcPr>
            <w:tcW w:w="1600" w:type="dxa"/>
            <w:vAlign w:val="bottom"/>
          </w:tcPr>
          <w:p>
            <w:pPr>
              <w:jc w:val="right"/>
              <w:ind w:right="239"/>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202"/>
        </w:trPr>
        <w:tc>
          <w:tcPr>
            <w:tcW w:w="7480" w:type="dxa"/>
            <w:vAlign w:val="bottom"/>
            <w:tcBorders>
              <w:top w:val="single" w:sz="8" w:color="CCEEFF"/>
            </w:tcBorders>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134,994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129,433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9,685</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121,430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120,430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receivable</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326,843</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82,485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87,285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48,614</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19,923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19,710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19,522</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12"/>
        </w:trPr>
        <w:tc>
          <w:tcPr>
            <w:tcW w:w="748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521,384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510,290</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shd w:val="clear" w:color="auto" w:fill="CCEEFF"/>
          </w:tcPr>
          <w:p>
            <w:pPr>
              <w:ind w:left="200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83,229</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Line of credit</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28,931</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sales discounts, rebates and royalties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10,758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income taxes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29,046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33,057</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179,510</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obligations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13,681</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Contingent consideration</w:t>
            </w:r>
          </w:p>
        </w:tc>
        <w:tc>
          <w:tcPr>
            <w:tcW w:w="3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6"/>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214,016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196,989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3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1"/>
              </w:rPr>
              <w:t>Common stock, $0.01 par value, 50,000,000 shares authorized; 24,603,638 and 24,391,595 shares issued on</w:t>
            </w:r>
          </w:p>
        </w:tc>
        <w:tc>
          <w:tcPr>
            <w:tcW w:w="3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June 30, 2021 and December 31, 2020, respectively</w:t>
            </w:r>
          </w:p>
        </w:tc>
        <w:tc>
          <w:tcPr>
            <w:tcW w:w="3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Paid-in capital</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302,084</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7"/>
              </w:rPr>
              <w:t>Treasury stock, at cost, 11,128,717 and 10,618,002 shares on June 30, 2021 and December 31, 2020,</w:t>
            </w:r>
          </w:p>
        </w:tc>
        <w:tc>
          <w:tcPr>
            <w:tcW w:w="3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(322,179)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(295,495)</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337,576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324,990</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307,368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313,301</w:t>
            </w:r>
          </w:p>
        </w:tc>
        <w:tc>
          <w:tcPr>
            <w:tcW w:w="0" w:type="dxa"/>
            <w:vAlign w:val="bottom"/>
          </w:tcPr>
          <w:p>
            <w:pPr>
              <w:spacing w:after="0"/>
              <w:rPr>
                <w:sz w:val="1"/>
                <w:szCs w:val="1"/>
                <w:color w:val="auto"/>
              </w:rPr>
            </w:pPr>
          </w:p>
        </w:tc>
      </w:tr>
      <w:tr>
        <w:trPr>
          <w:trHeight w:val="213"/>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521,384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510,290</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150,491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153,133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304,911</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105,829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115,058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209,972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223,895</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81,016</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7,676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15,283</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51,227</w:t>
            </w:r>
          </w:p>
        </w:tc>
      </w:tr>
      <w:tr>
        <w:trPr>
          <w:trHeight w:val="207"/>
        </w:trPr>
        <w:tc>
          <w:tcPr>
            <w:tcW w:w="43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9,021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6,460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17,632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14,506</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Accrued social insurance adjustment</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9,464</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07"/>
        </w:trPr>
        <w:tc>
          <w:tcPr>
            <w:tcW w:w="4380" w:type="dxa"/>
            <w:vAlign w:val="bottom"/>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8,877</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16,283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17,403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23,349</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3,103</w:t>
            </w:r>
          </w:p>
        </w:tc>
      </w:tr>
      <w:tr>
        <w:trPr>
          <w:trHeight w:val="212"/>
        </w:trPr>
        <w:tc>
          <w:tcPr>
            <w:tcW w:w="4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20,246</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Earnings per share:</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4"/>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380" w:type="dxa"/>
            <w:vAlign w:val="bottom"/>
          </w:tcPr>
          <w:p>
            <w:pPr>
              <w:ind w:left="36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computing earnings per share: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13,672</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13,938</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5"/>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20,246</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foreign currency translation adjustment</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4,043</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4"/>
              </w:rPr>
              <w:t>(7,779)</w:t>
            </w:r>
          </w:p>
        </w:tc>
      </w:tr>
      <w:tr>
        <w:trPr>
          <w:trHeight w:val="212"/>
        </w:trPr>
        <w:tc>
          <w:tcPr>
            <w:tcW w:w="44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9,636</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12,467</w:t>
            </w:r>
          </w:p>
        </w:tc>
      </w:tr>
      <w:tr>
        <w:trPr>
          <w:trHeight w:val="21"/>
        </w:trPr>
        <w:tc>
          <w:tcPr>
            <w:tcW w:w="4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and six months ended June 30,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4"/>
            <w:vMerge w:val="restart"/>
          </w:tcPr>
          <w:p>
            <w:pPr>
              <w:jc w:val="right"/>
              <w:ind w:right="441"/>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62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82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24,392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(295,495)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324,990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313,301</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6,993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6,993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166"/>
        </w:trPr>
        <w:tc>
          <w:tcPr>
            <w:tcW w:w="362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Stock options exercised</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6"/>
        </w:trPr>
        <w:tc>
          <w:tcPr>
            <w:tcW w:w="3620" w:type="dxa"/>
            <w:vAlign w:val="bottom"/>
          </w:tcPr>
          <w:p>
            <w:pPr>
              <w:ind w:left="20"/>
              <w:spacing w:after="0"/>
              <w:rPr>
                <w:sz w:val="20"/>
                <w:szCs w:val="20"/>
                <w:color w:val="auto"/>
              </w:rPr>
            </w:pPr>
            <w:r>
              <w:rPr>
                <w:rFonts w:ascii="Arial" w:cs="Arial" w:eastAsia="Arial" w:hAnsi="Arial"/>
                <w:sz w:val="16"/>
                <w:szCs w:val="16"/>
                <w:color w:val="auto"/>
              </w:rPr>
              <w:t>Balance at March 31, 2021</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24,581</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(10,809)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6"/>
              </w:rPr>
              <w:t>(306,446)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306,226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(21,390)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331,983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310,619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5,593</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4,043</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(15,733)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2,444</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6"/>
        </w:trPr>
        <w:tc>
          <w:tcPr>
            <w:tcW w:w="3620" w:type="dxa"/>
            <w:vAlign w:val="bottom"/>
          </w:tcPr>
          <w:p>
            <w:pPr>
              <w:ind w:left="20"/>
              <w:spacing w:after="0"/>
              <w:rPr>
                <w:sz w:val="20"/>
                <w:szCs w:val="20"/>
                <w:color w:val="auto"/>
              </w:rPr>
            </w:pPr>
            <w:r>
              <w:rPr>
                <w:rFonts w:ascii="Arial" w:cs="Arial" w:eastAsia="Arial" w:hAnsi="Arial"/>
                <w:sz w:val="16"/>
                <w:szCs w:val="16"/>
                <w:color w:val="auto"/>
              </w:rPr>
              <w:t>Balance at June 30, 2021</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24,604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(322,179)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309,072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337,576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307,368</w:t>
            </w: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and six months ended June 30, 2020:</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600" w:type="dxa"/>
            <w:vAlign w:val="bottom"/>
          </w:tcPr>
          <w:p>
            <w:pPr>
              <w:spacing w:after="0"/>
              <w:rPr>
                <w:sz w:val="7"/>
                <w:szCs w:val="7"/>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4"/>
            <w:vMerge w:val="restart"/>
          </w:tcPr>
          <w:p>
            <w:pPr>
              <w:jc w:val="right"/>
              <w:ind w:right="441"/>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60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82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24,118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(277,817)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288,338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286,418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274,399</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5,846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5,846</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w:t>
            </w:r>
          </w:p>
        </w:tc>
        <w:tc>
          <w:tcPr>
            <w:tcW w:w="0" w:type="dxa"/>
            <w:vAlign w:val="bottom"/>
          </w:tcPr>
          <w:p>
            <w:pPr>
              <w:spacing w:after="0"/>
              <w:rPr>
                <w:sz w:val="1"/>
                <w:szCs w:val="1"/>
                <w:color w:val="auto"/>
              </w:rPr>
            </w:pPr>
          </w:p>
        </w:tc>
      </w:tr>
      <w:tr>
        <w:trPr>
          <w:trHeight w:val="166"/>
        </w:trPr>
        <w:tc>
          <w:tcPr>
            <w:tcW w:w="360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Shares issued to directors</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2020</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(284,108)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292,264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269,959</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14,400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14,400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166"/>
        </w:trPr>
        <w:tc>
          <w:tcPr>
            <w:tcW w:w="360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7"/>
        </w:trPr>
        <w:tc>
          <w:tcPr>
            <w:tcW w:w="3600" w:type="dxa"/>
            <w:vAlign w:val="bottom"/>
          </w:tcPr>
          <w:p>
            <w:pPr>
              <w:spacing w:after="0"/>
              <w:rPr>
                <w:sz w:val="20"/>
                <w:szCs w:val="20"/>
                <w:color w:val="auto"/>
              </w:rPr>
            </w:pPr>
            <w:r>
              <w:rPr>
                <w:rFonts w:ascii="Arial" w:cs="Arial" w:eastAsia="Arial" w:hAnsi="Arial"/>
                <w:sz w:val="16"/>
                <w:szCs w:val="16"/>
                <w:color w:val="auto"/>
              </w:rPr>
              <w:t>Balance at June 30, 2020</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24,269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(10,346)</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(284,222)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294,007</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306,664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286,132</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12,586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20,246</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used for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15,663</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1,275</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Shares issued for employee benefit plan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Employee and director stock-based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4,594</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Performance-based common stock warrants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Impairment of long-term assets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Accrued social insurance adjustment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(9,464)</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Loss on sale of Ohio call center</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712</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Accounts receivable and contract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9,571</w:t>
            </w: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1,947</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(40,869)</w:t>
            </w:r>
          </w:p>
        </w:tc>
      </w:tr>
      <w:tr>
        <w:trPr>
          <w:trHeight w:val="213"/>
        </w:trPr>
        <w:tc>
          <w:tcPr>
            <w:tcW w:w="826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Accrued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r>
        <w:trPr>
          <w:trHeight w:val="213"/>
        </w:trPr>
        <w:tc>
          <w:tcPr>
            <w:tcW w:w="82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4,487</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Acquisitions of 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(3,077)</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on sale of Ohio call center</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6"/>
        </w:trPr>
        <w:tc>
          <w:tcPr>
            <w:tcW w:w="8260" w:type="dxa"/>
            <w:vAlign w:val="bottom"/>
          </w:tcPr>
          <w:p>
            <w:pPr>
              <w:ind w:left="560"/>
              <w:spacing w:after="0"/>
              <w:rPr>
                <w:sz w:val="20"/>
                <w:szCs w:val="20"/>
                <w:color w:val="auto"/>
              </w:rPr>
            </w:pPr>
            <w:r>
              <w:rPr>
                <w:rFonts w:ascii="Arial" w:cs="Arial" w:eastAsia="Arial" w:hAnsi="Arial"/>
                <w:sz w:val="16"/>
                <w:szCs w:val="16"/>
                <w:color w:val="auto"/>
              </w:rPr>
              <w:t>Net cash used for investing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(8,113)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(9,787)</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Borrowings under line of credit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on line of credit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stock options exercised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 purchased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(6,405)</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Contingent consideration payments in connection with business combinations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(3,091)</w:t>
            </w:r>
          </w:p>
        </w:tc>
      </w:tr>
      <w:tr>
        <w:trPr>
          <w:trHeight w:val="212"/>
        </w:trPr>
        <w:tc>
          <w:tcPr>
            <w:tcW w:w="826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provided by (used for)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currency exchange rates on cash and cash equivalents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(5,674)</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74,302</w:t>
            </w:r>
          </w:p>
        </w:tc>
      </w:tr>
      <w:tr>
        <w:trPr>
          <w:trHeight w:val="23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5,663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2,215</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six months ended June 30, 2021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stock-based compensation expense and performance-based common stock warrants.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coronavirus ("COVID-19") pandemic and the mitigation efforts by governments to attempt to control its spread have created uncertainties and disruptions in the economic and financial markets. While we are not currently aware of events or circumstances that would require an update to our estimates, judgments or adjustments to the carrying values of our assets or liabilities, these estimates may change as developments occur and we obtain additional information. These future developments are highly uncertain and the outcomes are unpredictable. Actual results may differ from those estimates, and such differences may be material to the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exception of the following policy, our significant accounting policies are unchanged from those disclosed in Note 2 to the consolidated financial statements included in our Annual Report on Form 10-K for the year ended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license our symbolic intellectual property which includes our patented technologies and database of control codes. Revenue is recognized for these licensing arrangements on an over-time basis. We record license revenue for per-unit based licenses when our customers manufacture or ship a product incorporating our intellectual property and we have a present right to payment. We record per-unit-based licenses with minimum guarantees ratably over the license period to which the minimum guarantee relates and any per-unit sales in excess of the minimum guarantee in the period in which the sale occurs. We record licenses with fixed consideration ratably over the license period. Tiered royalties are recorded on a straight-line basis according to the forecasted per-unit fees taking into account the pricing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the FASB issued ASU 2019-12, "Simplifying the Accounting for Income Taxes", which,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previous guidance, an entity recognized the effects of the enacted tax law change on the effective income tax rate in the period that included the effective date of the tax law. Our adoption on January 1, 2021 did not have a material impact on our consolidated statement of financial position, results of operations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FASB issued ASU 2020-04, "Facilitation of the Effects of Reference Rate Reform on Financial Reporting" and in January 2021, the FASB issued ASU 2021-01, "Reference Rate Reform". This guidance is intended to provide temporary optional expedients and exceptions to GAAP guidance on contract modifications and hedge accounting to ease the financial reporting burden related to the expected market transition from the London Interbank Offered Rate ("LIBOR") and other interbank offered rates to alternative reference rates. The amendments in these ASUs are elective and are effective upon issuance for all entities through December 31, 2022. These amendments are not expected to have a material impact on our consolidated statement of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213"/>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9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6,473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People's Republic of China ("PRC")</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(excluding the PRC)</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Europe</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67,690</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Note 3 — Revenue and Accounts Receivable, Net</w:t>
            </w: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44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i w:val="1"/>
                <w:iCs w:val="1"/>
                <w:color w:val="auto"/>
              </w:rPr>
              <w:t>Revenue Details</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color w:val="auto"/>
              </w:rPr>
              <w:t>The pattern of revenue recognition was as follows:</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2"/>
                <w:szCs w:val="22"/>
                <w:color w:val="auto"/>
              </w:rPr>
            </w:pPr>
          </w:p>
        </w:tc>
        <w:tc>
          <w:tcPr>
            <w:tcW w:w="27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6"/>
          </w:tcPr>
          <w:p>
            <w:pPr>
              <w:jc w:val="right"/>
              <w:ind w:right="7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119,503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121,187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89"/>
              </w:rPr>
              <w:t>242,391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238,245</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Goods and services transferred over time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7"/>
              </w:rPr>
              <w:t>30,988</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31,946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color w:val="auto"/>
                <w:w w:val="90"/>
              </w:rPr>
              <w:t>58,642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66,666</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150,491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153,133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CEEFF"/>
          </w:tcPr>
          <w:p>
            <w:pPr>
              <w:ind w:left="840"/>
              <w:spacing w:after="0"/>
              <w:rPr>
                <w:sz w:val="20"/>
                <w:szCs w:val="20"/>
                <w:color w:val="auto"/>
              </w:rPr>
            </w:pPr>
            <w:r>
              <w:rPr>
                <w:rFonts w:ascii="Arial" w:cs="Arial" w:eastAsia="Arial" w:hAnsi="Arial"/>
                <w:sz w:val="18"/>
                <w:szCs w:val="18"/>
                <w:color w:val="auto"/>
                <w:w w:val="89"/>
              </w:rPr>
              <w:t>301,033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304,911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5"/>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101,614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139,614</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Asia (excluding PRC)</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31,608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30,295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58,120</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46,506</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23,489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20,511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38,028</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14,537</w:t>
            </w:r>
          </w:p>
        </w:tc>
      </w:tr>
      <w:tr>
        <w:trPr>
          <w:trHeight w:val="248"/>
        </w:trPr>
        <w:tc>
          <w:tcPr>
            <w:tcW w:w="4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150,491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153,133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301,033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304,911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95" w:lineRule="exact"/>
        <w:rPr>
          <w:sz w:val="20"/>
          <w:szCs w:val="20"/>
          <w:color w:val="auto"/>
        </w:rPr>
      </w:pPr>
    </w:p>
    <w:tbl>
      <w:tblPr>
        <w:tblLayout w:type="fixed"/>
        <w:tblInd w:w="4320" w:type="dxa"/>
        <w:tblCellMar>
          <w:top w:w="0" w:type="dxa"/>
          <w:left w:w="0" w:type="dxa"/>
          <w:bottom w:w="0" w:type="dxa"/>
          <w:right w:w="0" w:type="dxa"/>
        </w:tblCellMar>
      </w:tblPr>
      <w:tr>
        <w:trPr>
          <w:trHeight w:val="192"/>
        </w:trPr>
        <w:tc>
          <w:tcPr>
            <w:tcW w:w="12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Three Months Ended June 30,</w:t>
            </w:r>
          </w:p>
        </w:tc>
        <w:tc>
          <w:tcPr>
            <w:tcW w:w="2120" w:type="dxa"/>
            <w:vAlign w:val="bottom"/>
            <w:tcBorders>
              <w:bottom w:val="single" w:sz="8" w:color="auto"/>
            </w:tcBorders>
          </w:tcPr>
          <w:p>
            <w:pPr>
              <w:spacing w:after="0"/>
              <w:rPr>
                <w:sz w:val="16"/>
                <w:szCs w:val="16"/>
                <w:color w:val="auto"/>
              </w:rPr>
            </w:pPr>
          </w:p>
        </w:tc>
      </w:tr>
      <w:tr>
        <w:trPr>
          <w:trHeight w:val="187"/>
        </w:trPr>
        <w:tc>
          <w:tcPr>
            <w:tcW w:w="1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4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b w:val="1"/>
                <w:bCs w:val="1"/>
                <w:color w:val="auto"/>
              </w:rPr>
              <w:t>2020</w:t>
            </w:r>
          </w:p>
        </w:tc>
      </w:tr>
      <w:tr>
        <w:trPr>
          <w:trHeight w:val="181"/>
        </w:trPr>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 (thousands)</w:t>
            </w:r>
          </w:p>
        </w:tc>
        <w:tc>
          <w:tcPr>
            <w:tcW w:w="1880" w:type="dxa"/>
            <w:vAlign w:val="bottom"/>
          </w:tcPr>
          <w:p>
            <w:pPr>
              <w:jc w:val="right"/>
              <w:ind w:right="228"/>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Pr>
          <w:p>
            <w:pPr>
              <w:spacing w:after="0"/>
              <w:rPr>
                <w:sz w:val="15"/>
                <w:szCs w:val="15"/>
                <w:color w:val="auto"/>
              </w:rPr>
            </w:pPr>
          </w:p>
        </w:tc>
        <w:tc>
          <w:tcPr>
            <w:tcW w:w="1340" w:type="dxa"/>
            <w:vAlign w:val="bottom"/>
          </w:tcPr>
          <w:p>
            <w:pPr>
              <w:ind w:left="260"/>
              <w:spacing w:after="0"/>
              <w:rPr>
                <w:sz w:val="20"/>
                <w:szCs w:val="20"/>
                <w:color w:val="auto"/>
              </w:rPr>
            </w:pPr>
            <w:r>
              <w:rPr>
                <w:rFonts w:ascii="Arial" w:cs="Arial" w:eastAsia="Arial" w:hAnsi="Arial"/>
                <w:sz w:val="14"/>
                <w:szCs w:val="14"/>
                <w:b w:val="1"/>
                <w:bCs w:val="1"/>
                <w:color w:val="auto"/>
              </w:rPr>
              <w:t>$ (thousands)</w:t>
            </w:r>
          </w:p>
        </w:tc>
        <w:tc>
          <w:tcPr>
            <w:tcW w:w="2120" w:type="dxa"/>
            <w:vAlign w:val="bottom"/>
          </w:tcPr>
          <w:p>
            <w:pPr>
              <w:jc w:val="right"/>
              <w:ind w:right="528"/>
              <w:spacing w:after="0"/>
              <w:rPr>
                <w:sz w:val="20"/>
                <w:szCs w:val="20"/>
                <w:color w:val="auto"/>
              </w:rPr>
            </w:pPr>
            <w:r>
              <w:rPr>
                <w:rFonts w:ascii="Arial" w:cs="Arial" w:eastAsia="Arial" w:hAnsi="Arial"/>
                <w:sz w:val="14"/>
                <w:szCs w:val="14"/>
                <w:b w:val="1"/>
                <w:bCs w:val="1"/>
                <w:color w:val="auto"/>
              </w:rPr>
              <w:t>% of Net Sales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24,699</w:t>
            </w:r>
          </w:p>
        </w:tc>
        <w:tc>
          <w:tcPr>
            <w:tcW w:w="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w w:val="89"/>
              </w:rPr>
              <w:t>16.4 %</w:t>
            </w:r>
          </w:p>
        </w:tc>
        <w:tc>
          <w:tcPr>
            <w:tcW w:w="34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29,546</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gridSpan w:val="2"/>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16,448</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w w:val="89"/>
              </w:rPr>
              <w:t>10.9 %</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16,457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10.7 %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90"/>
        </w:trPr>
        <w:tc>
          <w:tcPr>
            <w:tcW w:w="4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187"/>
        </w:trPr>
        <w:tc>
          <w:tcPr>
            <w:tcW w:w="42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83"/>
        </w:trPr>
        <w:tc>
          <w:tcPr>
            <w:tcW w:w="428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87"/>
              </w:rPr>
              <w:t>(thousands)</w:t>
            </w:r>
          </w:p>
        </w:tc>
        <w:tc>
          <w:tcPr>
            <w:tcW w:w="1320" w:type="dxa"/>
            <w:vAlign w:val="bottom"/>
          </w:tcPr>
          <w:p>
            <w:pPr>
              <w:ind w:left="120"/>
              <w:spacing w:after="0"/>
              <w:rPr>
                <w:sz w:val="20"/>
                <w:szCs w:val="20"/>
                <w:color w:val="auto"/>
              </w:rPr>
            </w:pPr>
            <w:r>
              <w:rPr>
                <w:rFonts w:ascii="Arial" w:cs="Arial" w:eastAsia="Arial" w:hAnsi="Arial"/>
                <w:sz w:val="14"/>
                <w:szCs w:val="14"/>
                <w:b w:val="1"/>
                <w:bCs w:val="1"/>
                <w:color w:val="auto"/>
              </w:rPr>
              <w:t>% of Net Sales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3"/>
          </w:tcPr>
          <w:p>
            <w:pPr>
              <w:ind w:left="260"/>
              <w:spacing w:after="0"/>
              <w:rPr>
                <w:sz w:val="20"/>
                <w:szCs w:val="20"/>
                <w:color w:val="auto"/>
              </w:rPr>
            </w:pPr>
            <w:r>
              <w:rPr>
                <w:rFonts w:ascii="Arial" w:cs="Arial" w:eastAsia="Arial" w:hAnsi="Arial"/>
                <w:sz w:val="14"/>
                <w:szCs w:val="14"/>
                <w:b w:val="1"/>
                <w:bCs w:val="1"/>
                <w:color w:val="auto"/>
              </w:rPr>
              <w:t>% of Net Sales</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62,481</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33,885</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11.3 %</w:t>
            </w:r>
          </w:p>
        </w:tc>
        <w:tc>
          <w:tcPr>
            <w:tcW w:w="2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9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3"/>
          </w:tcPr>
          <w:p>
            <w:pPr>
              <w:ind w:left="10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1"/>
                <w:szCs w:val="11"/>
                <w:color w:val="auto"/>
              </w:rPr>
              <w:t>(1)</w:t>
            </w:r>
          </w:p>
        </w:tc>
      </w:tr>
    </w:tbl>
    <w:p>
      <w:pPr>
        <w:spacing w:after="0" w:line="302"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Sales associated with this customer did not total more than 10% of our net sales for the indicated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9"/>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37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122,828</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37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125,160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120,655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7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37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129,433</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3760" w:type="dxa"/>
            <w:vAlign w:val="bottom"/>
            <w:vMerge w:val="restart"/>
          </w:tcPr>
          <w:p>
            <w:pPr>
              <w:jc w:val="right"/>
              <w:ind w:right="179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8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ectPr>
          <w:pgSz w:w="11900" w:h="16838" w:orient="portrait"/>
          <w:cols w:equalWidth="0" w:num="1">
            <w:col w:w="11240"/>
          </w:cols>
          <w:pgMar w:left="320" w:top="118"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allowance for credit losses were as follows:</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Write-offs/Foreign exchange effects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056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28"/>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29"/>
        </w:trPr>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80" w:space="720"/>
            <w:col w:w="3640"/>
          </w:cols>
          <w:pgMar w:left="320" w:top="118"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this significant customer that totaled more than 10% of our accounts receivable,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right"/>
              <w:ind w:right="87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1460" w:type="dxa"/>
            <w:vAlign w:val="bottom"/>
            <w:gridSpan w:val="2"/>
          </w:tcPr>
          <w:p>
            <w:pPr>
              <w:jc w:val="right"/>
              <w:ind w:right="190"/>
              <w:spacing w:after="0" w:line="135" w:lineRule="exact"/>
              <w:rPr>
                <w:sz w:val="20"/>
                <w:szCs w:val="20"/>
                <w:color w:val="auto"/>
              </w:rPr>
            </w:pPr>
            <w:r>
              <w:rPr>
                <w:rFonts w:ascii="Arial" w:cs="Arial" w:eastAsia="Arial" w:hAnsi="Arial"/>
                <w:sz w:val="14"/>
                <w:szCs w:val="14"/>
                <w:b w:val="1"/>
                <w:bCs w:val="1"/>
                <w:color w:val="auto"/>
              </w:rPr>
              <w:t>% of Accounts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 (thousands)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 of Accounts</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Receivable, Net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176"/>
              <w:spacing w:after="0"/>
              <w:rPr>
                <w:sz w:val="20"/>
                <w:szCs w:val="20"/>
                <w:color w:val="auto"/>
              </w:rPr>
            </w:pPr>
            <w:r>
              <w:rPr>
                <w:rFonts w:ascii="Arial" w:cs="Arial" w:eastAsia="Arial" w:hAnsi="Arial"/>
                <w:sz w:val="14"/>
                <w:szCs w:val="14"/>
                <w:b w:val="1"/>
                <w:bCs w:val="1"/>
                <w:color w:val="auto"/>
              </w:rPr>
              <w:t>Receivable, Net</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19,782</w:t>
            </w: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540"/>
        </w:trPr>
        <w:tc>
          <w:tcPr>
            <w:tcW w:w="4740" w:type="dxa"/>
            <w:vAlign w:val="bottom"/>
          </w:tcPr>
          <w:p>
            <w:pPr>
              <w:spacing w:after="0"/>
              <w:rPr>
                <w:sz w:val="20"/>
                <w:szCs w:val="20"/>
                <w:color w:val="auto"/>
              </w:rPr>
            </w:pPr>
            <w:r>
              <w:rPr>
                <w:rFonts w:ascii="Arial" w:cs="Arial" w:eastAsia="Arial" w:hAnsi="Arial"/>
                <w:sz w:val="18"/>
                <w:szCs w:val="18"/>
                <w:b w:val="1"/>
                <w:bCs w:val="1"/>
                <w:color w:val="auto"/>
              </w:rPr>
              <w:t>Note 4 — Inventories and Significant Supplier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40" w:type="dxa"/>
            <w:vAlign w:val="bottom"/>
          </w:tcPr>
          <w:p>
            <w:pPr>
              <w:spacing w:after="0"/>
              <w:rPr>
                <w:sz w:val="20"/>
                <w:szCs w:val="20"/>
                <w:color w:val="auto"/>
              </w:rPr>
            </w:pPr>
            <w:r>
              <w:rPr>
                <w:rFonts w:ascii="Arial" w:cs="Arial" w:eastAsia="Arial" w:hAnsi="Arial"/>
                <w:sz w:val="18"/>
                <w:szCs w:val="18"/>
                <w:color w:val="auto"/>
              </w:rPr>
              <w:t>Inventories were as follows: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June 30, 2021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216"/>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45,072</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24,631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16,954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121,430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Purchases from the following supplier totaled more than 10% of our total inventory purchases: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184"/>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08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(thousands)</w:t>
            </w:r>
          </w:p>
        </w:tc>
        <w:tc>
          <w:tcPr>
            <w:tcW w:w="200" w:type="dxa"/>
            <w:vAlign w:val="bottom"/>
          </w:tcPr>
          <w:p>
            <w:pPr>
              <w:spacing w:after="0"/>
              <w:rPr>
                <w:sz w:val="11"/>
                <w:szCs w:val="11"/>
                <w:color w:val="auto"/>
              </w:rPr>
            </w:pPr>
          </w:p>
        </w:tc>
        <w:tc>
          <w:tcPr>
            <w:tcW w:w="13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2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(thousands)</w:t>
            </w:r>
          </w:p>
        </w:tc>
        <w:tc>
          <w:tcPr>
            <w:tcW w:w="200" w:type="dxa"/>
            <w:vAlign w:val="bottom"/>
          </w:tcPr>
          <w:p>
            <w:pPr>
              <w:spacing w:after="0"/>
              <w:rPr>
                <w:sz w:val="11"/>
                <w:szCs w:val="11"/>
                <w:color w:val="auto"/>
              </w:rPr>
            </w:pPr>
          </w:p>
        </w:tc>
        <w:tc>
          <w:tcPr>
            <w:tcW w:w="156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Purchases</w:t>
            </w:r>
          </w:p>
        </w:tc>
        <w:tc>
          <w:tcPr>
            <w:tcW w:w="3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5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184"/>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08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(thousands)</w:t>
            </w:r>
          </w:p>
        </w:tc>
        <w:tc>
          <w:tcPr>
            <w:tcW w:w="200" w:type="dxa"/>
            <w:vAlign w:val="bottom"/>
          </w:tcPr>
          <w:p>
            <w:pPr>
              <w:spacing w:after="0"/>
              <w:rPr>
                <w:sz w:val="11"/>
                <w:szCs w:val="11"/>
                <w:color w:val="auto"/>
              </w:rPr>
            </w:pPr>
          </w:p>
        </w:tc>
        <w:tc>
          <w:tcPr>
            <w:tcW w:w="13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2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(thousands)</w:t>
            </w:r>
          </w:p>
        </w:tc>
        <w:tc>
          <w:tcPr>
            <w:tcW w:w="200" w:type="dxa"/>
            <w:vAlign w:val="bottom"/>
          </w:tcPr>
          <w:p>
            <w:pPr>
              <w:spacing w:after="0"/>
              <w:rPr>
                <w:sz w:val="11"/>
                <w:szCs w:val="11"/>
                <w:color w:val="auto"/>
              </w:rPr>
            </w:pPr>
          </w:p>
        </w:tc>
        <w:tc>
          <w:tcPr>
            <w:tcW w:w="156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Purchases</w:t>
            </w:r>
          </w:p>
        </w:tc>
        <w:tc>
          <w:tcPr>
            <w:tcW w:w="3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21,207</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supplier totaled 10% or more of our accounts payable balance at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Long-lived 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Long-lived tangible assets by geographic area, which include property, plant, and equipment, net and operating lease right-of-use assets,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60,815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64,197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22,410</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long-lived tangible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shown net of accumulated depreciation of $161.8 million and $154.2 million at June 30, 2021 and December 31,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exchange effects</w:t>
            </w: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20" w:type="dxa"/>
            <w:vAlign w:val="bottom"/>
            <w:gridSpan w:val="4"/>
          </w:tcPr>
          <w:p>
            <w:pPr>
              <w:spacing w:after="0"/>
              <w:rPr>
                <w:sz w:val="20"/>
                <w:szCs w:val="20"/>
                <w:color w:val="auto"/>
              </w:rPr>
            </w:pPr>
            <w:r>
              <w:rPr>
                <w:rFonts w:ascii="Arial" w:cs="Arial" w:eastAsia="Arial" w:hAnsi="Arial"/>
                <w:sz w:val="18"/>
                <w:szCs w:val="18"/>
                <w:color w:val="auto"/>
                <w:w w:val="95"/>
              </w:rPr>
              <w:t>The components of intangible assets, net were as follows: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9"/>
                <w:szCs w:val="9"/>
                <w:b w:val="1"/>
                <w:bCs w:val="1"/>
                <w:color w:val="auto"/>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9"/>
                <w:szCs w:val="9"/>
                <w:b w:val="1"/>
                <w:bCs w:val="1"/>
                <w:color w:val="auto"/>
              </w:rPr>
              <w:t>(1)</w:t>
            </w:r>
          </w:p>
        </w:tc>
        <w:tc>
          <w:tcPr>
            <w:tcW w:w="140" w:type="dxa"/>
            <w:vAlign w:val="bottom"/>
          </w:tcPr>
          <w:p>
            <w:pPr>
              <w:spacing w:after="0"/>
              <w:rPr>
                <w:sz w:val="11"/>
                <w:szCs w:val="11"/>
                <w:color w:val="auto"/>
              </w:rPr>
            </w:pPr>
          </w:p>
        </w:tc>
        <w:tc>
          <w:tcPr>
            <w:tcW w:w="12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9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 xml:space="preserve">Amortization </w:t>
            </w:r>
            <w:r>
              <w:rPr>
                <w:rFonts w:ascii="Arial" w:cs="Arial" w:eastAsia="Arial" w:hAnsi="Arial"/>
                <w:sz w:val="9"/>
                <w:szCs w:val="9"/>
                <w:b w:val="1"/>
                <w:bCs w:val="1"/>
                <w:color w:val="auto"/>
                <w:w w:val="95"/>
              </w:rPr>
              <w:t>(1)</w:t>
            </w:r>
          </w:p>
        </w:tc>
        <w:tc>
          <w:tcPr>
            <w:tcW w:w="3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 xml:space="preserve">Amortization </w:t>
            </w:r>
            <w:r>
              <w:rPr>
                <w:rFonts w:ascii="Arial" w:cs="Arial" w:eastAsia="Arial" w:hAnsi="Arial"/>
                <w:sz w:val="9"/>
                <w:szCs w:val="9"/>
                <w:b w:val="1"/>
                <w:bCs w:val="1"/>
                <w:color w:val="auto"/>
                <w:w w:val="95"/>
              </w:rPr>
              <w:t>(1)</w:t>
            </w:r>
          </w:p>
        </w:tc>
        <w:tc>
          <w:tcPr>
            <w:tcW w:w="3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Capitalized software development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and core technology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Distribution rights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hanging="328"/>
        <w:spacing w:after="0" w:line="277" w:lineRule="auto"/>
        <w:tabs>
          <w:tab w:leader="none" w:pos="65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table excludes the gross value of fully amortized intangible assets totaling $43.0 million and $42.7 million at June 30, 2021 and December 31, 2020,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480" w:type="dxa"/>
            <w:vAlign w:val="bottom"/>
            <w:gridSpan w:val="3"/>
          </w:tcPr>
          <w:p>
            <w:pPr>
              <w:ind w:left="760"/>
              <w:spacing w:after="0"/>
              <w:rPr>
                <w:sz w:val="20"/>
                <w:szCs w:val="20"/>
                <w:color w:val="auto"/>
              </w:rPr>
            </w:pPr>
            <w:r>
              <w:rPr>
                <w:rFonts w:ascii="Arial" w:cs="Arial" w:eastAsia="Arial" w:hAnsi="Arial"/>
                <w:sz w:val="14"/>
                <w:szCs w:val="14"/>
                <w:b w:val="1"/>
                <w:bCs w:val="1"/>
                <w:color w:val="auto"/>
              </w:rPr>
              <w:t>Three Months Ended June 30,</w:t>
            </w:r>
          </w:p>
        </w:tc>
        <w:tc>
          <w:tcPr>
            <w:tcW w:w="3380" w:type="dxa"/>
            <w:vAlign w:val="bottom"/>
            <w:gridSpan w:val="2"/>
          </w:tcPr>
          <w:p>
            <w:pPr>
              <w:jc w:val="right"/>
              <w:ind w:right="768"/>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170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16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20" w:type="dxa"/>
            <w:vAlign w:val="bottom"/>
            <w:tcBorders>
              <w:bottom w:val="single" w:sz="8" w:color="auto"/>
            </w:tcBorders>
          </w:tcPr>
          <w:p>
            <w:pPr>
              <w:spacing w:after="0"/>
              <w:rPr>
                <w:sz w:val="19"/>
                <w:szCs w:val="19"/>
                <w:color w:val="auto"/>
              </w:rPr>
            </w:pPr>
          </w:p>
        </w:tc>
      </w:tr>
      <w:tr>
        <w:trPr>
          <w:trHeight w:val="248"/>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amortization expense</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8500" w:type="dxa"/>
            <w:vAlign w:val="bottom"/>
            <w:gridSpan w:val="8"/>
          </w:tcPr>
          <w:p>
            <w:pPr>
              <w:spacing w:after="0"/>
              <w:rPr>
                <w:sz w:val="20"/>
                <w:szCs w:val="20"/>
                <w:color w:val="auto"/>
              </w:rPr>
            </w:pPr>
            <w:r>
              <w:rPr>
                <w:rFonts w:ascii="Arial" w:cs="Arial" w:eastAsia="Arial" w:hAnsi="Arial"/>
                <w:sz w:val="18"/>
                <w:szCs w:val="18"/>
                <w:color w:val="auto"/>
                <w:w w:val="95"/>
              </w:rPr>
              <w:t>Estimated future annual amortization expense related to our intangible assets at June 30, 2021, was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5"/>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6 months)</w:t>
            </w:r>
          </w:p>
        </w:tc>
        <w:tc>
          <w:tcPr>
            <w:tcW w:w="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20" w:type="dxa"/>
            <w:vAlign w:val="bottom"/>
          </w:tcPr>
          <w:p>
            <w:pPr>
              <w:spacing w:after="0"/>
              <w:rPr>
                <w:sz w:val="20"/>
                <w:szCs w:val="20"/>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3,733</w:t>
            </w:r>
          </w:p>
        </w:tc>
        <w:tc>
          <w:tcPr>
            <w:tcW w:w="20" w:type="dxa"/>
            <w:vAlign w:val="bottom"/>
          </w:tcPr>
          <w:p>
            <w:pPr>
              <w:spacing w:after="0"/>
              <w:rPr>
                <w:sz w:val="19"/>
                <w:szCs w:val="19"/>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20" w:type="dxa"/>
            <w:vAlign w:val="bottom"/>
          </w:tcPr>
          <w:p>
            <w:pPr>
              <w:spacing w:after="0"/>
              <w:rPr>
                <w:sz w:val="19"/>
                <w:szCs w:val="19"/>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2024</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2,570</w:t>
            </w:r>
          </w:p>
        </w:tc>
        <w:tc>
          <w:tcPr>
            <w:tcW w:w="20" w:type="dxa"/>
            <w:vAlign w:val="bottom"/>
          </w:tcPr>
          <w:p>
            <w:pPr>
              <w:spacing w:after="0"/>
              <w:rPr>
                <w:sz w:val="19"/>
                <w:szCs w:val="19"/>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0" w:type="dxa"/>
            <w:vAlign w:val="bottom"/>
          </w:tcPr>
          <w:p>
            <w:pPr>
              <w:spacing w:after="0"/>
              <w:rPr>
                <w:sz w:val="19"/>
                <w:szCs w:val="19"/>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w:t>
            </w:r>
          </w:p>
        </w:tc>
        <w:tc>
          <w:tcPr>
            <w:tcW w:w="20" w:type="dxa"/>
            <w:vAlign w:val="bottom"/>
          </w:tcPr>
          <w:p>
            <w:pPr>
              <w:spacing w:after="0"/>
              <w:rPr>
                <w:sz w:val="19"/>
                <w:szCs w:val="19"/>
                <w:color w:val="auto"/>
              </w:rPr>
            </w:pPr>
          </w:p>
        </w:tc>
      </w:tr>
      <w:tr>
        <w:trPr>
          <w:trHeight w:val="248"/>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20" w:type="dxa"/>
            <w:vAlign w:val="bottom"/>
          </w:tcPr>
          <w:p>
            <w:pPr>
              <w:spacing w:after="0"/>
              <w:rPr>
                <w:sz w:val="21"/>
                <w:szCs w:val="2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June 30, 2021, our operating leases had remaining lease terms of up to 39 years, including any reasonably probable extensions.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 2020</w:t>
            </w:r>
          </w:p>
        </w:tc>
      </w:tr>
      <w:tr>
        <w:trPr>
          <w:trHeight w:val="215"/>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6,094</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13,681</w:t>
            </w:r>
          </w:p>
        </w:tc>
      </w:tr>
      <w:tr>
        <w:trPr>
          <w:trHeight w:val="223"/>
        </w:trPr>
        <w:tc>
          <w:tcPr>
            <w:tcW w:w="7600" w:type="dxa"/>
            <w:vAlign w:val="bottom"/>
          </w:tcPr>
          <w:p>
            <w:pPr>
              <w:ind w:left="78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w:t>
            </w: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expense</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Pr>
          <w:p>
            <w:pPr>
              <w:ind w:left="20"/>
              <w:spacing w:after="0" w:line="203" w:lineRule="exact"/>
              <w:rPr>
                <w:sz w:val="20"/>
                <w:szCs w:val="20"/>
                <w:color w:val="auto"/>
              </w:rPr>
            </w:pPr>
            <w:r>
              <w:rPr>
                <w:rFonts w:ascii="Arial" w:cs="Arial" w:eastAsia="Arial" w:hAnsi="Arial"/>
                <w:sz w:val="18"/>
                <w:szCs w:val="18"/>
                <w:color w:val="auto"/>
              </w:rPr>
              <w:t>Operating cash outflows from operating leases</w:t>
            </w:r>
          </w:p>
        </w:tc>
        <w:tc>
          <w:tcPr>
            <w:tcW w:w="1000" w:type="dxa"/>
            <w:vAlign w:val="bottom"/>
            <w:tcBorders>
              <w:bottom w:val="single" w:sz="8" w:color="auto"/>
            </w:tcBorders>
          </w:tcPr>
          <w:p>
            <w:pPr>
              <w:jc w:val="right"/>
              <w:ind w:right="815"/>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1,585</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813"/>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Operating lease right-of-use assets obtained in exchange for</w:t>
            </w:r>
          </w:p>
        </w:tc>
        <w:tc>
          <w:tcPr>
            <w:tcW w:w="1000" w:type="dxa"/>
            <w:vAlign w:val="bottom"/>
            <w:vMerge w:val="restart"/>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lease obligations</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Non-cash release of operating lease obligations </w:t>
            </w:r>
            <w:r>
              <w:rPr>
                <w:rFonts w:ascii="Arial" w:cs="Arial" w:eastAsia="Arial" w:hAnsi="Arial"/>
                <w:sz w:val="23"/>
                <w:szCs w:val="23"/>
                <w:color w:val="auto"/>
                <w:vertAlign w:val="superscript"/>
              </w:rPr>
              <w:t>(1)</w:t>
            </w:r>
          </w:p>
        </w:tc>
        <w:tc>
          <w:tcPr>
            <w:tcW w:w="1000" w:type="dxa"/>
            <w:vAlign w:val="bottom"/>
            <w:tcBorders>
              <w:top w:val="single" w:sz="8" w:color="auto"/>
              <w:bottom w:val="single" w:sz="8" w:color="auto"/>
            </w:tcBorders>
          </w:tcPr>
          <w:p>
            <w:pPr>
              <w:jc w:val="right"/>
              <w:ind w:right="815"/>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13"/>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28"/>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During the six months ended June 30, 2021, we were released from our guarantee of the lease obligation related to our Ohio call center which was sold in February 2020.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liability term and the weighted average discount rate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2"/>
              </w:rPr>
              <w:t>June 30, 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lease liability term (in years)</w:t>
            </w:r>
          </w:p>
        </w:tc>
        <w:tc>
          <w:tcPr>
            <w:tcW w:w="1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3.37 %</w:t>
            </w: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3.84 %</w:t>
            </w:r>
          </w:p>
        </w:tc>
      </w:tr>
    </w:tbl>
    <w:p>
      <w:pPr>
        <w:spacing w:after="0" w:line="3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June 30, 2021. The reconciliation excludes short-term leases that are not recorded on the balance sheet.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June 30, 2021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6 months)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5,584</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2,690</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r>
      <w:tr>
        <w:trPr>
          <w:trHeight w:val="223"/>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18,264</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2021, we had four operating leases with four-year terms that had not yet commenced. The total initial lease liability, which is immaterial to the balance sheet, is not reflected within the above maturity schedule.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2022.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June 30, 2021 and December 31, 2020.</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rates in effect at June 30, 2021 and December 31, 2020 were 1.35% and 1.39%, respectively. There are no commitment fees or unused line fees under the Second Amended Credit Agreement.</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2021, the process of cessation of LIBOR as a reference rate will begin. LIBOR may continue to be used for new and existing borrowings on the Credit Line through December 31, 2021. After that date, new borrowings will no longer use LIBOR as a reference rate. Instead, these borrowings will be subject to an interest rate based on either the Secured Overnight Financing Rate ("SOFR"), which is deemed a replacement benchmark for LIBOR under the Second Amended Credit Agreement, or an alternate index to be agreed upon. Between December 31, 2021 and June 30, 2023, any legacy borrowings may continue to use LIBOR as the basis for interest rates. After June 30, 2023, all borrowings will be based on SOFR or the alternate index.</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At June 30, 2021, we were in compliance with the covenants and conditions of the Second Amended Credit Agreement.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and December 31, 2020, we had $46.0 million and $20.0 million outstanding under the Credit Line, respectively. Our total interest expense on borrowings was $0.2 million and $0.4 million during the three months ended June 30, 2021 and 2020, respectively. Our total interest expense on borrowings was $0.3 million and $1.1 million during the six months ended June 30, 2021 and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income tax expense of $3.3 million and $1.9 million for the three months ended June 30, 2021 and 2020, respectively. We recorded income tax expense of $4.8 million and $3.1 million for the six months ended June 30, 2021 and 2020, respectively. The income tax expense for the six months ended June 30, 2021 increased primarily due to the mix of pre-tax income among jurisdictions, including losses not benefited as a result of a valuation allowance. In addition, the tax incentive refund received in China during the six months ended June 30, 2021 was less than the refund received during the six months ended June 30, 2020. During the six months ended June 30, 2020, we recognized a reversal of uncertain tax positions related to our Guangzhou entity, which was sold in June 2018. The indemnification agreement related to the sale of our Guangzhou entity expired in June 2020.</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2020,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2020, we had a three-year cumulative operating loss for our U.S. operations and accordingly, have provided a full valuation allowance on our U.S. federal and state deferred tax assets. During the six months ended June 30, 2021, there was no change to our valuation allowance position.</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June 30, 2021, we had gross unrecognized tax benefits of $3.2 million, including interest and penalties, which, if not for the state Research and Experimentation income tax credit valuation allowance, would affect the annual effective tax rate if these tax benefits are realized. Further, we are unaware of any positions for which it is reasonably possible that the total amounts of unrecognized tax benefits will significantly increase within the next twelve months. Based on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are immaterial at June 30, 2021 and December 31, 2020 and are included in the unrecognized tax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2018, we sold our Guangzhou 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by the amount associated with the Guangzhou entity, which was approximately $9.5 million.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Accrued commission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salary/wages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7,375</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vacation/holiday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compensation</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compensation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660" w:hanging="328"/>
        <w:spacing w:after="0" w:line="238"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on June 30, 2021 and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Expense associated with fulfilled performance obligations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and handling fees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6,094</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claims costs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3,794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value added taxes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Short-term contingent consideration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29"/>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other accrued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33,057</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$0.4 million and $0.3 million of contract liabilities at June 30, 2021 and December 31, 2020,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claims costs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Six Months Ended June 30,</w:t>
            </w:r>
          </w:p>
        </w:tc>
      </w:tr>
      <w:tr>
        <w:trPr>
          <w:trHeight w:val="23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gain (loss)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Inter Partes Review ("IPR") requests (see discussion below). This lawsuit continues to be stayed until such time as the IPR requests and all appeals with respect to them have concluded.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released TCL, Hisense and Funai from this investigation as they removed our technology from their televisions. On July 9, 2021, the Administrative Law Judge issued his Initial Determination (the "ID") finding that Roku is infringing our patents and as a result is in violation of §337 of the Tariff Act of 1930, as amended. On July 23, 2021, Roku and we filed petitions to appeal certain portions of the ID. This ID, including those matters for which we and Roku appealed, is to be reviewed by the full ITC by November 10,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Lawsuit</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and continue to be stayed pending the final results of the ITC investigation mentioned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eleven times, granted Roku's request seven times and we are awaiting the PTAB's institution decision with respect to the remaining two IPR requests. Of the seven IPR requests granted by the PTAB, the results were mixed, with the PTAB validating many of our patent claims and invalidating others. We have and will appeal any PTAB decision that resulted in an invalidation of our patent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Request Made by Roku against UEI and certain UEI Customers</w:t>
      </w:r>
    </w:p>
    <w:p>
      <w:pPr>
        <w:spacing w:after="0" w:line="5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April 8, 2021, Roku made a request to the ITC to initiate an investigation against us and certain of our customers claiming that certain of our and those customers’ remote control devices and televisions infringe two of Roku’s recently acquired patents. On May 10, 2021, the ITC announced its decision to initiate the requested investigation. We will vigorously defend against the allegations made by Roku in this investigation and to this end, we have entered</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into a joint defense agreement with our customers wherein we will lead the defense of this investigation. Discovery recently commenced with discovery cutoff set for November 21, 2021, the trial set for January 19, 2022, the ID set for June 28, 2022 and the full commission review set for October 28, 2022. As a companion to its ITC request, Roku also filed a lawsuit against us and certain of our customers in Federal District Court in the Central District of California alleging that we are infringing the same patents they alleged being infringed in the ITC investigation explained above. This District Court case has been and will continue to be stayed pending the conclusion of the ITC investigation.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of International Trade Action against the United States of America, et. al.</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this complaint, we, Ecolink and RCS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We, Ecolink and RCS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Ecolink and RCS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us, Ecolink and RCS; to permanently enjoin the U.S. government from applying Lists 3 and 4A duties against us, Ecolink and RCS; and award us, Ecolink and RCS our costs and reasonable attorney's fees.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Treasury Stock</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our Board of Directors authorizes management to repurchase shares of our issued and outstanding common stock. On April 28, 2021, our Board approved a new share repurchase program with an effective date of May 11, 2021 (the "May 2021 Program"). Pursuant to the May 2021 Program, we were authorized to repurchase up to 300,000 shares of our common stock at predetermined prices until the earlier of the repurchase of all 300,000 shares or August 5, 2021. The May 2021 Program was completed in June 2021 upon repurchase by us of all 300,000 shares as authorized. On July 28, 2021, our Board approved a new share repurchase program with an effective date of August 10, 2021 (the "August 2021 Program"). Pursuant to the August 2021 Program, we have been authorized to repurchase up to 400,000 shares of our common stock at predetermined prices until the earlier of the repurchase of all 400,000 shares or November 4, 2021. We may utilize various methods to effect the repurchases, which may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26,684</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6,405</w:t>
            </w:r>
          </w:p>
        </w:tc>
      </w:tr>
    </w:tbl>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7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155"/>
        </w:trPr>
        <w:tc>
          <w:tcPr>
            <w:tcW w:w="4600" w:type="dxa"/>
            <w:vAlign w:val="bottom"/>
          </w:tcPr>
          <w:p>
            <w:pPr>
              <w:ind w:left="20"/>
              <w:spacing w:after="0" w:line="156" w:lineRule="exact"/>
              <w:rPr>
                <w:sz w:val="20"/>
                <w:szCs w:val="20"/>
                <w:color w:val="auto"/>
              </w:rPr>
            </w:pPr>
            <w:r>
              <w:rPr>
                <w:rFonts w:ascii="Arial" w:cs="Arial" w:eastAsia="Arial" w:hAnsi="Arial"/>
                <w:sz w:val="18"/>
                <w:szCs w:val="18"/>
                <w:color w:val="auto"/>
              </w:rPr>
              <w:t>Total employee and director stock-based compensation</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08"/>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expense</w:t>
            </w:r>
          </w:p>
        </w:tc>
        <w:tc>
          <w:tcPr>
            <w:tcW w:w="3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Number of Options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Contractual Term</w:t>
            </w:r>
          </w:p>
        </w:tc>
        <w:tc>
          <w:tcPr>
            <w:tcW w:w="180" w:type="dxa"/>
            <w:vAlign w:val="bottom"/>
          </w:tcPr>
          <w:p>
            <w:pPr>
              <w:spacing w:after="0"/>
              <w:rPr>
                <w:sz w:val="11"/>
                <w:szCs w:val="11"/>
                <w:color w:val="auto"/>
              </w:rPr>
            </w:pPr>
          </w:p>
        </w:tc>
        <w:tc>
          <w:tcPr>
            <w:tcW w:w="120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June 30, 2021 </w:t>
            </w:r>
            <w:r>
              <w:rPr>
                <w:rFonts w:ascii="Arial" w:cs="Arial" w:eastAsia="Arial" w:hAnsi="Arial"/>
                <w:sz w:val="23"/>
                <w:szCs w:val="23"/>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Vested and expected to vest at June 30, 2021 </w:t>
            </w:r>
            <w:r>
              <w:rPr>
                <w:rFonts w:ascii="Arial" w:cs="Arial" w:eastAsia="Arial" w:hAnsi="Arial"/>
                <w:sz w:val="23"/>
                <w:szCs w:val="23"/>
                <w:color w:val="auto"/>
                <w:vertAlign w:val="superscript"/>
              </w:rPr>
              <w:t>(1)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44.56</w:t>
            </w: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line="20" w:lineRule="exact"/>
              <w:rPr>
                <w:sz w:val="1"/>
                <w:szCs w:val="1"/>
                <w:color w:val="auto"/>
              </w:rPr>
            </w:pPr>
          </w:p>
        </w:tc>
      </w:tr>
      <w:tr>
        <w:trPr>
          <w:trHeight w:val="204"/>
        </w:trPr>
        <w:tc>
          <w:tcPr>
            <w:tcW w:w="538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832</w:t>
            </w:r>
          </w:p>
        </w:tc>
        <w:tc>
          <w:tcPr>
            <w:tcW w:w="22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Exercisable at June 30, 2021 </w:t>
            </w:r>
            <w:r>
              <w:rPr>
                <w:rFonts w:ascii="Arial" w:cs="Arial" w:eastAsia="Arial" w:hAnsi="Arial"/>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660" w:hanging="328"/>
        <w:spacing w:after="0" w:line="249" w:lineRule="auto"/>
        <w:tabs>
          <w:tab w:leader="none" w:pos="64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second quarter of 2021 and the exercise price, multiplied by the number of in-the-money options) that would have been received by the option holders had they all exercised their options on June 30, 2021. This amount will change based on the fair market value of our stock.</w:t>
      </w: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grants</w:t>
            </w: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17.70</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43.95 %</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expect to recognize $3.2 million of total unrecognized pre-tax stock-based compensation expense related to non-vested stock options over a remaining weighted-average life of 2.0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295"/>
              <w:spacing w:after="0"/>
              <w:rPr>
                <w:sz w:val="20"/>
                <w:szCs w:val="20"/>
                <w:color w:val="auto"/>
              </w:rPr>
            </w:pPr>
            <w:r>
              <w:rPr>
                <w:rFonts w:ascii="Arial" w:cs="Arial" w:eastAsia="Arial" w:hAnsi="Arial"/>
                <w:sz w:val="14"/>
                <w:szCs w:val="14"/>
                <w:b w:val="1"/>
                <w:bCs w:val="1"/>
                <w:color w:val="auto"/>
              </w:rPr>
              <w:t>Weighted-Average</w:t>
            </w:r>
          </w:p>
        </w:tc>
      </w:tr>
      <w:tr>
        <w:trPr>
          <w:trHeight w:val="188"/>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Grant Date Fair Value</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400" w:type="dxa"/>
            <w:vAlign w:val="bottom"/>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59.43</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38.08</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2021</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expect to recognize $11.3 million of total unrecognized pre-tax stock-based compensation expense related to non-vested restricted stock awards over a weighted-average life of 2.1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9, 2016, we issued common stock purchase warrants to Comcast Corporation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potential number of warrants to vest in each period based upon achieving the purchase levels.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Aggregate Level of Purchases by Comcast and Affiliates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$260 million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$300 million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$340 million</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Maximum Potential Warrants Earned by Comcast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Potential Warrants To Vest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2016 -</w:t>
            </w:r>
          </w:p>
        </w:tc>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2018 -</w:t>
            </w:r>
          </w:p>
        </w:tc>
        <w:tc>
          <w:tcPr>
            <w:tcW w:w="1640" w:type="dxa"/>
            <w:vAlign w:val="bottom"/>
            <w:tcBorders>
              <w:top w:val="single" w:sz="8" w:color="auto"/>
            </w:tcBorders>
          </w:tcPr>
          <w:p>
            <w:pPr>
              <w:jc w:val="right"/>
              <w:ind w:right="196"/>
              <w:spacing w:after="0" w:line="141" w:lineRule="exact"/>
              <w:rPr>
                <w:sz w:val="20"/>
                <w:szCs w:val="20"/>
                <w:color w:val="auto"/>
              </w:rPr>
            </w:pPr>
            <w:r>
              <w:rPr>
                <w:rFonts w:ascii="Arial" w:cs="Arial" w:eastAsia="Arial" w:hAnsi="Arial"/>
                <w:sz w:val="14"/>
                <w:szCs w:val="14"/>
                <w:b w:val="1"/>
                <w:bCs w:val="1"/>
                <w:color w:val="auto"/>
              </w:rPr>
              <w:t>January 1, 2020 -</w:t>
            </w:r>
          </w:p>
        </w:tc>
      </w:tr>
      <w:tr>
        <w:trPr>
          <w:trHeight w:val="188"/>
        </w:trPr>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640" w:type="dxa"/>
            <w:vAlign w:val="bottom"/>
          </w:tcPr>
          <w:p>
            <w:pPr>
              <w:jc w:val="right"/>
              <w:ind w:right="156"/>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16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23"/>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w:t>
            </w: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-633730</wp:posOffset>
            </wp:positionV>
            <wp:extent cx="711517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-334010</wp:posOffset>
            </wp:positionV>
            <wp:extent cx="711517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118" w:right="339" w:bottom="1440" w:gutter="0" w:footer="0" w:header="0"/>
          <w:type w:val="continuous"/>
        </w:sectPr>
      </w:pP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would count toward aggregate purchases in the following two-year period. This threshold was not met in either the first or second two-year period. For the two-year period ended December 31, 2017, Comcast earned and vested in 175,000 out of the maximum potential 250,000 warrants. For the two-year period ended December 31, 2019, Comcast earned and vested in 100,000 out of the maximum potential 250,000 warrants. At June 30, 2021, 275,000 vested warrants were outstanding. To fully vest in the rights to purchase all of the remaining unearned 225,000 underlying shares, Comcast and its affiliates must purchase an aggregate of $340 million in goods and services from us during the period January 1, 2020 through December 31, 2021.</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the warrants contain performance criteria under which Comcast must achieve specified aggregate purchase levels for the warrants to vest, as detailed above, the measurement date for the warrants for the first two successive two-year periods was the date on which the warrants vested.</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FASB issued guidance in November 2019 that clarifies the accounting for share-based payments issued as sales incentives to customers. The guidance requires that stock-based compensation expense be recorded as a reduction in the transaction price on the basis of the grant-date fair value. The transition provisions require that equity-classified awards be measured at the adoption date fair value if the measurement date has not been established prior to the adoption date.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using the Black-Scholes option pricing model. Through June 30, 2021, none of the warrants had vested for the two-year period beginning January 1, 2020.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grant-date fair value of the warrants as of January 1, 2020 were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35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17.19</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3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52.21</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48.86 %</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3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to net sales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120" w:type="dxa"/>
            <w:vAlign w:val="bottom"/>
          </w:tcPr>
          <w:p>
            <w:pPr>
              <w:jc w:val="right"/>
              <w:ind w:right="93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120" w:type="dxa"/>
            <w:vAlign w:val="bottom"/>
          </w:tcPr>
          <w:p>
            <w:pPr>
              <w:jc w:val="right"/>
              <w:ind w:right="93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30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estimate the number of warrants that will vest based on projected future purchases that will be made by Comcast and its affiliates. These estimates may increase or decrease based on actual future purchases. The aggregate estimated fair value of the warrants is recognized as a reduction to revenue over the related two-year vesting period. At June 30, 2021, the aggregate unrecognized estimated fair value of warrants we estimate will vest was $0.3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4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51"/>
        </w:trPr>
        <w:tc>
          <w:tcPr>
            <w:tcW w:w="5120" w:type="dxa"/>
            <w:vAlign w:val="bottom"/>
            <w:shd w:val="clear" w:color="auto" w:fill="CCEEFF"/>
          </w:tcPr>
          <w:p>
            <w:pPr>
              <w:ind w:left="20"/>
              <w:spacing w:after="0" w:line="252"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95"/>
              </w:rPr>
              <w:t>(451)</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Net gain (loss) on foreign currency exchange transactions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center"/>
              <w:ind w:left="554"/>
              <w:spacing w:after="0"/>
              <w:rPr>
                <w:sz w:val="20"/>
                <w:szCs w:val="20"/>
                <w:color w:val="auto"/>
              </w:rPr>
            </w:pPr>
            <w:r>
              <w:rPr>
                <w:rFonts w:ascii="Arial" w:cs="Arial" w:eastAsia="Arial" w:hAnsi="Arial"/>
                <w:sz w:val="18"/>
                <w:szCs w:val="18"/>
                <w:color w:val="auto"/>
                <w:w w:val="93"/>
              </w:rPr>
              <w:t>660</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54"/>
              <w:spacing w:after="0"/>
              <w:rPr>
                <w:sz w:val="20"/>
                <w:szCs w:val="20"/>
                <w:color w:val="auto"/>
              </w:rPr>
            </w:pPr>
            <w:r>
              <w:rPr>
                <w:rFonts w:ascii="Arial" w:cs="Arial" w:eastAsia="Arial" w:hAnsi="Arial"/>
                <w:sz w:val="18"/>
                <w:szCs w:val="18"/>
                <w:color w:val="auto"/>
                <w:w w:val="93"/>
              </w:rPr>
              <w:t>174</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554"/>
              <w:spacing w:after="0"/>
              <w:rPr>
                <w:sz w:val="20"/>
                <w:szCs w:val="20"/>
                <w:color w:val="auto"/>
              </w:rPr>
            </w:pPr>
            <w:r>
              <w:rPr>
                <w:rFonts w:ascii="Arial" w:cs="Arial" w:eastAsia="Arial" w:hAnsi="Arial"/>
                <w:sz w:val="18"/>
                <w:szCs w:val="18"/>
                <w:color w:val="auto"/>
                <w:w w:val="93"/>
              </w:rPr>
              <w:t>383</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22"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20,246</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for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13,672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13,915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13,737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13,938</w:t>
            </w: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Dilutive effect of stock options, restricted stock and common stock</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on a diluted basis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14,181</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6"/>
                <w:szCs w:val="16"/>
                <w:color w:val="auto"/>
              </w:rPr>
            </w:pPr>
          </w:p>
        </w:tc>
      </w:tr>
      <w:tr>
        <w:trPr>
          <w:trHeight w:val="188"/>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Fair Value Measurement Using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3"/>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4"/>
                <w:szCs w:val="4"/>
                <w:color w:val="auto"/>
              </w:rPr>
            </w:pPr>
          </w:p>
        </w:tc>
        <w:tc>
          <w:tcPr>
            <w:tcW w:w="900" w:type="dxa"/>
            <w:vAlign w:val="bottom"/>
            <w:gridSpan w:val="3"/>
            <w:vMerge w:val="restart"/>
          </w:tcPr>
          <w:p>
            <w:pPr>
              <w:jc w:val="right"/>
              <w:ind w:right="350"/>
              <w:spacing w:after="0"/>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4"/>
                <w:szCs w:val="4"/>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4"/>
                <w:szCs w:val="4"/>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261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foreign currency exchange contracts, which resulted in a net pre-tax gain of $0.3 million and a net pre-tax loss of $0.7 million for the three months ended June 30, 2021 and 2020, respectively. For the six months ended June 30, 2021 and 2020, we had a net pre-tax gain of $1.5 million and a net pre-tax loss of $0.5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Gain/(Loss)</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9"/>
              </w:rPr>
              <w:t>Recorded at Balance</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Notional Value</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Sheet</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Date Held</w:t>
            </w:r>
          </w:p>
        </w:tc>
        <w:tc>
          <w:tcPr>
            <w:tcW w:w="2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Position Held</w:t>
            </w:r>
          </w:p>
        </w:tc>
        <w:tc>
          <w:tcPr>
            <w:tcW w:w="1220" w:type="dxa"/>
            <w:vAlign w:val="bottom"/>
            <w:gridSpan w:val="3"/>
            <w:vMerge w:val="continue"/>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Forward Rate</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Date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89"/>
        </w:trPr>
        <w:tc>
          <w:tcPr>
            <w:tcW w:w="198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88"/>
              </w:rPr>
              <w:t>(in thousands)</w:t>
            </w:r>
            <w:r>
              <w:rPr>
                <w:rFonts w:ascii="Arial" w:cs="Arial" w:eastAsia="Arial" w:hAnsi="Arial"/>
                <w:sz w:val="18"/>
                <w:szCs w:val="18"/>
                <w:b w:val="1"/>
                <w:bCs w:val="1"/>
                <w:color w:val="auto"/>
                <w:w w:val="88"/>
                <w:vertAlign w:val="superscript"/>
              </w:rPr>
              <w:t>(1)</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USD/Chinese Yuan Renminbi</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CNY</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July 30, 2021</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June 30, 2021</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1.1948</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July 30, 2021</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USD/Chinese Yuan Renminbi</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5.1714</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USD/Mexican Peso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20.1915</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60" w:right="180" w:hanging="328"/>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that are sold primarily to video service providers (cable, satellite, Internet Protocol television ("IPTV") and Over the Top ("OTT") services), original equipment manufacturers ("OEMs"), retailers, and private label customers;</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spacing w:after="0" w:line="8"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controllers and other consumer electronic and smart home devices to wirelessly connect and interact with home networks and interactive services to control and deliver home entertainment, smart home services and device or system information;</w:t>
      </w:r>
    </w:p>
    <w:p>
      <w:pPr>
        <w:spacing w:after="0" w:line="3"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real-time device identification and system control with billions of transactions per year in device and data management;</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software development companies, private label customers, and video service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hotels and hospitality system integrators; and</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graph. Since our beginning in 1986, we have compiled an extensive device control knowledge library that includes over 12,700 brands comprising over 950,000 device models across AV and smart home platforms, supported by many common smart home protocols, including IR, HDMI-CEC, Zigbee (Rf4CE) Z-Wave, and IP as well as Home Network and Cloud Control.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nearly 13.4 million unique device fingerprints across both AV and Smart Home devices.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devices. These control codes are captured directly from original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hold a number of patents in the United States and abroad related to our products and technology, and have filed domestic and foreign applications for other patents that are pending. At June 30, 2021, we had over 600 issued and pending U.S. patents related to remote control, home security, safety and automation as well as hundreds of foreign counterpart patents and applications in various territories around the world.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two domestic subsidiaries and 26 international subsidiaries located in Argentina, Brazil, British Virgin Islands, Cayman Islands, France, Germany, Hong Kong (3), India, Italy, Japan, Korea, Mexico (2), the Netherlands, People's Republic of China (the "PRC") (7), Singapore, Spain and the 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June 30, 2021:</w:t>
      </w:r>
    </w:p>
    <w:p>
      <w:pPr>
        <w:spacing w:after="0" w:line="252" w:lineRule="exact"/>
        <w:rPr>
          <w:sz w:val="20"/>
          <w:szCs w:val="20"/>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decreased 1.7% to $150.5 million for the three months ended June 30, 2021 from $153.1 million for the three months ended June 30, 2020.</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gross margin percentage increased to 29.7% for the three months ended June 30, 2021 from 24.9% for the three months ended June 30, 2020.</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as a percentage of net sales, increased to 23.7% for the three months ended June 30, 2021 from 20.7% for the three months ended June 30, 2020.</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income increased to $9.0 million for the three months ended June 30, 2021 from $6.5 million for the three months ended June 30, 2020. Our operating income percentage increased to 6.0% for the three months ended June 30, 2021 from 4.2% for the three months ended June 30, 2020.</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tax expense increased to $3.3 million for the three months ended June 30, 2021 from $1.9 million for the three months ended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2021 include the following:</w:t>
      </w:r>
    </w:p>
    <w:p>
      <w:pPr>
        <w:spacing w:after="0" w:line="25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and market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broaden our home control and home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expand our software and service offerings to deliver a complete managed service platform;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penetration of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3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global spread of COVID-19 has been and continues to be a complex and rapidly-evolving situation, with governments, public institutions and other organizations imposing or recommending, and businesses and individuals implementing, at various times and to varying degrees, restrictions on various activities or other actions to combat its spread, such as restrictions and bans on travel or transportation, limitations on the size of gatherings, closures of or occupancy or other operating limitations on ports, work facilities, schools, public buildings and businesses, cancellation of events, including sporting events, conferences and meetings, and quarantines and lock-downs. The COVID-19 pandemic and its consequences have and will continue to impact our business, operations, and financial results. The extent to which the COVID-19 pandemic impacts our business, operations, and financial results, including the duration and magnitude of such effects, will depend on numerous evolving factors that we may not be able to accurately predict or assess, including the duration and scope of the COVID-19 pandemic (including the location and extent of resurgences of the virus and the availability of effective treatments or vaccines); the negative impact the COVID-19 pandemic has on global and regional economies and economic activity, including the duration and magnitude of its impact on unemployment rates and consumer discretionary spending. Because the severity, magnitude and duration of the COVID-19 pandemic are uncertain, rapidly changing, and difficult to predict, the pandemic's impact on our operations and financial performance, as well as its impact on our ability to successfully execute our business strategy and initiatives, remains uncertain. As the COVID-19 pandemic continues, the full extent of this outbreak and the related governmental, business and travel restrictions in order to contain the COVID-19 pandemic are continuing to evolve globally. Our COVID-19 task force, which includes a cross-functional group of senior-level executives, continues to manage and respond to the ever-changing health and safety requirements across the globe and communicate our responses and recommended course of action to our global factory and office leaders.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continue to maintain safety measures for all our employees across the globe, including implementing work-from-home arrangements, restricting travel except where essential and approved in advance, frequent office and factory sanitation, temperature scans upon entry, hand sanitizer stations located throughout our facilities and offices, mask wearing, social distancing measures in gathering places and restricting visitor access. All factories are up to or near labor capacity as of the issuance of this report.</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 we continue to monitor and follow suggested guidelines by the Centers for Disease Control and Prevention, the World Health Organization, and local governmental orders and recommendations. The continued safety and welfare of our employees will remain at the forefront of all decision-making.</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anticipate that these actions and the global health crisis caused by the COVID-19 pandemic will continue to negatively impact business activity across the globe, including our business. We expect our sales demand to be negatively impacted into, at least, the second half of 2021 given the global reach and economic impact of the COVID-19 pandemic and the various quarantine and social distancing measures put in place to contain the spread of the COVID-19 pandemic. We have also seen disruptions in our supply chain, due to difficulty in obtaining ICs and substantial delays in the transportation and the onloading and offloading of our product due to significant congestion at ports throughout the world. This, in turn causes significant congestion in other downstream transportation, such as via trucks and rail. As such, the delays these congestions have caused and continue to cause could cause and continue to cause difficulty in our ability to fulfill customer orders. In addition, a closure of one of our factories for a sustained period of time would, in the short run, impact our ability to meet customer demand and would negatively impact our results.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actively monitor these situations and may take further actions altering our business operations as necessary or as required by federal, state, or local authorities. The potential effects of any such alterations or modifications may have a material adverse impact on our business during 2021. Even after the COVID-19 pandemic subsides or effective treatments or vaccines become available, our business, markets, growth prospects and business model could be materially impacted or altered.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Integrated Circuit Shortage Impact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first quarter of 2021, we began experiencing difficulty in ordering ICs for future use and that difficulty is continuing. The global shortage of ICs is affecting a multitude of industries and we expect it to continue to affect our business for the remainder of 2021. While we are identifying other sources of ICs and taking other production and inventory control steps in order to mitigate the effects caused by this shortage, we cannot guarantee that we will find alternative sources to meet our short- and longer-term IC needs and/or without experiencing increases in the prices we pay for these components. If we are not able to find alternative sources of ICs or are not able to purchase sufficient quantities of ICs from our current and alternative suppliers, we may not be able to produce sufficient quantities of products to meet our customers’ demands. This, in turn, may affect our ability to meet our quarterly revenue targets. Further, we may incur additional freight costs to meet the delivery demands of our customers. In addition, many of our products are paired with certain of our customers’ products, like set-top boxes or televisions. If those customers are not able to obtain sufficient quantities of ICs for their products, their demand for our products may decrease.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six months ended June 30, 2021 to the items that we disclosed as our critical accounting policies and estimates in Item 7, "Management's Discussion and Analysis of Financial Condition and Results of Operations" contained in our Annual Report on Form 10-K for our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92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3060" w:type="dxa"/>
            <w:vAlign w:val="bottom"/>
            <w:gridSpan w:val="3"/>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6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73.4</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26.6</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16.8</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4.8</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Accrued social insurance adjustment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3.1</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7.7</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r>
      <w:tr>
        <w:trPr>
          <w:trHeight w:val="21"/>
        </w:trPr>
        <w:tc>
          <w:tcPr>
            <w:tcW w:w="5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versus Three Months Ended June 30, 2020</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three months ended June 30, 2021 were $150.5 million, a slight decrease compared to $153.1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2020. Beginning in the first quarter of 2020, the COVID-19 pandemic began to adversely affect our sales, primarily in the subscription broadcast channel. Through the second quarter of 2021, the ill effects caused by the COVID-19 pandemic on the subscription broadcast channel still remain.</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three months ended June 30, 2021 was $44.7 million compared to $38.1 million for the three months ended June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Gross profit as a percentage of sales increased to 29.7% for the three months ended June 30, 2021 from 24.9% for the three months ended June 30, 2020. Gross profit as a percentage of sales was favorably impacted by a mix shift toward higher margin revenue streams such as royalties, as a number of the largest consumer electronic companies in the world are embedding our technology in their devices. The gross margin increase due to mix shift was partially offset by the weakening of the U.S. Dollar versus the Chinese Yuan Renminbi and Mexican Peso.</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remained consistent at $7.7 million and $7.4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respectively.</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increased to $28.0 million for the three months ended June 30, 2021 from $24.2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June 30, 2020, primarily due to an increase in outside legal expenses related to specific legal matters.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net decreased to $0.1 million for the three months ended June 30, 2021 from $0.4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as a result of a lower average loan balance and a lower interest rate.</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Accrued social insurance adjustment. </w:t>
      </w:r>
      <w:r>
        <w:rPr>
          <w:rFonts w:ascii="Arial" w:cs="Arial" w:eastAsia="Arial" w:hAnsi="Arial"/>
          <w:sz w:val="16"/>
          <w:szCs w:val="16"/>
          <w:color w:val="auto"/>
        </w:rPr>
        <w:t>During the three months ended June 30, 2020, we reversed approximately $9.5 million of accrued social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In June 2018, we sold all of the outstanding stock of our Guangzhou entity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amount associated with the Guangzhou entity which was approximately $9.5 million.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expense, net was $17 thousand for the three months ended June 30, 2021, as a result of net foreign currency losses,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other income, net of $0.7 million for the three months ended June 30, 2020, as a result of net foreign currency gains.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$3.3 million for the three months ended June 30, 2021, representing an effective tax rate of 37.0%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income tax expense of $1.9 million for the three months ended June 30, 2020, representing an effective tax rate of 11.6%. Our effective tax rate for the three months ended June 30, 2021 increased due to a pre-tax loss without benefit in the U.S. offset partially by a tax incentive received in China approximating $0.5 million. During the three months ended June 30, 2020, we received two incentive tax refunds in China totaling approximately $1.1 million and we reversed a tax reserve of approximately $1.3 million that was no longer required. Partially offsetting these items is a pre-tax loss without benefit in the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versus Six Months Ended June 30, 2020</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for the six months ended June 30, 2021 were $301.0 million, a slight decrease compared to $304.9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2020. Beginning in the first quarter of 2020, the COVID-19 pandemic began to adversely affect our sales, primarily in the subscription broadcast channel. Through the second quarter of 2021, the ill effects caused by the pandemic on the subscription broadcast channel still remain.</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six months ended June 30, 2021 was $91.1 million compared to $81.0 million for the six months ended June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Gross profit as a percentage of sales increased to 30.2% for the six months ended June 30, 2021 from 26.6% for the six months ended June 30, 2020. Gross profit as a percentage of sales was favorably impacted by a mix shift toward higher margin revenue streams such as royalties, as a number of the largest consumer electronic companies in the world are embedding our technology in their devices. The gross margin increase due to mix shift was partially offset by the weakening of the U.S. Dollar versus the Chinese Yuan Renminbi and Mexican Peso.</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remained consistent at $15.6 million and $15.3 million for the six months ended June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to $57.8 million for the six months ended June 30, 2021 from $51.2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2020, primarily due to an increase in outside legal expenses related to specific legal matters.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net decreased to $0.2 million for the six months ended June 30, 2021 from $1.0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as a result of a lower average loan balance and a lower interest rate.</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Accrued social insurance adjustment. </w:t>
      </w:r>
      <w:r>
        <w:rPr>
          <w:rFonts w:ascii="Arial" w:cs="Arial" w:eastAsia="Arial" w:hAnsi="Arial"/>
          <w:sz w:val="16"/>
          <w:szCs w:val="16"/>
          <w:color w:val="auto"/>
        </w:rPr>
        <w:t>During the six months ended June 30, 2020, we reversed approximately $9.5 million of accrued social insurance.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2018, we sold all of the outstanding stock of our Guangzhou entity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amount associated with the Guangzhou entity which was approximately $9.5 million.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net was $6.0 thousand for the six months ended June 30, 2021, as a result of net foreign currency gains,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other income, net of $0.4 million for the six months ended June 30, 2020, as a result of net foreign currency gains.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$4.8 million for the six months ended June 30, 2021, representing an effective tax rate of 27.7%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income tax expense of $3.1 million for the six months ended June 30, 2020, representing an effective tax rate of 13.3%. Our effective tax rate for the first half of 2021 has increased due to a pre-tax loss without benefit in the U.S. offset partially by a tax incentive received in China approximating $0.5 million. During the six months ended June 30, 2020, we received two incentive tax refunds in China totaling approximately $1.1 million and we reversed a tax reserve of approximately $1.3 million that was no longer required. Partially offsetting these items is a pre-tax loss without benefit in the U.S.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Six Months Ended June 30,</w:t>
            </w:r>
          </w:p>
        </w:tc>
        <w:tc>
          <w:tcPr>
            <w:tcW w:w="340" w:type="dxa"/>
            <w:vAlign w:val="bottom"/>
          </w:tcPr>
          <w:p>
            <w:pPr>
              <w:spacing w:after="0"/>
              <w:rPr>
                <w:sz w:val="14"/>
                <w:szCs w:val="1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88"/>
        </w:trPr>
        <w:tc>
          <w:tcPr>
            <w:tcW w:w="57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5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Cash used for investing activities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(15,470)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5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June 30, 2021</w:t>
            </w:r>
          </w:p>
        </w:tc>
        <w:tc>
          <w:tcPr>
            <w:tcW w:w="340" w:type="dxa"/>
            <w:vAlign w:val="bottom"/>
          </w:tcPr>
          <w:p>
            <w:pPr>
              <w:spacing w:after="0"/>
              <w:rPr>
                <w:sz w:val="24"/>
                <w:szCs w:val="2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24"/>
                <w:szCs w:val="2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57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147,294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147,333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was $16.5 million during the six months ended June 30, 2021 compared to $4.5 million during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2020. Net income was $12.6 million for the six months ended June 30, 2021 compared to net income of $20.2 million for the six months ended June 30, 2020. Accounts payable and accrued liabilities resulted in net cash outflows of $7.3 million during the six months ended June 30, 2021 compared to $40.9 million during the six months ended June 30, 2020, largely as a result of the timing of payments and a decrease in accrued compensation and contingent consideration payments. Changes in accounts receivable and contract assets reduced cash flows by $6.2 million during the six months ended June 30, 2021 compared to cash outflows of $0.8 million during the six months ended June 30, 2020 largely as a result of the timing of sales during the quarter. Days sales outstanding were 77 days at June 30, 2021 compared to 79 days at June 30, 2020.</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during the six months ended June 30, 2021 was $8.1 million, of which $6.2 million and $1.9 million was used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expenditures and the development of patents, respectively. Net cash used for investing activities during the six months ended June 30, 2020 was $9.8 million of which $6.2 million and $3.1 million was used for capital expenditures and the development of patents, respectively.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$0.3 million during the six months ended June 30, 2021 compared to net cash used for financing activities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$4.5 million during the six months ended June 30, 2020. The increase in cash provided by financing activities was driven primarily by borrowing and repayment activity on our line of credit. During the six months ended June 30, 2021, we had net borrowings of $26.0 million compared to net borrowings of $5.0 million during the six months ended June 30, 2020.</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six months ended June 30, 2021, we repurchased 510,715 shares of our common stock at a cost of $26.7 million compared to our repurchase of 172,274 shares at a cost of $6.4 million during the six months ended June 30, 2020. We hold these shares as treasury stock and they are available for reissue. Presently, we have no plans to utilize these shares, although we may change these plans if necessary to fulfill our on-going business objectives. See Note 13 contained in "Notes to Consolidated Financial Statements" for further information regarding our share repurchase programs.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Payments Due by Period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56"/>
              <w:spacing w:after="0" w:line="135"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376"/>
              <w:spacing w:after="0" w:line="135"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6"/>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6"/>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50,256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32,601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hanging="328"/>
        <w:spacing w:after="0" w:line="227"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Purchase obligations primarily consist of contractual payments to purchase inventory; property, plant and equipment; and payments for a fixed-fee software license.</w:t>
      </w:r>
    </w:p>
    <w:p>
      <w:pPr>
        <w:ind w:right="600" w:firstLine="332"/>
        <w:spacing w:after="0" w:line="219" w:lineRule="auto"/>
        <w:tabs>
          <w:tab w:leader="none" w:pos="636"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 xml:space="preserve">Contingent consideration consists of contingent payments related to our purchases of the net assets of RCS Control Systems, Inc. ("RCS"). </w:t>
      </w:r>
      <w:r>
        <w:rPr>
          <w:rFonts w:ascii="Arial" w:cs="Arial" w:eastAsia="Arial" w:hAnsi="Arial"/>
          <w:sz w:val="18"/>
          <w:szCs w:val="18"/>
          <w:i w:val="1"/>
          <w:iCs w:val="1"/>
          <w:color w:val="auto"/>
        </w:rPr>
        <w:t>Liquidity</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Intelligent Technology, Inc.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Our liquidity is subject to various risks including the risks discussed under "Item 3. Quantitative and Qualitative Disclosures about Market Risk."</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6"/>
                <w:szCs w:val="16"/>
                <w:color w:val="auto"/>
              </w:rPr>
            </w:pPr>
          </w:p>
        </w:tc>
        <w:tc>
          <w:tcPr>
            <w:tcW w:w="182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57,153</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Available borrowing resources</w:t>
            </w:r>
          </w:p>
        </w:tc>
        <w:tc>
          <w:tcPr>
            <w:tcW w:w="3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76,300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102,300</w:t>
            </w:r>
          </w:p>
        </w:tc>
      </w:tr>
    </w:tbl>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2021, we had $6.5 million, $18.6 million, $10.4 million, $22.0 million and $10.2 million of cash and cash equivalents in the United States, the PRC, Asia (excluding the PRC), Europe, and South America, respectively. On December 31, 2020, we had $9.8 million, $14.3 million, $13.5 million, $10.9 million, and $8.7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2022.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June 30, 2021.</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rates in effect at June 30, 2021 and December 31, 2020 were 1.35% and 1.39%, respectively. There are no commitment fees or unused line fees under the Second Amended Credit Agreement.</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2021, the process of cessation of LIBOR as a reference rate will begin. LIBOR may continue to be used for new and existing borrowings on the Credit Line through December 31, 2021. After that date, new borrowings will no longer use LIBOR as a reference rate. Instead, these borrowings will be subject to an interest rate based on either the Secured Overnight Financing Rate ("SOFR"), which is deemed a replacement benchmark for LIBOR under the Second Amended Credit Agreement, or an alternate index to be agreed upon. Between December 31, 2021 and June 30, 2023, any legacy borrowings may continue to use LIBOR as the basis for interest rates. After June 30, 2023, all borrowings will be based on SOFR or the alternate index.</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June 30, 2021, we were in compliance with the covenants and conditions of the Second Amended 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we had an outstanding balance of $46.0 million on our Credit Line and $76.3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2020 Annual Report on Form 10-K, or in our other reports filed from time to time with the Securities and Exchange Commission ("SEC")),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impact of the COVID-19 pandemic on our business, results of operations, financial position and liquidity; the impact to our quarterly revenue, margins and operating profits due to our inability to continue to obtain adequate quantities of component parts, including ICs; potential inability to timely deliver products to our customers due to the substantial delays in the transportation and the onloading and offloading of our product resulting from the significant congestion at ports throughout the world and other downstream transportation, such as via trucks and rail;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decision to purchase their products from an alternative or second source supplier, their efforts to refocus their operations to broadband and over-the-top ("OTT") versus traditional linear video, their failure to grow as we anticipated, their internal inventory control measures, or their loss of market share; the effects of natural or other events beyond our control, including the effects political unrest, war or terrorist activities may have on us or the economy; the economic environment's effect on us or our customers; the effects of doing business internationally, including the effects that changes in laws, regulations and policies may have on our business including the impact of new or additional tariffs and surcharges; the growth of, acceptance of and the demand for our products and technologies in various markets and geographical regions, including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those jurisdictions where we are moving our operations; our inability to continue to maintain our operating costs at acceptable levels through our cost containment efforts including moving our operations and manufacturing facilities to lower cost jurisdictions;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and other factors listed from time to time in our press releases and filings with the Securities and Exchange Commission.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$0.3 million annual impact on net income based on our outstanding Credit Line balance at June 30, 2021.</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June 30, 2021,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Hong Kong Dollar, Brazilian Real, Japanese Yen, Korean Won and Argentinian Peso.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Hong Kong Dollar, Japanese Yen and Korean Won and therefore benefit from a stronger U.S. Dollar and are adversely affected by a weaker U.S. Dollar relative to the foreign currency. For the British Pound, Brazilian Real and Argentinian Peso,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June 30, 2021, we believe that movements in foreign currency rates may have a material effect on our financial position and results of operations. We estimate that if the exchange rates for the Chinese Yuan Renminbi, Euro, British Pound, Mexican Peso, Indian Rupee, Brazilian Real, Japanese Yen, and Argentinian Peso relative to the U.S. Dollar fluctuate 10% from June 30, 2021, net income in the third quarter of 2021 would fluctuate by approximately $8.6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12"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difficulty in ordering ICs has adversely affected and will continue to adversely affect our business.</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first quarter of 2021, we began experiencing difficulty in ordering ICs for future use and that difficulty is continuing. The global shortage of ICs is affecting a multitude of industries and we expect it to continue to adversely affect our business for the remainder of 2021. While we are identifying other sources of ICs and taking other production and inventory control steps in order to mitigate the effects caused by this shortage, we cannot guarantee that we will find alternative sources to meet our short- and longer-term IC needs and/or without experiencing increases in the prices we pay for these components. If we are not able to find these alternative sources of ICs or are not able to purchase sufficient quantities of ICs from our current and alternative suppliers, we may not be able to produce sufficient quantities of products to meet our customers’ demands. This, in turn, may affect our ability to meet our quarterly revenue targets for the remainder of 2021. Further, we may incur additional freight costs to meet the delivery demands of our customers. In addition, many of our products are paired with certain of our customers’ products, like set-top boxes and televisions. If those customers are not able to obtain sufficient quantities of ICs for their products, their demand for our products may decrease.</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reader should carefully consider, in connection with the other information in this report, the risk factors discussed in "Part I, Item 1A: Risk Factors" of the Company's 2020 Annual Report on Form 10-K. These factors may cause our actual results to differ materially from those stated in forward-looking statements contained in this document and elsewhere.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June 30, 2021, our total stock repurchases, average price paid per share and the maximum number of shares that may yet be purchased on the open market under our plans or programs: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1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Price Paid</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2160" w:type="dxa"/>
            <w:vAlign w:val="bottom"/>
          </w:tcPr>
          <w:p>
            <w:pPr>
              <w:jc w:val="center"/>
              <w:ind w:left="38"/>
              <w:spacing w:after="0" w:line="135"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89"/>
        </w:trPr>
        <w:tc>
          <w:tcPr>
            <w:tcW w:w="4180" w:type="dxa"/>
            <w:vAlign w:val="bottom"/>
            <w:gridSpan w:val="2"/>
            <w:vMerge w:val="continue"/>
          </w:tcPr>
          <w:p>
            <w:pPr>
              <w:spacing w:after="0"/>
              <w:rPr>
                <w:sz w:val="16"/>
                <w:szCs w:val="16"/>
                <w:color w:val="auto"/>
              </w:rPr>
            </w:pPr>
          </w:p>
        </w:tc>
        <w:tc>
          <w:tcPr>
            <w:tcW w:w="1440" w:type="dxa"/>
            <w:vAlign w:val="bottom"/>
          </w:tcPr>
          <w:p>
            <w:pPr>
              <w:jc w:val="right"/>
              <w:ind w:right="16"/>
              <w:spacing w:after="0" w:line="189" w:lineRule="exact"/>
              <w:rPr>
                <w:sz w:val="20"/>
                <w:szCs w:val="20"/>
                <w:color w:val="auto"/>
              </w:rPr>
            </w:pPr>
            <w:r>
              <w:rPr>
                <w:rFonts w:ascii="Arial" w:cs="Arial" w:eastAsia="Arial" w:hAnsi="Arial"/>
                <w:sz w:val="14"/>
                <w:szCs w:val="14"/>
                <w:b w:val="1"/>
                <w:bCs w:val="1"/>
                <w:color w:val="auto"/>
                <w:w w:val="93"/>
              </w:rPr>
              <w:t xml:space="preserve">Shares Purchased </w:t>
            </w:r>
            <w:r>
              <w:rPr>
                <w:rFonts w:ascii="Arial" w:cs="Arial" w:eastAsia="Arial" w:hAnsi="Arial"/>
                <w:sz w:val="18"/>
                <w:szCs w:val="18"/>
                <w:b w:val="1"/>
                <w:bCs w:val="1"/>
                <w:color w:val="auto"/>
                <w:w w:val="93"/>
                <w:vertAlign w:val="superscript"/>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8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(2)</w:t>
            </w:r>
          </w:p>
        </w:tc>
        <w:tc>
          <w:tcPr>
            <w:tcW w:w="2160" w:type="dxa"/>
            <w:vAlign w:val="bottom"/>
          </w:tcPr>
          <w:p>
            <w:pPr>
              <w:jc w:val="center"/>
              <w:ind w:left="18"/>
              <w:spacing w:after="0" w:line="189" w:lineRule="exact"/>
              <w:rPr>
                <w:sz w:val="20"/>
                <w:szCs w:val="20"/>
                <w:color w:val="auto"/>
              </w:rPr>
            </w:pPr>
            <w:r>
              <w:rPr>
                <w:rFonts w:ascii="Arial" w:cs="Arial" w:eastAsia="Arial" w:hAnsi="Arial"/>
                <w:sz w:val="14"/>
                <w:szCs w:val="14"/>
                <w:b w:val="1"/>
                <w:bCs w:val="1"/>
                <w:color w:val="auto"/>
                <w:w w:val="91"/>
              </w:rPr>
              <w:t xml:space="preserve">Under the Plans or Programs </w:t>
            </w:r>
            <w:r>
              <w:rPr>
                <w:rFonts w:ascii="Arial" w:cs="Arial" w:eastAsia="Arial" w:hAnsi="Arial"/>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2021 - April 30, 2021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2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148,764</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May 1, 2021 - May 31, 2021</w:t>
            </w:r>
          </w:p>
        </w:tc>
        <w:tc>
          <w:tcPr>
            <w:tcW w:w="1440" w:type="dxa"/>
            <w:vAlign w:val="bottom"/>
          </w:tcPr>
          <w:p>
            <w:pPr>
              <w:jc w:val="right"/>
              <w:spacing w:after="0"/>
              <w:rPr>
                <w:sz w:val="20"/>
                <w:szCs w:val="20"/>
                <w:color w:val="auto"/>
              </w:rPr>
            </w:pPr>
            <w:r>
              <w:rPr>
                <w:rFonts w:ascii="Arial" w:cs="Arial" w:eastAsia="Arial" w:hAnsi="Arial"/>
                <w:sz w:val="18"/>
                <w:szCs w:val="18"/>
                <w:color w:val="auto"/>
              </w:rPr>
              <w:t>155,575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48.29</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151,863</w:t>
            </w:r>
          </w:p>
        </w:tc>
        <w:tc>
          <w:tcPr>
            <w:tcW w:w="2160" w:type="dxa"/>
            <w:vAlign w:val="bottom"/>
          </w:tcPr>
          <w:p>
            <w:pPr>
              <w:jc w:val="right"/>
              <w:spacing w:after="0"/>
              <w:rPr>
                <w:sz w:val="20"/>
                <w:szCs w:val="20"/>
                <w:color w:val="auto"/>
              </w:rPr>
            </w:pPr>
            <w:r>
              <w:rPr>
                <w:rFonts w:ascii="Arial" w:cs="Arial" w:eastAsia="Arial" w:hAnsi="Arial"/>
                <w:sz w:val="18"/>
                <w:szCs w:val="18"/>
                <w:color w:val="auto"/>
              </w:rPr>
              <w:t>148,137</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2021 - June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148,137</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320,192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49.14</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315,855</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hanging="328"/>
        <w:spacing w:after="0" w:line="227"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Of the repurchases in April and May, 625 and 3,712 shares, respectively, represent common shares of the Company that were owned and tendered by employees to satisfy tax withholding obligations in connection with the vesting of restricted shares.</w:t>
      </w:r>
    </w:p>
    <w:p>
      <w:pPr>
        <w:spacing w:after="0" w:line="40" w:lineRule="exact"/>
        <w:rPr>
          <w:rFonts w:ascii="Arial" w:cs="Arial" w:eastAsia="Arial" w:hAnsi="Arial"/>
          <w:sz w:val="23"/>
          <w:szCs w:val="23"/>
          <w:color w:val="auto"/>
          <w:vertAlign w:val="superscript"/>
        </w:rPr>
      </w:pPr>
    </w:p>
    <w:p>
      <w:pPr>
        <w:jc w:val="both"/>
        <w:ind w:left="660" w:hanging="328"/>
        <w:spacing w:after="0" w:line="260" w:lineRule="auto"/>
        <w:tabs>
          <w:tab w:leader="none" w:pos="64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On April 28, 2021, our Board approved a new share repurchase program with an effective date of May 11, 2021 (the "May 2021 Program"). Pursuant to the May 2021 Program, we were authorized to repurchase up to 300,000 shares of our common stock at predetermined prices until the earlier of the repurchase of all 300,000 shares or August 5, 2021. The May 2021 Program was completed in June 2021 upon repurchase by us of all 300,000 shares as authorized. On July 28, 2021, our Board approved a new share repurchase program with an effective date of August 10, 2021 (the "August 2021 Program"). Pursuant to the August 2021 Program, we have been authorized to repurchase up to 400,000 shares of our common stock at predetermined prices until the earlier of the repurchase of all 400,000 shares or November 4, 2021. We may repurchase shares of common stock in privately negotiated and/or open-market transactions, including pursuant to plans complying with Rule 10b5-1 promulgated under the Exchange Act.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20" w:type="dxa"/>
            <w:vAlign w:val="bottom"/>
            <w:gridSpan w:val="4"/>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380" w:type="dxa"/>
            <w:vAlign w:val="bottom"/>
          </w:tcPr>
          <w:p>
            <w:pPr>
              <w:spacing w:after="0"/>
              <w:rPr>
                <w:sz w:val="20"/>
                <w:szCs w:val="20"/>
                <w:color w:val="auto"/>
              </w:rPr>
            </w:pPr>
            <w:r>
              <w:rPr>
                <w:rFonts w:ascii="Arial" w:cs="Arial" w:eastAsia="Arial" w:hAnsi="Arial"/>
                <w:sz w:val="18"/>
                <w:szCs w:val="18"/>
                <w:color w:val="auto"/>
              </w:rPr>
              <w:t>4.1</w:t>
            </w:r>
          </w:p>
        </w:tc>
        <w:tc>
          <w:tcPr>
            <w:tcW w:w="9680" w:type="dxa"/>
            <w:vAlign w:val="bottom"/>
            <w:gridSpan w:val="5"/>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First Amendment to Universal Electronics Inc. 2018 Equity and Incentive Compensation Plan (incorporated by reference to Exhibit</w:t>
              </w:r>
            </w:hyperlink>
          </w:p>
        </w:tc>
      </w:tr>
      <w:tr>
        <w:trPr>
          <w:trHeight w:val="156"/>
        </w:trPr>
        <w:tc>
          <w:tcPr>
            <w:tcW w:w="1380" w:type="dxa"/>
            <w:vAlign w:val="bottom"/>
          </w:tcPr>
          <w:p>
            <w:pPr>
              <w:spacing w:after="0"/>
              <w:rPr>
                <w:sz w:val="13"/>
                <w:szCs w:val="13"/>
                <w:color w:val="auto"/>
              </w:rPr>
            </w:pPr>
          </w:p>
        </w:tc>
        <w:tc>
          <w:tcPr>
            <w:tcW w:w="96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4.</w:t>
              </w:r>
              <w:r>
                <w:rPr>
                  <w:rFonts w:ascii="Arial" w:cs="Arial" w:eastAsia="Arial" w:hAnsi="Arial"/>
                  <w:sz w:val="18"/>
                  <w:szCs w:val="18"/>
                  <w:u w:val="single" w:color="auto"/>
                  <w:color w:val="0000FF"/>
                </w:rPr>
                <w:t>6</w:t>
              </w:r>
              <w:r>
                <w:rPr>
                  <w:rFonts w:ascii="Arial" w:cs="Arial" w:eastAsia="Arial" w:hAnsi="Arial"/>
                  <w:sz w:val="18"/>
                  <w:szCs w:val="18"/>
                  <w:color w:val="0000FF"/>
                </w:rPr>
                <w:t xml:space="preserve"> to the Company's Form S-8 Registration Statement filed on August 5, 2021 (File No. 333-258488))</w:t>
              </w:r>
            </w:hyperlink>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63"/>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940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39">
              <w:r>
                <w:rPr>
                  <w:rFonts w:ascii="Arial" w:cs="Arial" w:eastAsia="Arial" w:hAnsi="Arial"/>
                  <w:sz w:val="18"/>
                  <w:szCs w:val="18"/>
                  <w:color w:val="0000FF"/>
                  <w:w w:val="93"/>
                </w:rPr>
                <w:t>Rule 13a-14(a) Certifications of Paul D. Arling, Chief Executive Officer (principal executive officer) of Universal Electronics Inc.</w:t>
              </w:r>
            </w:hyperlink>
          </w:p>
        </w:tc>
        <w:tc>
          <w:tcPr>
            <w:tcW w:w="280" w:type="dxa"/>
            <w:vAlign w:val="bottom"/>
            <w:gridSpan w:val="2"/>
          </w:tcPr>
          <w:p>
            <w:pPr>
              <w:spacing w:after="0"/>
              <w:rPr>
                <w:sz w:val="22"/>
                <w:szCs w:val="22"/>
                <w:color w:val="auto"/>
              </w:rPr>
            </w:pPr>
          </w:p>
        </w:tc>
      </w:tr>
      <w:tr>
        <w:trPr>
          <w:trHeight w:val="263"/>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9680" w:type="dxa"/>
            <w:vAlign w:val="bottom"/>
            <w:gridSpan w:val="5"/>
          </w:tcPr>
          <w:p>
            <w:pPr>
              <w:spacing w:after="0"/>
              <w:rPr>
                <w:rFonts w:ascii="Arial" w:cs="Arial" w:eastAsia="Arial" w:hAnsi="Arial"/>
                <w:sz w:val="18"/>
                <w:szCs w:val="18"/>
                <w:color w:val="0000FF"/>
                <w:w w:val="96"/>
              </w:rPr>
            </w:pPr>
            <w:hyperlink w:anchor="page40">
              <w:r>
                <w:rPr>
                  <w:rFonts w:ascii="Arial" w:cs="Arial" w:eastAsia="Arial" w:hAnsi="Arial"/>
                  <w:sz w:val="18"/>
                  <w:szCs w:val="18"/>
                  <w:color w:val="0000FF"/>
                  <w:w w:val="96"/>
                </w:rPr>
                <w:t>Rule 13a-14(a) Certifications of Bryan M. Hackworth, Chief Financial Officer (principal financial officer and principal accounting</w:t>
              </w:r>
            </w:hyperlink>
          </w:p>
        </w:tc>
      </w:tr>
      <w:tr>
        <w:trPr>
          <w:trHeight w:val="156"/>
        </w:trPr>
        <w:tc>
          <w:tcPr>
            <w:tcW w:w="1380" w:type="dxa"/>
            <w:vAlign w:val="bottom"/>
          </w:tcPr>
          <w:p>
            <w:pPr>
              <w:spacing w:after="0"/>
              <w:rPr>
                <w:sz w:val="13"/>
                <w:szCs w:val="13"/>
                <w:color w:val="auto"/>
              </w:rPr>
            </w:pPr>
          </w:p>
        </w:tc>
        <w:tc>
          <w:tcPr>
            <w:tcW w:w="2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40">
              <w:r>
                <w:rPr>
                  <w:rFonts w:ascii="Arial" w:cs="Arial" w:eastAsia="Arial" w:hAnsi="Arial"/>
                  <w:sz w:val="18"/>
                  <w:szCs w:val="18"/>
                  <w:color w:val="0000FF"/>
                  <w:w w:val="93"/>
                </w:rPr>
                <w:t>officer) of Universal Electronics Inc.</w:t>
              </w:r>
            </w:hyperlink>
          </w:p>
        </w:tc>
        <w:tc>
          <w:tcPr>
            <w:tcW w:w="70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bl>
    <w:p>
      <w:pPr>
        <w:spacing w:after="0" w:line="80" w:lineRule="exact"/>
        <w:rPr>
          <w:sz w:val="20"/>
          <w:szCs w:val="20"/>
          <w:color w:val="auto"/>
        </w:rPr>
      </w:pPr>
    </w:p>
    <w:p>
      <w:pPr>
        <w:jc w:val="both"/>
        <w:ind w:left="1540" w:hanging="1372"/>
        <w:spacing w:after="0" w:line="224" w:lineRule="auto"/>
        <w:tabs>
          <w:tab w:leader="none" w:pos="1540" w:val="left"/>
        </w:tabs>
        <w:numPr>
          <w:ilvl w:val="0"/>
          <w:numId w:val="16"/>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Section 1350 Certifications of Paul D. Arling, Chief Executive Officer (principal executive officer) of Universal Electronics Inc., and</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Bryan M. Hackworth, Chief Financial Officer (principal financial officer and principal accounting officer) of Universal Electronics</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Inc., pursuant to 18 U.S.C. Section 1350</w:t>
        </w:r>
      </w:hyperlink>
    </w:p>
    <w:p>
      <w:pPr>
        <w:spacing w:after="0" w:line="55" w:lineRule="exact"/>
        <w:rPr>
          <w:rFonts w:ascii="Arial" w:cs="Arial" w:eastAsia="Arial" w:hAnsi="Arial"/>
          <w:sz w:val="18"/>
          <w:szCs w:val="18"/>
          <w:u w:val="single" w:color="auto"/>
          <w:color w:val="0000FF"/>
        </w:rPr>
      </w:pPr>
    </w:p>
    <w:tbl>
      <w:tblPr>
        <w:tblLayout w:type="fixed"/>
        <w:tblInd w:w="1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Instance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300" w:type="dxa"/>
            <w:vAlign w:val="bottom"/>
          </w:tcPr>
          <w:p>
            <w:pPr>
              <w:ind w:left="34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tcPr>
          <w:p>
            <w:pPr>
              <w:ind w:left="34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300" w:type="dxa"/>
            <w:vAlign w:val="bottom"/>
          </w:tcPr>
          <w:p>
            <w:pPr>
              <w:ind w:left="34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53" w:lineRule="exact"/>
        <w:rPr>
          <w:rFonts w:ascii="Arial" w:cs="Arial" w:eastAsia="Arial" w:hAnsi="Arial"/>
          <w:sz w:val="18"/>
          <w:szCs w:val="18"/>
          <w:u w:val="single" w:color="auto"/>
          <w:color w:val="0000FF"/>
        </w:rPr>
      </w:pPr>
    </w:p>
    <w:p>
      <w:pPr>
        <w:ind w:left="1540" w:hanging="1372"/>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color w:val="auto"/>
              </w:rPr>
              <w:t>Dated:   August 5, 2021</w:t>
            </w:r>
          </w:p>
        </w:tc>
        <w:tc>
          <w:tcPr>
            <w:tcW w:w="7580" w:type="dxa"/>
            <w:vAlign w:val="bottom"/>
            <w:gridSpan w:val="2"/>
          </w:tcPr>
          <w:p>
            <w:pPr>
              <w:ind w:left="1800"/>
              <w:spacing w:after="0"/>
              <w:rPr>
                <w:sz w:val="20"/>
                <w:szCs w:val="20"/>
                <w:color w:val="auto"/>
              </w:rPr>
            </w:pPr>
            <w:r>
              <w:rPr>
                <w:rFonts w:ascii="Arial" w:cs="Arial" w:eastAsia="Arial" w:hAnsi="Arial"/>
                <w:sz w:val="18"/>
                <w:szCs w:val="18"/>
                <w:b w:val="1"/>
                <w:bCs w:val="1"/>
                <w:color w:val="auto"/>
              </w:rPr>
              <w:t>UNIVERSAL ELECTRONICS INC.</w:t>
            </w:r>
          </w:p>
        </w:tc>
      </w:tr>
      <w:tr>
        <w:trPr>
          <w:trHeight w:val="283"/>
        </w:trPr>
        <w:tc>
          <w:tcPr>
            <w:tcW w:w="3600" w:type="dxa"/>
            <w:vAlign w:val="bottom"/>
          </w:tcPr>
          <w:p>
            <w:pPr>
              <w:spacing w:after="0"/>
              <w:rPr>
                <w:sz w:val="24"/>
                <w:szCs w:val="24"/>
                <w:color w:val="auto"/>
              </w:rPr>
            </w:pPr>
          </w:p>
        </w:tc>
        <w:tc>
          <w:tcPr>
            <w:tcW w:w="2520" w:type="dxa"/>
            <w:vAlign w:val="bottom"/>
          </w:tcPr>
          <w:p>
            <w:pPr>
              <w:ind w:left="18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22"/>
        </w:trPr>
        <w:tc>
          <w:tcPr>
            <w:tcW w:w="3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3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30"/>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340" w:firstLine="154"/>
        <w:spacing w:after="0" w:line="342" w:lineRule="auto"/>
        <w:tabs>
          <w:tab w:leader="none" w:pos="715"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340" w:firstLine="154"/>
        <w:spacing w:after="0" w:line="334" w:lineRule="auto"/>
        <w:tabs>
          <w:tab w:leader="none" w:pos="715"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48"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ind w:left="20"/>
        <w:spacing w:after="0" w:line="203" w:lineRule="auto"/>
        <w:rPr>
          <w:sz w:val="20"/>
          <w:szCs w:val="20"/>
          <w:color w:val="auto"/>
        </w:rPr>
      </w:pPr>
      <w:r>
        <w:rPr>
          <w:rFonts w:ascii="Arial" w:cs="Arial" w:eastAsia="Arial" w:hAnsi="Arial"/>
          <w:sz w:val="18"/>
          <w:szCs w:val="18"/>
          <w:color w:val="auto"/>
        </w:rPr>
        <w:t>(principal financial officer</w:t>
      </w:r>
    </w:p>
    <w:p>
      <w:pPr>
        <w:ind w:left="2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2021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Dated:   August 5, 2021</w:t>
            </w:r>
          </w:p>
        </w:tc>
        <w:tc>
          <w:tcPr>
            <w:tcW w:w="6200" w:type="dxa"/>
            <w:vAlign w:val="bottom"/>
            <w:gridSpan w:val="2"/>
          </w:tcPr>
          <w:p>
            <w:pPr>
              <w:ind w:left="3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D. Arling</w:t>
            </w:r>
          </w:p>
        </w:tc>
      </w:tr>
      <w:tr>
        <w:trPr>
          <w:trHeight w:val="222"/>
        </w:trPr>
        <w:tc>
          <w:tcPr>
            <w:tcW w:w="48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D. Arling</w:t>
            </w:r>
          </w:p>
        </w:tc>
      </w:tr>
      <w:tr>
        <w:trPr>
          <w:trHeight w:val="230"/>
        </w:trPr>
        <w:tc>
          <w:tcPr>
            <w:tcW w:w="48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8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4840" w:type="dxa"/>
            <w:vAlign w:val="bottom"/>
          </w:tcPr>
          <w:p>
            <w:pPr>
              <w:spacing w:after="0"/>
              <w:rPr>
                <w:sz w:val="24"/>
                <w:szCs w:val="24"/>
                <w:color w:val="auto"/>
              </w:rPr>
            </w:pPr>
          </w:p>
        </w:tc>
        <w:tc>
          <w:tcPr>
            <w:tcW w:w="6200" w:type="dxa"/>
            <w:vAlign w:val="bottom"/>
            <w:gridSpan w:val="2"/>
          </w:tcPr>
          <w:p>
            <w:pPr>
              <w:ind w:left="3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M. Hackworth</w:t>
            </w:r>
          </w:p>
        </w:tc>
      </w:tr>
      <w:tr>
        <w:trPr>
          <w:trHeight w:val="222"/>
        </w:trPr>
        <w:tc>
          <w:tcPr>
            <w:tcW w:w="48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48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48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48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32"/>
    </w:lvl>
  </w:abstractNum>
  <w:abstractNum w:abstractNumId="16">
    <w:nsid w:val="431BD7B7"/>
    <w:multiLevelType w:val="hybridMultilevel"/>
    <w:lvl w:ilvl="0">
      <w:lvlJc w:val="left"/>
      <w:lvlText w:val="%1"/>
      <w:numFmt w:val="decimal"/>
      <w:start w:val="104"/>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2" Type="http://schemas.openxmlformats.org/officeDocument/2006/relationships/hyperlink" Target="https://www.sec.gov/Archives/edgar/data/101984/000010198421000047/exhibit462021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2021-08-06T05:46:58Z</dcterms:created>
  <dcterms:modified xsi:type="dcterms:W3CDTF">2021-08-06T05:46:58Z</dcterms:modified>
</cp:coreProperties>
</file>