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 </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539" w:type="dxa"/>
        <w:jc w:val="left"/>
        <w:tblInd w:w="0" w:type="dxa"/>
        <w:tblCellMar>
          <w:top w:w="28" w:type="dxa"/>
          <w:left w:w="28" w:type="dxa"/>
          <w:bottom w:w="28" w:type="dxa"/>
          <w:right w:w="28" w:type="dxa"/>
        </w:tblCellMar>
      </w:tblPr>
      <w:tblGrid>
        <w:gridCol w:w="124"/>
        <w:gridCol w:w="109"/>
        <w:gridCol w:w="109"/>
        <w:gridCol w:w="2983"/>
        <w:gridCol w:w="2983"/>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80" w:after="283"/>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 xml:space="preserve">For the quarterly period ended March 31, 2023 </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539" w:type="dxa"/>
        <w:jc w:val="left"/>
        <w:tblInd w:w="0" w:type="dxa"/>
        <w:tblCellMar>
          <w:top w:w="28" w:type="dxa"/>
          <w:left w:w="28" w:type="dxa"/>
          <w:bottom w:w="28" w:type="dxa"/>
          <w:right w:w="28" w:type="dxa"/>
        </w:tblCellMar>
      </w:tblPr>
      <w:tblGrid>
        <w:gridCol w:w="124"/>
        <w:gridCol w:w="109"/>
        <w:gridCol w:w="109"/>
        <w:gridCol w:w="2982"/>
        <w:gridCol w:w="2982"/>
        <w:gridCol w:w="42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42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ind w:left="0" w:right="0" w:firstLine="495"/>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to            </w:t>
      </w:r>
    </w:p>
    <w:p>
      <w:pPr>
        <w:pStyle w:val="TextBody"/>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0-21044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 </w:t>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UNIVERSAL ELECTRONICS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137" w:type="dxa"/>
        <w:jc w:val="center"/>
        <w:tblInd w:w="0" w:type="dxa"/>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280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33-0204817</w:t>
            </w:r>
          </w:p>
        </w:tc>
      </w:tr>
      <w:tr>
        <w:trPr/>
        <w:tc>
          <w:tcPr>
            <w:tcW w:w="280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1426"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15147 N. Scottsdale Road, Suite H300, Scottsdale, Arizona 85254-2494</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p>
      <w:pPr>
        <w:pStyle w:val="TextBody"/>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(480) 530-3000</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spacing w:lineRule="auto" w:line="288" w:before="0" w:after="0"/>
        <w:jc w:val="center"/>
        <w:rPr/>
      </w:pPr>
      <w:r>
        <w:rPr>
          <w:rFonts w:ascii="Times New Roman;sans-serif" w:hAnsi="Times New Roman;sans-serif"/>
          <w:b w:val="false"/>
          <w:color w:val="000000"/>
          <w:sz w:val="20"/>
        </w:rPr>
        <w:t>_____________________</w:t>
      </w:r>
      <w:r>
        <w:rPr>
          <w:color w:val="000000"/>
        </w:rPr>
        <w:t> </w:t>
      </w:r>
    </w:p>
    <w:tbl>
      <w:tblPr>
        <w:tblW w:w="8820" w:type="dxa"/>
        <w:jc w:val="center"/>
        <w:tblInd w:w="0" w:type="dxa"/>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882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lineRule="auto" w:line="288" w:before="6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539" w:type="dxa"/>
        <w:jc w:val="left"/>
        <w:tblInd w:w="0" w:type="dxa"/>
        <w:tblCellMar>
          <w:top w:w="28" w:type="dxa"/>
          <w:left w:w="28" w:type="dxa"/>
          <w:bottom w:w="28" w:type="dxa"/>
          <w:right w:w="28" w:type="dxa"/>
        </w:tblCellMar>
      </w:tblPr>
      <w:tblGrid>
        <w:gridCol w:w="1117"/>
        <w:gridCol w:w="982"/>
        <w:gridCol w:w="984"/>
        <w:gridCol w:w="174"/>
        <w:gridCol w:w="174"/>
        <w:gridCol w:w="174"/>
        <w:gridCol w:w="174"/>
        <w:gridCol w:w="174"/>
        <w:gridCol w:w="174"/>
        <w:gridCol w:w="174"/>
        <w:gridCol w:w="174"/>
        <w:gridCol w:w="174"/>
        <w:gridCol w:w="174"/>
        <w:gridCol w:w="174"/>
        <w:gridCol w:w="174"/>
        <w:gridCol w:w="174"/>
        <w:gridCol w:w="174"/>
        <w:gridCol w:w="174"/>
        <w:gridCol w:w="174"/>
        <w:gridCol w:w="174"/>
        <w:gridCol w:w="174"/>
        <w:gridCol w:w="1234"/>
        <w:gridCol w:w="1234"/>
        <w:gridCol w:w="1241"/>
        <w:gridCol w:w="174"/>
        <w:gridCol w:w="174"/>
        <w:gridCol w:w="267"/>
      </w:tblGrid>
      <w:tr>
        <w:trPr/>
        <w:tc>
          <w:tcPr>
            <w:tcW w:w="111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3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0539"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Act).Yes ☐ No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12,857,436 shares of Common Stock, par value $0.01 per share, of the registrant were outstanding on May 5,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8686" w:type="dxa"/>
        <w:jc w:val="left"/>
        <w:tblInd w:w="0" w:type="dxa"/>
        <w:tblCellMar>
          <w:top w:w="28" w:type="dxa"/>
          <w:left w:w="28" w:type="dxa"/>
          <w:bottom w:w="28" w:type="dxa"/>
          <w:right w:w="28" w:type="dxa"/>
        </w:tblCellMar>
      </w:tblPr>
      <w:tblGrid>
        <w:gridCol w:w="2880"/>
        <w:gridCol w:w="2529"/>
        <w:gridCol w:w="2541"/>
        <w:gridCol w:w="215"/>
        <w:gridCol w:w="215"/>
        <w:gridCol w:w="306"/>
      </w:tblGrid>
      <w:tr>
        <w:trPr/>
        <w:tc>
          <w:tcPr>
            <w:tcW w:w="2880"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7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color w:val="000000"/>
                <w:sz w:val="16"/>
              </w:rPr>
            </w:pPr>
            <w:r>
              <w:rPr>
                <w:rFonts w:ascii="Times New Roman;sans-serif" w:hAnsi="Times New Roman;sans-serif"/>
                <w:b/>
                <w:color w:val="000000"/>
                <w:sz w:val="16"/>
              </w:rPr>
              <w:t>Page</w:t>
            </w:r>
          </w:p>
          <w:p>
            <w:pPr>
              <w:pStyle w:val="TableContents"/>
              <w:spacing w:lineRule="auto" w:line="240" w:before="0" w:after="0"/>
              <w:jc w:val="righ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0">
              <w:r>
                <w:rPr>
                  <w:rStyle w:val="InternetLink"/>
                  <w:rFonts w:ascii="Times New Roman;sans-serif" w:hAnsi="Times New Roman;sans-serif"/>
                  <w:b/>
                  <w:color w:val="0000FF"/>
                  <w:sz w:val="20"/>
                  <w:u w:val="single"/>
                </w:rPr>
                <w:t>PART I. FINANCIAL INFORMATION</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0">
              <w:r>
                <w:rPr>
                  <w:rStyle w:val="InternetLink"/>
                  <w:rFonts w:ascii="Times New Roman;sans-serif" w:hAnsi="Times New Roman;sans-serif"/>
                  <w:b w:val="false"/>
                  <w:color w:val="0000FF"/>
                  <w:sz w:val="20"/>
                  <w:u w:val="single"/>
                </w:rPr>
                <w:t>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3">
              <w:r>
                <w:rPr>
                  <w:rStyle w:val="InternetLink"/>
                  <w:rFonts w:ascii="Times New Roman;sans-serif" w:hAnsi="Times New Roman;sans-serif"/>
                  <w:b w:val="false"/>
                  <w:color w:val="0000FF"/>
                  <w:sz w:val="20"/>
                  <w:u w:val="single"/>
                </w:rPr>
                <w:t>Item 1. Consolidated Financial Statements (Unaudited)</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3">
              <w:r>
                <w:rPr>
                  <w:rStyle w:val="InternetLink"/>
                  <w:rFonts w:ascii="Times New Roman;sans-serif" w:hAnsi="Times New Roman;sans-serif"/>
                  <w:b w:val="false"/>
                  <w:color w:val="0000FF"/>
                  <w:sz w:val="20"/>
                  <w:u w:val="single"/>
                </w:rPr>
                <w:t>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6">
              <w:r>
                <w:rPr>
                  <w:rStyle w:val="InternetLink"/>
                  <w:rFonts w:ascii="Times New Roman;sans-serif" w:hAnsi="Times New Roman;sans-serif"/>
                  <w:b w:val="false"/>
                  <w:color w:val="0000FF"/>
                  <w:sz w:val="20"/>
                  <w:u w:val="single"/>
                </w:rPr>
                <w:t>Consolidated Balance Sheets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6">
              <w:r>
                <w:rPr>
                  <w:rStyle w:val="InternetLink"/>
                  <w:rFonts w:ascii="Times New Roman;sans-serif" w:hAnsi="Times New Roman;sans-serif"/>
                  <w:b w:val="false"/>
                  <w:color w:val="0000FF"/>
                  <w:sz w:val="20"/>
                  <w:u w:val="single"/>
                </w:rPr>
                <w:t>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9">
              <w:r>
                <w:rPr>
                  <w:rStyle w:val="InternetLink"/>
                  <w:rFonts w:ascii="Times New Roman;sans-serif" w:hAnsi="Times New Roman;sans-serif"/>
                  <w:b w:val="false"/>
                  <w:color w:val="0000FF"/>
                  <w:sz w:val="20"/>
                  <w:u w:val="single"/>
                </w:rPr>
                <w:t>Consolidated Statements of Operations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9">
              <w:r>
                <w:rPr>
                  <w:rStyle w:val="InternetLink"/>
                  <w:rFonts w:ascii="Times New Roman;sans-serif" w:hAnsi="Times New Roman;sans-serif"/>
                  <w:b w:val="false"/>
                  <w:color w:val="0000FF"/>
                  <w:sz w:val="20"/>
                  <w:u w:val="single"/>
                </w:rPr>
                <w:t>4</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22">
              <w:r>
                <w:rPr>
                  <w:rStyle w:val="InternetLink"/>
                  <w:rFonts w:ascii="Times New Roman;sans-serif" w:hAnsi="Times New Roman;sans-serif"/>
                  <w:b w:val="false"/>
                  <w:color w:val="0000FF"/>
                  <w:sz w:val="20"/>
                  <w:u w:val="single"/>
                </w:rPr>
                <w:t>Consolidated Comprehensive Income (Loss) Statements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22">
              <w:r>
                <w:rPr>
                  <w:rStyle w:val="InternetLink"/>
                  <w:rFonts w:ascii="Times New Roman;sans-serif" w:hAnsi="Times New Roman;sans-serif"/>
                  <w:b w:val="false"/>
                  <w:color w:val="0000FF"/>
                  <w:sz w:val="20"/>
                  <w:u w:val="single"/>
                </w:rPr>
                <w:t>5</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25">
              <w:r>
                <w:rPr>
                  <w:rStyle w:val="InternetLink"/>
                  <w:rFonts w:ascii="Times New Roman;sans-serif" w:hAnsi="Times New Roman;sans-serif"/>
                  <w:b w:val="false"/>
                  <w:color w:val="0000FF"/>
                  <w:sz w:val="20"/>
                  <w:u w:val="single"/>
                </w:rPr>
                <w:t>Consolidated Statements of Stockholders' Equity</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25">
              <w:r>
                <w:rPr>
                  <w:rStyle w:val="InternetLink"/>
                  <w:rFonts w:ascii="Times New Roman;sans-serif" w:hAnsi="Times New Roman;sans-serif"/>
                  <w:b w:val="false"/>
                  <w:color w:val="0000FF"/>
                  <w:sz w:val="20"/>
                  <w:u w:val="single"/>
                </w:rPr>
                <w:t>6</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28">
              <w:r>
                <w:rPr>
                  <w:rStyle w:val="InternetLink"/>
                  <w:rFonts w:ascii="Times New Roman;sans-serif" w:hAnsi="Times New Roman;sans-serif"/>
                  <w:b w:val="false"/>
                  <w:color w:val="0000FF"/>
                  <w:sz w:val="20"/>
                  <w:u w:val="single"/>
                </w:rPr>
                <w:t>Consolidated Statements of Cash Flows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28">
              <w:r>
                <w:rPr>
                  <w:rStyle w:val="InternetLink"/>
                  <w:rFonts w:ascii="Times New Roman;sans-serif" w:hAnsi="Times New Roman;sans-serif"/>
                  <w:b w:val="false"/>
                  <w:color w:val="0000FF"/>
                  <w:sz w:val="20"/>
                  <w:u w:val="single"/>
                </w:rPr>
                <w:t>7</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31">
              <w:r>
                <w:rPr>
                  <w:rStyle w:val="InternetLink"/>
                  <w:rFonts w:ascii="Times New Roman;sans-serif" w:hAnsi="Times New Roman;sans-serif"/>
                  <w:b w:val="false"/>
                  <w:color w:val="0000FF"/>
                  <w:sz w:val="20"/>
                  <w:u w:val="single"/>
                </w:rPr>
                <w:t>Notes to Consolidated Financial Statements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31">
              <w:r>
                <w:rPr>
                  <w:rStyle w:val="InternetLink"/>
                  <w:rFonts w:ascii="Times New Roman;sans-serif" w:hAnsi="Times New Roman;sans-serif"/>
                  <w:b w:val="false"/>
                  <w:color w:val="0000FF"/>
                  <w:sz w:val="20"/>
                  <w:u w:val="single"/>
                </w:rPr>
                <w:t>8</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97">
              <w:r>
                <w:rPr>
                  <w:rStyle w:val="InternetLink"/>
                  <w:rFonts w:ascii="Times New Roman;sans-serif" w:hAnsi="Times New Roman;sans-serif"/>
                  <w:b w:val="false"/>
                  <w:color w:val="0000FF"/>
                  <w:sz w:val="20"/>
                  <w:u w:val="single"/>
                </w:rPr>
                <w:t>24</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06">
              <w:r>
                <w:rPr>
                  <w:rStyle w:val="InternetLink"/>
                  <w:rFonts w:ascii="Times New Roman;sans-serif" w:hAnsi="Times New Roman;sans-serif"/>
                  <w:b w:val="false"/>
                  <w:color w:val="0000FF"/>
                  <w:sz w:val="20"/>
                  <w:u w:val="single"/>
                </w:rPr>
                <w:t>Item 3. Quantitative and Qualitative Disclosures About Market Risk</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06">
              <w:r>
                <w:rPr>
                  <w:rStyle w:val="InternetLink"/>
                  <w:rFonts w:ascii="Times New Roman;sans-serif" w:hAnsi="Times New Roman;sans-serif"/>
                  <w:b w:val="false"/>
                  <w:color w:val="0000FF"/>
                  <w:sz w:val="20"/>
                  <w:u w:val="single"/>
                </w:rPr>
                <w:t>31</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09">
              <w:r>
                <w:rPr>
                  <w:rStyle w:val="InternetLink"/>
                  <w:rFonts w:ascii="Times New Roman;sans-serif" w:hAnsi="Times New Roman;sans-serif"/>
                  <w:b w:val="false"/>
                  <w:color w:val="0000FF"/>
                  <w:sz w:val="20"/>
                  <w:u w:val="single"/>
                </w:rPr>
                <w:t>Item 4. Controls and Procedures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09">
              <w:r>
                <w:rPr>
                  <w:rStyle w:val="InternetLink"/>
                  <w:rFonts w:ascii="Times New Roman;sans-serif" w:hAnsi="Times New Roman;sans-serif"/>
                  <w:b w:val="false"/>
                  <w:color w:val="0000FF"/>
                  <w:sz w:val="20"/>
                  <w:u w:val="single"/>
                </w:rPr>
                <w:t>32</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12">
              <w:r>
                <w:rPr>
                  <w:rStyle w:val="InternetLink"/>
                  <w:rFonts w:ascii="Times New Roman;sans-serif" w:hAnsi="Times New Roman;sans-serif"/>
                  <w:b/>
                  <w:color w:val="0000FF"/>
                  <w:sz w:val="20"/>
                  <w:u w:val="single"/>
                </w:rPr>
                <w:t>PART II. OTHER INFORMATION</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12">
              <w:r>
                <w:rPr>
                  <w:rStyle w:val="InternetLink"/>
                  <w:rFonts w:ascii="Times New Roman;sans-serif" w:hAnsi="Times New Roman;sans-serif"/>
                  <w:b w:val="false"/>
                  <w:color w:val="0000FF"/>
                  <w:sz w:val="20"/>
                  <w:u w:val="single"/>
                </w:rPr>
                <w:t>33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15">
              <w:r>
                <w:rPr>
                  <w:rStyle w:val="InternetLink"/>
                  <w:rFonts w:ascii="Times New Roman;sans-serif" w:hAnsi="Times New Roman;sans-serif"/>
                  <w:b w:val="false"/>
                  <w:color w:val="0000FF"/>
                  <w:sz w:val="20"/>
                  <w:u w:val="single"/>
                </w:rPr>
                <w:t>Item 1. Legal Proceedings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15">
              <w:r>
                <w:rPr>
                  <w:rStyle w:val="InternetLink"/>
                  <w:rFonts w:ascii="Times New Roman;sans-serif" w:hAnsi="Times New Roman;sans-serif"/>
                  <w:b w:val="false"/>
                  <w:color w:val="0000FF"/>
                  <w:sz w:val="20"/>
                  <w:u w:val="single"/>
                </w:rPr>
                <w:t>33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18">
              <w:r>
                <w:rPr>
                  <w:rStyle w:val="InternetLink"/>
                  <w:rFonts w:ascii="Times New Roman;sans-serif" w:hAnsi="Times New Roman;sans-serif"/>
                  <w:b w:val="false"/>
                  <w:color w:val="0000FF"/>
                  <w:sz w:val="20"/>
                  <w:u w:val="single"/>
                </w:rPr>
                <w:t>Item 1A. Risk Factors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18">
              <w:r>
                <w:rPr>
                  <w:rStyle w:val="InternetLink"/>
                  <w:rFonts w:ascii="Times New Roman;sans-serif" w:hAnsi="Times New Roman;sans-serif"/>
                  <w:b w:val="false"/>
                  <w:color w:val="0000FF"/>
                  <w:sz w:val="20"/>
                  <w:u w:val="single"/>
                </w:rPr>
                <w:t>33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21">
              <w:r>
                <w:rPr>
                  <w:rStyle w:val="InternetLink"/>
                  <w:rFonts w:ascii="Times New Roman;sans-serif" w:hAnsi="Times New Roman;sans-serif"/>
                  <w:b w:val="false"/>
                  <w:color w:val="0000FF"/>
                  <w:sz w:val="20"/>
                  <w:u w:val="single"/>
                </w:rPr>
                <w:t>Item 2. Unregistered Sales of Equity Securities and Use of Proceeds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21">
              <w:r>
                <w:rPr>
                  <w:rStyle w:val="InternetLink"/>
                  <w:rFonts w:ascii="Times New Roman;sans-serif" w:hAnsi="Times New Roman;sans-serif"/>
                  <w:b w:val="false"/>
                  <w:color w:val="0000FF"/>
                  <w:sz w:val="20"/>
                  <w:u w:val="single"/>
                </w:rPr>
                <w:t>33</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24">
              <w:r>
                <w:rPr>
                  <w:rStyle w:val="InternetLink"/>
                  <w:rFonts w:ascii="Times New Roman;sans-serif" w:hAnsi="Times New Roman;sans-serif"/>
                  <w:b w:val="false"/>
                  <w:color w:val="0000FF"/>
                  <w:sz w:val="20"/>
                  <w:u w:val="single"/>
                </w:rPr>
                <w:t>Item 6. Exhibits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24">
              <w:r>
                <w:rPr>
                  <w:rStyle w:val="InternetLink"/>
                  <w:rFonts w:ascii="Times New Roman;sans-serif" w:hAnsi="Times New Roman;sans-serif"/>
                  <w:b w:val="false"/>
                  <w:color w:val="0000FF"/>
                  <w:sz w:val="20"/>
                  <w:u w:val="single"/>
                </w:rPr>
                <w:t>34</w:t>
              </w:r>
            </w:hyperlink>
          </w:p>
        </w:tc>
      </w:tr>
      <w:tr>
        <w:trPr/>
        <w:tc>
          <w:tcPr>
            <w:tcW w:w="7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2d75b8964f546058ed5711084529d74_127">
              <w:r>
                <w:rPr>
                  <w:rStyle w:val="InternetLink"/>
                  <w:rFonts w:ascii="Times New Roman;sans-serif" w:hAnsi="Times New Roman;sans-serif"/>
                  <w:b w:val="false"/>
                  <w:color w:val="0000FF"/>
                  <w:sz w:val="20"/>
                  <w:u w:val="single"/>
                </w:rPr>
                <w:t>Signatures</w:t>
              </w:r>
            </w:hyperlink>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2d75b8964f546058ed5711084529d74_127">
              <w:r>
                <w:rPr>
                  <w:rStyle w:val="InternetLink"/>
                  <w:rFonts w:ascii="Times New Roman;sans-serif" w:hAnsi="Times New Roman;sans-serif"/>
                  <w:b w:val="false"/>
                  <w:color w:val="0000FF"/>
                  <w:sz w:val="20"/>
                  <w:u w:val="single"/>
                </w:rPr>
                <w:t>35</w:t>
              </w:r>
            </w:hyperlink>
          </w:p>
        </w:tc>
      </w:tr>
    </w:tbl>
    <w:p>
      <w:pPr>
        <w:pStyle w:val="TextBody"/>
        <w:spacing w:before="80" w:after="283"/>
        <w:rPr/>
      </w:pPr>
      <w:r>
        <w:rPr/>
      </w:r>
    </w:p>
    <w:p>
      <w:pPr>
        <w:pStyle w:val="TextBody"/>
        <w:spacing w:before="36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60"/>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color w:val="000000"/>
        </w:rPr>
      </w:pPr>
      <w:r>
        <w:rPr>
          <w:color w:val="000000"/>
        </w:rPr>
        <w:t>    </w:t>
      </w: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share-related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539" w:type="dxa"/>
        <w:jc w:val="center"/>
        <w:tblInd w:w="0" w:type="dxa"/>
        <w:tblCellMar>
          <w:top w:w="28" w:type="dxa"/>
          <w:left w:w="28" w:type="dxa"/>
          <w:bottom w:w="28" w:type="dxa"/>
          <w:right w:w="28" w:type="dxa"/>
        </w:tblCellMar>
      </w:tblPr>
      <w:tblGrid>
        <w:gridCol w:w="2983"/>
        <w:gridCol w:w="2354"/>
        <w:gridCol w:w="2340"/>
        <w:gridCol w:w="220"/>
        <w:gridCol w:w="828"/>
        <w:gridCol w:w="122"/>
        <w:gridCol w:w="109"/>
        <w:gridCol w:w="109"/>
        <w:gridCol w:w="109"/>
        <w:gridCol w:w="245"/>
        <w:gridCol w:w="922"/>
        <w:gridCol w:w="198"/>
      </w:tblGrid>
      <w:tr>
        <w:trPr/>
        <w:tc>
          <w:tcPr>
            <w:tcW w:w="2983"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23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7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56,906 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112,346 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122,688 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140,181 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338,040 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61,791 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62,791 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49,085 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504,163 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71,373 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sales discounts, rebates and royalties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216,473 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235,757 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5,000,000 shares authorized; none issued or outstanding</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 shares authorized; 25,196,612 and 24,999,951 shares issued on March 31, 2023 and December 31, 2022, respectively</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329,729 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326,839 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12,348,491 and 12,295,305 shares on March 31, 2023 and December 31, 2022, respectively</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(369,006)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(368,194)</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269,335 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330,698 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211,039 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416,967 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504,163 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6670" w:type="dxa"/>
        <w:jc w:val="center"/>
        <w:tblInd w:w="0" w:type="dxa"/>
        <w:tblCellMar>
          <w:top w:w="28" w:type="dxa"/>
          <w:left w:w="28" w:type="dxa"/>
          <w:bottom w:w="28" w:type="dxa"/>
          <w:right w:w="28" w:type="dxa"/>
        </w:tblCellMar>
      </w:tblPr>
      <w:tblGrid>
        <w:gridCol w:w="1362"/>
        <w:gridCol w:w="1201"/>
        <w:gridCol w:w="1217"/>
        <w:gridCol w:w="196"/>
        <w:gridCol w:w="736"/>
        <w:gridCol w:w="109"/>
        <w:gridCol w:w="109"/>
        <w:gridCol w:w="109"/>
        <w:gridCol w:w="109"/>
        <w:gridCol w:w="196"/>
        <w:gridCol w:w="736"/>
        <w:gridCol w:w="109"/>
        <w:gridCol w:w="109"/>
        <w:gridCol w:w="109"/>
        <w:gridCol w:w="109"/>
        <w:gridCol w:w="154"/>
      </w:tblGrid>
      <w:tr>
        <w:trPr/>
        <w:tc>
          <w:tcPr>
            <w:tcW w:w="1362"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(loss) per share: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earnings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spacing w:before="340" w:after="34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COMPREHENSIVE INCOME (LOSS)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tbl>
      <w:tblPr>
        <w:tblW w:w="6523" w:type="dxa"/>
        <w:jc w:val="center"/>
        <w:tblInd w:w="0" w:type="dxa"/>
        <w:tblCellMar>
          <w:top w:w="28" w:type="dxa"/>
          <w:left w:w="28" w:type="dxa"/>
          <w:bottom w:w="28" w:type="dxa"/>
          <w:right w:w="28" w:type="dxa"/>
        </w:tblCellMar>
      </w:tblPr>
      <w:tblGrid>
        <w:gridCol w:w="1316"/>
        <w:gridCol w:w="1161"/>
        <w:gridCol w:w="1168"/>
        <w:gridCol w:w="205"/>
        <w:gridCol w:w="756"/>
        <w:gridCol w:w="114"/>
        <w:gridCol w:w="114"/>
        <w:gridCol w:w="114"/>
        <w:gridCol w:w="114"/>
        <w:gridCol w:w="205"/>
        <w:gridCol w:w="661"/>
        <w:gridCol w:w="114"/>
        <w:gridCol w:w="109"/>
        <w:gridCol w:w="109"/>
        <w:gridCol w:w="109"/>
        <w:gridCol w:w="154"/>
      </w:tblGrid>
      <w:tr>
        <w:trPr/>
        <w:tc>
          <w:tcPr>
            <w:tcW w:w="1316"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months ended March 31, 2023:</w:t>
      </w:r>
    </w:p>
    <w:tbl>
      <w:tblPr>
        <w:tblW w:w="11250" w:type="dxa"/>
        <w:jc w:val="left"/>
        <w:tblInd w:w="0" w:type="dxa"/>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lineRule="auto" w:line="288" w:before="100" w:after="283"/>
        <w:rPr>
          <w:rFonts w:ascii="Times New Roman;sans-serif" w:hAnsi="Times New Roman;sans-serif"/>
          <w:b w:val="false"/>
          <w:color w:val="000000"/>
          <w:sz w:val="18"/>
        </w:rPr>
      </w:pPr>
      <w:r>
        <w:rPr>
          <w:rFonts w:ascii="Times New Roman;sans-serif" w:hAnsi="Times New Roman;sans-serif"/>
          <w:b w:val="false"/>
          <w:color w:val="000000"/>
          <w:sz w:val="18"/>
        </w:rPr>
        <w:t>The following summarizes the changes in total equity for the three months ended March 31, 2022:</w:t>
      </w:r>
    </w:p>
    <w:tbl>
      <w:tblPr>
        <w:tblW w:w="11250" w:type="dxa"/>
        <w:jc w:val="center"/>
        <w:tblInd w:w="0" w:type="dxa"/>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in 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Paid-in </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pStyle w:val="TextBody"/>
        <w:spacing w:before="12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rPr>
          <w:color w:val="000000"/>
        </w:rPr>
      </w:pPr>
      <w:r>
        <w:rPr>
          <w:color w:val="000000"/>
        </w:rPr>
        <w:t> </w:t>
      </w:r>
    </w:p>
    <w:tbl>
      <w:tblPr>
        <w:tblW w:w="9432" w:type="dxa"/>
        <w:jc w:val="left"/>
        <w:tblInd w:w="0" w:type="dxa"/>
        <w:tblCellMar>
          <w:top w:w="28" w:type="dxa"/>
          <w:left w:w="28" w:type="dxa"/>
          <w:bottom w:w="28" w:type="dxa"/>
          <w:right w:w="28" w:type="dxa"/>
        </w:tblCellMar>
      </w:tblPr>
      <w:tblGrid>
        <w:gridCol w:w="2532"/>
        <w:gridCol w:w="2220"/>
        <w:gridCol w:w="2238"/>
        <w:gridCol w:w="204"/>
        <w:gridCol w:w="750"/>
        <w:gridCol w:w="113"/>
        <w:gridCol w:w="113"/>
        <w:gridCol w:w="113"/>
        <w:gridCol w:w="113"/>
        <w:gridCol w:w="204"/>
        <w:gridCol w:w="672"/>
        <w:gridCol w:w="160"/>
      </w:tblGrid>
      <w:tr>
        <w:trPr/>
        <w:tc>
          <w:tcPr>
            <w:tcW w:w="2532"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for) operating activities:</w:t>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for employee benefit plan</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and director stock-based compensation</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long-term assets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contract assets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operating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term deposit</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net assets of Qterics, Inc.</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intangible assets</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investing activities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line of credit</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on line of credit</w:t>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purchased</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 financing activities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 and cash equivalents</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w:t>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months ended March 31, 2023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Estimates and Assumptions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 included in our Annual Report on Form 10-K for the year ended December 31, 2022 for a summary of our significant accounting policies.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Updates Not Yet Effective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"Facilitation of the Effects of Reference Rate Reform on Financial Reporting", in January 2021, the FASB issued ASU 2021-01, "Reference Rate Reform", and in December 2022, the FASB issued ASU 2022-06, "Deferral of the Sunset Date of Topic 848".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2024. These amendments are not expected to have a material impact on our consolidated statement of financial position, results of operations and cash flows.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Cash, Cash Equivalents and Term Deposit</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held in the following geographic regions:</w:t>
      </w:r>
    </w:p>
    <w:tbl>
      <w:tblPr>
        <w:tblW w:w="6147" w:type="dxa"/>
        <w:jc w:val="left"/>
        <w:tblInd w:w="0" w:type="dxa"/>
        <w:tblCellMar>
          <w:top w:w="28" w:type="dxa"/>
          <w:left w:w="28" w:type="dxa"/>
          <w:bottom w:w="28" w:type="dxa"/>
          <w:right w:w="28" w:type="dxa"/>
        </w:tblCellMar>
      </w:tblPr>
      <w:tblGrid>
        <w:gridCol w:w="1089"/>
        <w:gridCol w:w="962"/>
        <w:gridCol w:w="964"/>
        <w:gridCol w:w="255"/>
        <w:gridCol w:w="873"/>
        <w:gridCol w:w="132"/>
        <w:gridCol w:w="109"/>
        <w:gridCol w:w="109"/>
        <w:gridCol w:w="109"/>
        <w:gridCol w:w="300"/>
        <w:gridCol w:w="1026"/>
        <w:gridCol w:w="219"/>
      </w:tblGrid>
      <w:tr>
        <w:trPr/>
        <w:tc>
          <w:tcPr>
            <w:tcW w:w="108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 ("PRC")</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the PRC)</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18,850</w:t>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America</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w:t>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2022, we entered into an $8.6 million, one-year term deposit cash account with Banco Santander (Brasil) S.A., denominated in Brazilian Real. The term deposit earned interest at a variable annual rate based upon the Brazilian CDI overnight interbank rate. As of December 31, 2022, all of this term deposit was redeemed. </w:t>
      </w:r>
    </w:p>
    <w:p>
      <w:pPr>
        <w:pStyle w:val="TextBody"/>
        <w:spacing w:before="8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Revenue and Accounts Receivable, Net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Revenue Details    </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pattern of revenue recognition was as follows:</w:t>
      </w:r>
    </w:p>
    <w:tbl>
      <w:tblPr>
        <w:tblW w:w="7104" w:type="dxa"/>
        <w:jc w:val="center"/>
        <w:tblInd w:w="0" w:type="dxa"/>
        <w:tblCellMar>
          <w:top w:w="28" w:type="dxa"/>
          <w:left w:w="28" w:type="dxa"/>
          <w:bottom w:w="28" w:type="dxa"/>
          <w:right w:w="28" w:type="dxa"/>
        </w:tblCellMar>
      </w:tblPr>
      <w:tblGrid>
        <w:gridCol w:w="1447"/>
        <w:gridCol w:w="1277"/>
        <w:gridCol w:w="1280"/>
        <w:gridCol w:w="211"/>
        <w:gridCol w:w="826"/>
        <w:gridCol w:w="109"/>
        <w:gridCol w:w="109"/>
        <w:gridCol w:w="109"/>
        <w:gridCol w:w="109"/>
        <w:gridCol w:w="211"/>
        <w:gridCol w:w="826"/>
        <w:gridCol w:w="109"/>
        <w:gridCol w:w="109"/>
        <w:gridCol w:w="109"/>
        <w:gridCol w:w="109"/>
        <w:gridCol w:w="154"/>
      </w:tblGrid>
      <w:tr>
        <w:trPr/>
        <w:tc>
          <w:tcPr>
            <w:tcW w:w="1447"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and services transferred over time</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to external customers by geographic area were as follows:</w:t>
      </w:r>
    </w:p>
    <w:tbl>
      <w:tblPr>
        <w:tblW w:w="5424" w:type="dxa"/>
        <w:jc w:val="left"/>
        <w:tblInd w:w="0" w:type="dxa"/>
        <w:tblCellMar>
          <w:top w:w="28" w:type="dxa"/>
          <w:left w:w="28" w:type="dxa"/>
          <w:bottom w:w="28" w:type="dxa"/>
          <w:right w:w="28" w:type="dxa"/>
        </w:tblCellMar>
      </w:tblPr>
      <w:tblGrid>
        <w:gridCol w:w="839"/>
        <w:gridCol w:w="741"/>
        <w:gridCol w:w="744"/>
        <w:gridCol w:w="211"/>
        <w:gridCol w:w="826"/>
        <w:gridCol w:w="109"/>
        <w:gridCol w:w="109"/>
        <w:gridCol w:w="109"/>
        <w:gridCol w:w="109"/>
        <w:gridCol w:w="211"/>
        <w:gridCol w:w="826"/>
        <w:gridCol w:w="109"/>
        <w:gridCol w:w="109"/>
        <w:gridCol w:w="109"/>
        <w:gridCol w:w="109"/>
        <w:gridCol w:w="154"/>
      </w:tblGrid>
      <w:tr>
        <w:trPr/>
        <w:tc>
          <w:tcPr>
            <w:tcW w:w="8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PRC)</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Specific identification of the customer billing location was the basis used for attributing revenues from external customers to geographic areas.</w:t>
      </w:r>
    </w:p>
    <w:p>
      <w:pPr>
        <w:pStyle w:val="TextBody"/>
        <w:spacing w:before="0" w:after="0"/>
        <w:jc w:val="both"/>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Net sales to the following customers totaled more than 10% of our net sales:</w:t>
      </w:r>
    </w:p>
    <w:tbl>
      <w:tblPr>
        <w:tblW w:w="7789" w:type="dxa"/>
        <w:jc w:val="left"/>
        <w:tblInd w:w="0" w:type="dxa"/>
        <w:tblCellMar>
          <w:top w:w="28" w:type="dxa"/>
          <w:left w:w="28" w:type="dxa"/>
          <w:bottom w:w="28" w:type="dxa"/>
          <w:right w:w="28" w:type="dxa"/>
        </w:tblCellMar>
      </w:tblPr>
      <w:tblGrid>
        <w:gridCol w:w="700"/>
        <w:gridCol w:w="616"/>
        <w:gridCol w:w="618"/>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55"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Corporation</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Daikin Industries Ltd. </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spacing w:before="0" w:after="0"/>
        <w:jc w:val="both"/>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were as follows:</w:t>
      </w:r>
    </w:p>
    <w:tbl>
      <w:tblPr>
        <w:tblW w:w="5425" w:type="dxa"/>
        <w:jc w:val="center"/>
        <w:tblInd w:w="0" w:type="dxa"/>
        <w:tblCellMar>
          <w:top w:w="28" w:type="dxa"/>
          <w:left w:w="28" w:type="dxa"/>
          <w:bottom w:w="28" w:type="dxa"/>
          <w:right w:w="28" w:type="dxa"/>
        </w:tblCellMar>
      </w:tblPr>
      <w:tblGrid>
        <w:gridCol w:w="829"/>
        <w:gridCol w:w="732"/>
        <w:gridCol w:w="734"/>
        <w:gridCol w:w="232"/>
        <w:gridCol w:w="908"/>
        <w:gridCol w:w="119"/>
        <w:gridCol w:w="109"/>
        <w:gridCol w:w="109"/>
        <w:gridCol w:w="109"/>
        <w:gridCol w:w="273"/>
        <w:gridCol w:w="1072"/>
        <w:gridCol w:w="199"/>
      </w:tblGrid>
      <w:tr>
        <w:trPr/>
        <w:tc>
          <w:tcPr>
            <w:tcW w:w="8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sales returns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106,371 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accounts receivable is primarily comprised of value added tax and supplier rebate receivables.</w:t>
      </w:r>
    </w:p>
    <w:p>
      <w:pPr>
        <w:pStyle w:val="TextBody"/>
        <w:spacing w:before="120" w:after="283"/>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Changes in the allowance for credit losses were as follows:</w:t>
      </w:r>
    </w:p>
    <w:tbl>
      <w:tblPr>
        <w:tblW w:w="6177" w:type="dxa"/>
        <w:jc w:val="center"/>
        <w:tblInd w:w="0" w:type="dxa"/>
        <w:tblCellMar>
          <w:top w:w="28" w:type="dxa"/>
          <w:left w:w="28" w:type="dxa"/>
          <w:bottom w:w="28" w:type="dxa"/>
          <w:right w:w="28" w:type="dxa"/>
        </w:tblCellMar>
      </w:tblPr>
      <w:tblGrid>
        <w:gridCol w:w="1350"/>
        <w:gridCol w:w="1191"/>
        <w:gridCol w:w="1194"/>
        <w:gridCol w:w="246"/>
        <w:gridCol w:w="544"/>
        <w:gridCol w:w="127"/>
        <w:gridCol w:w="127"/>
        <w:gridCol w:w="127"/>
        <w:gridCol w:w="127"/>
        <w:gridCol w:w="246"/>
        <w:gridCol w:w="719"/>
        <w:gridCol w:w="179"/>
      </w:tblGrid>
      <w:tr>
        <w:trPr/>
        <w:tc>
          <w:tcPr>
            <w:tcW w:w="1350"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73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735" w:type="dxa"/>
            <w:gridSpan w:val="3"/>
            <w:vMerge w:val="continue"/>
            <w:tcBorders/>
            <w:shd w:fill="auto" w:val="clear"/>
            <w:tcMar>
              <w:top w:w="0" w:type="dxa"/>
              <w:left w:w="0" w:type="dxa"/>
              <w:bottom w:w="0" w:type="dxa"/>
              <w:right w:w="0" w:type="dxa"/>
            </w:tcMar>
            <w:vAlign w:val="center"/>
          </w:tcPr>
          <w:p>
            <w:pPr>
              <w:pStyle w:val="Normal"/>
              <w:rPr/>
            </w:pPr>
            <w:r>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(reductions) to costs and expenses</w:t>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144"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Write-offs/Foreign exchange effects</w:t>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associated with these significant customers that totaled more than 10% of our accounts receivable, net were as follows:</w:t>
      </w:r>
    </w:p>
    <w:tbl>
      <w:tblPr>
        <w:tblW w:w="10081" w:type="dxa"/>
        <w:jc w:val="left"/>
        <w:tblInd w:w="0" w:type="dxa"/>
        <w:tblCellMar>
          <w:top w:w="28" w:type="dxa"/>
          <w:left w:w="28" w:type="dxa"/>
          <w:bottom w:w="28" w:type="dxa"/>
          <w:right w:w="28" w:type="dxa"/>
        </w:tblCellMar>
      </w:tblPr>
      <w:tblGrid>
        <w:gridCol w:w="684"/>
        <w:gridCol w:w="602"/>
        <w:gridCol w:w="604"/>
        <w:gridCol w:w="219"/>
        <w:gridCol w:w="748"/>
        <w:gridCol w:w="113"/>
        <w:gridCol w:w="109"/>
        <w:gridCol w:w="109"/>
        <w:gridCol w:w="109"/>
        <w:gridCol w:w="521"/>
        <w:gridCol w:w="521"/>
        <w:gridCol w:w="1297"/>
        <w:gridCol w:w="109"/>
        <w:gridCol w:w="109"/>
        <w:gridCol w:w="109"/>
        <w:gridCol w:w="219"/>
        <w:gridCol w:w="748"/>
        <w:gridCol w:w="113"/>
        <w:gridCol w:w="109"/>
        <w:gridCol w:w="109"/>
        <w:gridCol w:w="109"/>
        <w:gridCol w:w="521"/>
        <w:gridCol w:w="521"/>
        <w:gridCol w:w="1297"/>
        <w:gridCol w:w="109"/>
        <w:gridCol w:w="109"/>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Accounts Receivable,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Accounts Receivable, Net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Corporation</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Daikin Industries Ltd.</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3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Trade receivables associated with this customer did not total more than 10% of our accounts receivable, net for the indicated period.</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Inventories and Significant Supplier</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Inventories were as follows:</w:t>
      </w:r>
    </w:p>
    <w:tbl>
      <w:tblPr>
        <w:tblW w:w="4554" w:type="dxa"/>
        <w:jc w:val="left"/>
        <w:tblInd w:w="0" w:type="dxa"/>
        <w:tblCellMar>
          <w:top w:w="28" w:type="dxa"/>
          <w:left w:w="28" w:type="dxa"/>
          <w:bottom w:w="28" w:type="dxa"/>
          <w:right w:w="28" w:type="dxa"/>
        </w:tblCellMar>
      </w:tblPr>
      <w:tblGrid>
        <w:gridCol w:w="514"/>
        <w:gridCol w:w="454"/>
        <w:gridCol w:w="456"/>
        <w:gridCol w:w="232"/>
        <w:gridCol w:w="908"/>
        <w:gridCol w:w="119"/>
        <w:gridCol w:w="109"/>
        <w:gridCol w:w="109"/>
        <w:gridCol w:w="109"/>
        <w:gridCol w:w="273"/>
        <w:gridCol w:w="1072"/>
        <w:gridCol w:w="199"/>
      </w:tblGrid>
      <w:tr>
        <w:trPr/>
        <w:tc>
          <w:tcPr>
            <w:tcW w:w="51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Significant Supplier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Purchases from the following supplier totaled more than 10% of our total inventory purchases:</w:t>
      </w:r>
    </w:p>
    <w:tbl>
      <w:tblPr>
        <w:tblW w:w="10539" w:type="dxa"/>
        <w:jc w:val="center"/>
        <w:tblInd w:w="0" w:type="dxa"/>
        <w:tblCellMar>
          <w:top w:w="28" w:type="dxa"/>
          <w:left w:w="28" w:type="dxa"/>
          <w:bottom w:w="28" w:type="dxa"/>
          <w:right w:w="28" w:type="dxa"/>
        </w:tblCellMar>
      </w:tblPr>
      <w:tblGrid>
        <w:gridCol w:w="845"/>
        <w:gridCol w:w="742"/>
        <w:gridCol w:w="744"/>
        <w:gridCol w:w="312"/>
        <w:gridCol w:w="601"/>
        <w:gridCol w:w="163"/>
        <w:gridCol w:w="109"/>
        <w:gridCol w:w="109"/>
        <w:gridCol w:w="109"/>
        <w:gridCol w:w="521"/>
        <w:gridCol w:w="520"/>
        <w:gridCol w:w="1305"/>
        <w:gridCol w:w="109"/>
        <w:gridCol w:w="109"/>
        <w:gridCol w:w="109"/>
        <w:gridCol w:w="242"/>
        <w:gridCol w:w="707"/>
        <w:gridCol w:w="126"/>
        <w:gridCol w:w="109"/>
        <w:gridCol w:w="109"/>
        <w:gridCol w:w="109"/>
        <w:gridCol w:w="526"/>
        <w:gridCol w:w="520"/>
        <w:gridCol w:w="1305"/>
        <w:gridCol w:w="109"/>
        <w:gridCol w:w="109"/>
        <w:gridCol w:w="161"/>
      </w:tblGrid>
      <w:tr>
        <w:trPr/>
        <w:tc>
          <w:tcPr>
            <w:tcW w:w="84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8"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32"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Inventory Purchases</w:t>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Pte Ltd.</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0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Purchases associated with this supplier did not total more than 10% of our total inventory purchases for the indicated period.</w:t>
      </w:r>
    </w:p>
    <w:p>
      <w:pPr>
        <w:pStyle w:val="TextBody"/>
        <w:spacing w:lineRule="auto" w:line="288" w:before="2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purchases from suppliers that totaled more than 10% of our total accounts payable at March 31, 2023 and December 31, 2022.</w:t>
      </w:r>
    </w:p>
    <w:p>
      <w:pPr>
        <w:pStyle w:val="TextBody"/>
        <w:spacing w:before="0" w:after="60"/>
        <w:ind w:left="0" w:right="0" w:hanging="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Long-lived Tangible Assets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tangible assets by geographic area, which include property, plant, and equipment, net and operating lease right-of-use assets, were as follows:</w:t>
      </w:r>
    </w:p>
    <w:tbl>
      <w:tblPr>
        <w:tblW w:w="5816" w:type="dxa"/>
        <w:jc w:val="left"/>
        <w:tblInd w:w="0" w:type="dxa"/>
        <w:tblCellMar>
          <w:top w:w="28" w:type="dxa"/>
          <w:left w:w="28" w:type="dxa"/>
          <w:bottom w:w="28" w:type="dxa"/>
          <w:right w:w="28" w:type="dxa"/>
        </w:tblCellMar>
      </w:tblPr>
      <w:tblGrid>
        <w:gridCol w:w="969"/>
        <w:gridCol w:w="856"/>
        <w:gridCol w:w="859"/>
        <w:gridCol w:w="255"/>
        <w:gridCol w:w="873"/>
        <w:gridCol w:w="132"/>
        <w:gridCol w:w="109"/>
        <w:gridCol w:w="109"/>
        <w:gridCol w:w="109"/>
        <w:gridCol w:w="300"/>
        <w:gridCol w:w="1026"/>
        <w:gridCol w:w="219"/>
      </w:tblGrid>
      <w:tr>
        <w:trPr/>
        <w:tc>
          <w:tcPr>
            <w:tcW w:w="96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Vietnam</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tangible assets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shown net of accumulated depreciation of $171.8 million and $170.5 million at March 31, 2023 and December 31,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$4.6 million and $5.1 million for the three months ended March 31, 2023 and 2022, respectively. </w:t>
      </w:r>
    </w:p>
    <w:p>
      <w:pPr>
        <w:pStyle w:val="TextBody"/>
        <w:spacing w:before="0" w:after="0"/>
        <w:ind w:left="0" w:right="0" w:hanging="36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implied control premium over our market capitalization to be substantial, therefore, we recorded an impairment charge of $49.1 million during the three months ended March 31, 2023.</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were as follows:</w:t>
      </w:r>
    </w:p>
    <w:tbl>
      <w:tblPr>
        <w:tblW w:w="3680" w:type="dxa"/>
        <w:jc w:val="left"/>
        <w:tblInd w:w="0" w:type="dxa"/>
        <w:tblCellMar>
          <w:top w:w="28" w:type="dxa"/>
          <w:left w:w="28" w:type="dxa"/>
          <w:bottom w:w="28" w:type="dxa"/>
          <w:right w:w="28" w:type="dxa"/>
        </w:tblCellMar>
      </w:tblPr>
      <w:tblGrid>
        <w:gridCol w:w="936"/>
        <w:gridCol w:w="826"/>
        <w:gridCol w:w="832"/>
        <w:gridCol w:w="211"/>
        <w:gridCol w:w="721"/>
        <w:gridCol w:w="154"/>
      </w:tblGrid>
      <w:tr>
        <w:trPr/>
        <w:tc>
          <w:tcPr>
            <w:tcW w:w="93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539" w:type="dxa"/>
        <w:jc w:val="left"/>
        <w:tblInd w:w="0" w:type="dxa"/>
        <w:tblCellMar>
          <w:top w:w="28" w:type="dxa"/>
          <w:left w:w="28" w:type="dxa"/>
          <w:bottom w:w="28" w:type="dxa"/>
          <w:right w:w="28" w:type="dxa"/>
        </w:tblCellMar>
      </w:tblPr>
      <w:tblGrid>
        <w:gridCol w:w="864"/>
        <w:gridCol w:w="761"/>
        <w:gridCol w:w="770"/>
        <w:gridCol w:w="211"/>
        <w:gridCol w:w="721"/>
        <w:gridCol w:w="109"/>
        <w:gridCol w:w="109"/>
        <w:gridCol w:w="109"/>
        <w:gridCol w:w="109"/>
        <w:gridCol w:w="221"/>
        <w:gridCol w:w="814"/>
        <w:gridCol w:w="114"/>
        <w:gridCol w:w="109"/>
        <w:gridCol w:w="109"/>
        <w:gridCol w:w="109"/>
        <w:gridCol w:w="211"/>
        <w:gridCol w:w="721"/>
        <w:gridCol w:w="109"/>
        <w:gridCol w:w="109"/>
        <w:gridCol w:w="109"/>
        <w:gridCol w:w="109"/>
        <w:gridCol w:w="211"/>
        <w:gridCol w:w="721"/>
        <w:gridCol w:w="109"/>
        <w:gridCol w:w="109"/>
        <w:gridCol w:w="109"/>
        <w:gridCol w:w="109"/>
        <w:gridCol w:w="221"/>
        <w:gridCol w:w="814"/>
        <w:gridCol w:w="114"/>
        <w:gridCol w:w="109"/>
        <w:gridCol w:w="109"/>
        <w:gridCol w:w="109"/>
        <w:gridCol w:w="211"/>
        <w:gridCol w:w="721"/>
        <w:gridCol w:w="156"/>
      </w:tblGrid>
      <w:tr>
        <w:trPr/>
        <w:tc>
          <w:tcPr>
            <w:tcW w:w="86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Gross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40" w:before="0" w:after="0"/>
              <w:jc w:val="center"/>
              <w:rPr/>
            </w:pPr>
            <w:r>
              <w:rPr>
                <w:rFonts w:ascii="Times New Roman;sans-serif" w:hAnsi="Times New Roman;sans-serif"/>
                <w:b/>
                <w:color w:val="000000"/>
                <w:sz w:val="16"/>
              </w:rPr>
              <w:t xml:space="preserve">Amortization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3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(2 years)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and core technology </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rights (10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Patents (10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(10,790)</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table excludes the gross value of fully amortized intangible assets totaling $44.0 million and $43.7 million at March 31, 2023 and December 31, 2022,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6612" w:type="dxa"/>
        <w:jc w:val="left"/>
        <w:tblInd w:w="0" w:type="dxa"/>
        <w:tblCellMar>
          <w:top w:w="28" w:type="dxa"/>
          <w:left w:w="28" w:type="dxa"/>
          <w:bottom w:w="28" w:type="dxa"/>
          <w:right w:w="28" w:type="dxa"/>
        </w:tblCellMar>
      </w:tblPr>
      <w:tblGrid>
        <w:gridCol w:w="1348"/>
        <w:gridCol w:w="1189"/>
        <w:gridCol w:w="1198"/>
        <w:gridCol w:w="247"/>
        <w:gridCol w:w="721"/>
        <w:gridCol w:w="127"/>
        <w:gridCol w:w="127"/>
        <w:gridCol w:w="127"/>
        <w:gridCol w:w="127"/>
        <w:gridCol w:w="247"/>
        <w:gridCol w:w="546"/>
        <w:gridCol w:w="127"/>
        <w:gridCol w:w="109"/>
        <w:gridCol w:w="109"/>
        <w:gridCol w:w="109"/>
        <w:gridCol w:w="154"/>
      </w:tblGrid>
      <w:tr>
        <w:trPr/>
        <w:tc>
          <w:tcPr>
            <w:tcW w:w="1348"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35" w:type="dxa"/>
            <w:gridSpan w:val="3"/>
            <w:vMerge w:val="continue"/>
            <w:tcBorders/>
            <w:shd w:fill="auto" w:val="clear"/>
            <w:tcMar>
              <w:top w:w="0" w:type="dxa"/>
              <w:left w:w="0" w:type="dxa"/>
              <w:bottom w:w="0" w:type="dxa"/>
              <w:right w:w="0" w:type="dxa"/>
            </w:tcMar>
            <w:vAlign w:val="center"/>
          </w:tcPr>
          <w:p>
            <w:pPr>
              <w:pStyle w:val="Normal"/>
              <w:rPr/>
            </w:pPr>
            <w:r>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expense related to our intangible assets at March 31, 2023, was as follows:</w:t>
      </w:r>
    </w:p>
    <w:tbl>
      <w:tblPr>
        <w:tblW w:w="3410" w:type="dxa"/>
        <w:jc w:val="left"/>
        <w:tblInd w:w="0" w:type="dxa"/>
        <w:tblCellMar>
          <w:top w:w="28" w:type="dxa"/>
          <w:left w:w="28" w:type="dxa"/>
          <w:bottom w:w="28" w:type="dxa"/>
          <w:right w:w="28" w:type="dxa"/>
        </w:tblCellMar>
      </w:tblPr>
      <w:tblGrid>
        <w:gridCol w:w="840"/>
        <w:gridCol w:w="741"/>
        <w:gridCol w:w="743"/>
        <w:gridCol w:w="211"/>
        <w:gridCol w:w="721"/>
        <w:gridCol w:w="154"/>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9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Leases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various operating lease agreements for automobiles, offices and manufacturing facilities throughout the world. At March 31, 2023, our operating leases had remaining lease terms of up to 38 years, including any reasonably probable extensions.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balances within our consolidated balance sheet were as follows:</w:t>
      </w:r>
    </w:p>
    <w:tbl>
      <w:tblPr>
        <w:tblW w:w="6357" w:type="dxa"/>
        <w:jc w:val="center"/>
        <w:tblInd w:w="0" w:type="dxa"/>
        <w:tblCellMar>
          <w:top w:w="28" w:type="dxa"/>
          <w:left w:w="28" w:type="dxa"/>
          <w:bottom w:w="28" w:type="dxa"/>
          <w:right w:w="28" w:type="dxa"/>
        </w:tblCellMar>
      </w:tblPr>
      <w:tblGrid>
        <w:gridCol w:w="1166"/>
        <w:gridCol w:w="1028"/>
        <w:gridCol w:w="1031"/>
        <w:gridCol w:w="255"/>
        <w:gridCol w:w="873"/>
        <w:gridCol w:w="132"/>
        <w:gridCol w:w="109"/>
        <w:gridCol w:w="109"/>
        <w:gridCol w:w="109"/>
        <w:gridCol w:w="300"/>
        <w:gridCol w:w="1026"/>
        <w:gridCol w:w="219"/>
      </w:tblGrid>
      <w:tr>
        <w:trPr/>
        <w:tc>
          <w:tcPr>
            <w:tcW w:w="116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expense, including variable and short-term lease costs, which were insignificant to the total operating lease cash flows, and supplemental cash flow information were as follows:</w:t>
      </w:r>
    </w:p>
    <w:tbl>
      <w:tblPr>
        <w:tblW w:w="8813" w:type="dxa"/>
        <w:jc w:val="center"/>
        <w:tblInd w:w="0" w:type="dxa"/>
        <w:tblCellMar>
          <w:top w:w="28" w:type="dxa"/>
          <w:left w:w="28" w:type="dxa"/>
          <w:bottom w:w="28" w:type="dxa"/>
          <w:right w:w="28" w:type="dxa"/>
        </w:tblCellMar>
      </w:tblPr>
      <w:tblGrid>
        <w:gridCol w:w="2301"/>
        <w:gridCol w:w="2029"/>
        <w:gridCol w:w="2044"/>
        <w:gridCol w:w="229"/>
        <w:gridCol w:w="671"/>
        <w:gridCol w:w="118"/>
        <w:gridCol w:w="118"/>
        <w:gridCol w:w="118"/>
        <w:gridCol w:w="118"/>
        <w:gridCol w:w="229"/>
        <w:gridCol w:w="671"/>
        <w:gridCol w:w="167"/>
      </w:tblGrid>
      <w:tr>
        <w:trPr/>
        <w:tc>
          <w:tcPr>
            <w:tcW w:w="2301"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637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374" w:type="dxa"/>
            <w:gridSpan w:val="3"/>
            <w:vMerge w:val="continue"/>
            <w:tcBorders/>
            <w:shd w:fill="auto" w:val="clear"/>
            <w:tcMar>
              <w:top w:w="0" w:type="dxa"/>
              <w:left w:w="0" w:type="dxa"/>
              <w:bottom w:w="0" w:type="dxa"/>
              <w:right w:w="0" w:type="dxa"/>
            </w:tcMar>
            <w:vAlign w:val="center"/>
          </w:tcPr>
          <w:p>
            <w:pPr>
              <w:pStyle w:val="Normal"/>
              <w:rPr/>
            </w:pPr>
            <w:r>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lease obligations</w:t>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6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liability term and the weighted average discount rate were as follows:</w:t>
      </w:r>
    </w:p>
    <w:tbl>
      <w:tblPr>
        <w:tblW w:w="7076" w:type="dxa"/>
        <w:jc w:val="center"/>
        <w:tblInd w:w="0" w:type="dxa"/>
        <w:tblCellMar>
          <w:top w:w="28" w:type="dxa"/>
          <w:left w:w="28" w:type="dxa"/>
          <w:bottom w:w="28" w:type="dxa"/>
          <w:right w:w="28" w:type="dxa"/>
        </w:tblCellMar>
      </w:tblPr>
      <w:tblGrid>
        <w:gridCol w:w="1430"/>
        <w:gridCol w:w="1253"/>
        <w:gridCol w:w="1262"/>
        <w:gridCol w:w="279"/>
        <w:gridCol w:w="279"/>
        <w:gridCol w:w="701"/>
        <w:gridCol w:w="109"/>
        <w:gridCol w:w="109"/>
        <w:gridCol w:w="109"/>
        <w:gridCol w:w="314"/>
        <w:gridCol w:w="314"/>
        <w:gridCol w:w="917"/>
      </w:tblGrid>
      <w:tr>
        <w:trPr/>
        <w:tc>
          <w:tcPr>
            <w:tcW w:w="1430"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liability term (in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7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undiscounted cash flows for each of the first five years and thereafter to the operating lease liabilities recognized in our consolidated balance sheet at March 31, 2023. The reconciliation excludes short-term leases that are not recorded on the balance sheet. </w:t>
      </w:r>
    </w:p>
    <w:tbl>
      <w:tblPr>
        <w:tblW w:w="3629" w:type="dxa"/>
        <w:jc w:val="center"/>
        <w:tblInd w:w="0" w:type="dxa"/>
        <w:tblCellMar>
          <w:top w:w="28" w:type="dxa"/>
          <w:left w:w="28" w:type="dxa"/>
          <w:bottom w:w="28" w:type="dxa"/>
          <w:right w:w="28" w:type="dxa"/>
        </w:tblCellMar>
      </w:tblPr>
      <w:tblGrid>
        <w:gridCol w:w="840"/>
        <w:gridCol w:w="741"/>
        <w:gridCol w:w="743"/>
        <w:gridCol w:w="253"/>
        <w:gridCol w:w="867"/>
        <w:gridCol w:w="185"/>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9 months)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one operating lease with a three-year term that had not yet commenced. The total initial lease liability, which is immaterial to the balance sheet, is not reflected within the above maturity schedule.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Line of Credit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Second Amended and Restated Credit Agreement ("Second Amended Credit Agreement") with U.S. Bank 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March 31, 2023 and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obligations under the Credit Line are secured by substantially all of our U.S. personal property and tangible and intangible assets, as well as a guaranty of the Credit Line by our wholly-owned subsidiary, Universal Electronics BV.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 Agreement. The interest rates in effect at March 31, 2023 and December 31, 2022 were 6.10% and 5.62%, respectively. There are no commitment fees or unused line fees under the Second Amended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March 31, 2023, we were in compliance with the covenants and conditions of the Second Amended Credit Agreement.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we had $85.0 million and $88.0 million outstanding under the Credit Line, respectively. Our total interest expense on borrowings was $1.4 million and $0.3 million during the three months ended March 31, 2023 and 2022,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2023, we executed an amendment to our Second Amended Credit Agreement, which extends the term to April 30, 2024. Under the amended agreement, we may elect to pay interest on the Credit Line based on the Secured Overnight Financing Rate ("SOFR") plus an applicable margin (varying from 2.00% to 2.75%), or base rate (based on the prime rate of U.S. Bank or as otherwise specified in the Second Amended Credit Agreement) plus an applicable margin (varying from 0.00% to 0.75%). From May 3, 2023 to March 31, 2024 (unless we elect to terminate earlier), our fixed charge coverage ratio and cash flow leverage ratio-based covenants are temporarily replaced with EBITDA-based covenants. Additionally, from May 3, 2023 to March 31, 2024 (unless we elect to terminate the temporary covenant provision earlier) the applicable margins are fixed at 2.75% and 0.75% for SOFR and base rate borrowing, respectively.</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$0.7 million and $2.4 million for the three months ended March 31, 2023 and 2022, respectively. The difference in income tax recorded for the three months ended March 31, 2023 and 2022 is primarily due to the mix of pre‐tax income among jurisdictions, including losses not benefited as a result of a valuation allowance and a discrete benefit related to the impairment of goodwill. In addition, China received the high technology exemption during the three months ended March 31, 2023, which reduced the deferred tax assets to the new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Company's effective tax rate and the 21.0% U.S. federal statutory rate for the three months ended March 31, 2023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2022, we had a three-year cumulative operating loss for our U.S. operations and, accordingly, have provided a full valuation allowance on our U.S. federal and state deferred tax assets. During the three months ended March 31, 2023, there was no change to our valuation allowance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had gross unrecognized tax benefits of $3.2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classify interest and penalties as a component of tax expense. Accrued interest and penalties are immaterial at March 31, 2023 and December 31, 2022 and are included in the unrecognized tax benefits.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 Accrued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accrued compensation were as follows:</w:t>
      </w:r>
    </w:p>
    <w:tbl>
      <w:tblPr>
        <w:tblW w:w="5562" w:type="dxa"/>
        <w:jc w:val="left"/>
        <w:tblInd w:w="0" w:type="dxa"/>
        <w:tblCellMar>
          <w:top w:w="28" w:type="dxa"/>
          <w:left w:w="28" w:type="dxa"/>
          <w:bottom w:w="28" w:type="dxa"/>
          <w:right w:w="28" w:type="dxa"/>
        </w:tblCellMar>
      </w:tblPr>
      <w:tblGrid>
        <w:gridCol w:w="878"/>
        <w:gridCol w:w="775"/>
        <w:gridCol w:w="777"/>
        <w:gridCol w:w="255"/>
        <w:gridCol w:w="873"/>
        <w:gridCol w:w="132"/>
        <w:gridCol w:w="109"/>
        <w:gridCol w:w="109"/>
        <w:gridCol w:w="109"/>
        <w:gridCol w:w="300"/>
        <w:gridCol w:w="1026"/>
        <w:gridCol w:w="219"/>
      </w:tblGrid>
      <w:tr>
        <w:trPr/>
        <w:tc>
          <w:tcPr>
            <w:tcW w:w="87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salary/wages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social insurance </w:t>
            </w:r>
            <w:r>
              <w:rPr>
                <w:rFonts w:ascii="Times New Roman;sans-serif" w:hAnsi="Times New Roman;sans-serif"/>
                <w:b w:val="false"/>
                <w:color w:val="000000"/>
                <w:sz w:val="13"/>
              </w:rPr>
              <w:t>(1)</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vacation/holiday</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compensation</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compensation</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2023 and December 31, 2022.</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Other Accrued Liabilities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accrued liabilities were as follows:</w:t>
      </w:r>
    </w:p>
    <w:tbl>
      <w:tblPr>
        <w:tblW w:w="7961" w:type="dxa"/>
        <w:jc w:val="left"/>
        <w:tblInd w:w="0" w:type="dxa"/>
        <w:tblCellMar>
          <w:top w:w="28" w:type="dxa"/>
          <w:left w:w="28" w:type="dxa"/>
          <w:bottom w:w="28" w:type="dxa"/>
          <w:right w:w="28" w:type="dxa"/>
        </w:tblCellMar>
      </w:tblPr>
      <w:tblGrid>
        <w:gridCol w:w="1746"/>
        <w:gridCol w:w="1540"/>
        <w:gridCol w:w="1543"/>
        <w:gridCol w:w="255"/>
        <w:gridCol w:w="873"/>
        <w:gridCol w:w="132"/>
        <w:gridCol w:w="109"/>
        <w:gridCol w:w="109"/>
        <w:gridCol w:w="109"/>
        <w:gridCol w:w="300"/>
        <w:gridCol w:w="1026"/>
        <w:gridCol w:w="219"/>
      </w:tblGrid>
      <w:tr>
        <w:trPr/>
        <w:tc>
          <w:tcPr>
            <w:tcW w:w="1746"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associated with fulfilled performance obligations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 and handling fees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warranty claims costs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value added taxes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accrued liabilities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Changes in the liability for product warranty claims costs were as follows:</w:t>
      </w:r>
    </w:p>
    <w:tbl>
      <w:tblPr>
        <w:tblW w:w="6536" w:type="dxa"/>
        <w:jc w:val="left"/>
        <w:tblInd w:w="0" w:type="dxa"/>
        <w:tblCellMar>
          <w:top w:w="28" w:type="dxa"/>
          <w:left w:w="28" w:type="dxa"/>
          <w:bottom w:w="28" w:type="dxa"/>
          <w:right w:w="28" w:type="dxa"/>
        </w:tblCellMar>
      </w:tblPr>
      <w:tblGrid>
        <w:gridCol w:w="1479"/>
        <w:gridCol w:w="1306"/>
        <w:gridCol w:w="1309"/>
        <w:gridCol w:w="246"/>
        <w:gridCol w:w="544"/>
        <w:gridCol w:w="127"/>
        <w:gridCol w:w="127"/>
        <w:gridCol w:w="127"/>
        <w:gridCol w:w="127"/>
        <w:gridCol w:w="246"/>
        <w:gridCol w:w="719"/>
        <w:gridCol w:w="179"/>
      </w:tblGrid>
      <w:tr>
        <w:trPr/>
        <w:tc>
          <w:tcPr>
            <w:tcW w:w="147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09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94" w:type="dxa"/>
            <w:gridSpan w:val="3"/>
            <w:vMerge w:val="continue"/>
            <w:tcBorders/>
            <w:shd w:fill="auto" w:val="clear"/>
            <w:tcMar>
              <w:top w:w="0" w:type="dxa"/>
              <w:left w:w="0" w:type="dxa"/>
              <w:bottom w:w="0" w:type="dxa"/>
              <w:right w:w="0" w:type="dxa"/>
            </w:tcMar>
            <w:vAlign w:val="center"/>
          </w:tcPr>
          <w:p>
            <w:pPr>
              <w:pStyle w:val="Normal"/>
              <w:rPr/>
            </w:pPr>
            <w:r>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(in cash or in kind) during the period</w:t>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Roku Matters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2018 Lawsuit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This lawsuit continues to be stayed until such time as the IPR's and all appeals with respect to them have concluded.</w:t>
      </w:r>
    </w:p>
    <w:p>
      <w:pPr>
        <w:pStyle w:val="TextBody"/>
        <w:spacing w:before="0" w:after="0"/>
        <w:jc w:val="both"/>
        <w:rPr/>
      </w:pPr>
      <w:r>
        <w:rPr/>
      </w:r>
    </w:p>
    <w:p>
      <w:pPr>
        <w:pStyle w:val="TextBody"/>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of Roku, TCL, Hisense and Funai</w:t>
      </w:r>
    </w:p>
    <w:p>
      <w:pPr>
        <w:pStyle w:val="TextBody"/>
        <w:spacing w:before="0" w:after="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Roku continues to be subject to the LEO and CDO. On October 25, 2022, we filed our brief opposing Roku's appeal of the LEO.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Lawsuit</w:t>
      </w:r>
    </w:p>
    <w:p>
      <w:pPr>
        <w:pStyle w:val="TextBody"/>
        <w:spacing w:before="0" w:after="4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pStyle w:val="TextBody"/>
        <w:spacing w:before="0" w:after="0"/>
        <w:rPr/>
      </w:pPr>
      <w:r>
        <w:rPr/>
      </w:r>
    </w:p>
    <w:p>
      <w:pPr>
        <w:pStyle w:val="TextBody"/>
        <w:spacing w:lineRule="auto" w:line="288" w:before="0" w:after="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 Partes Reviews</w:t>
      </w:r>
    </w:p>
    <w:p>
      <w:pPr>
        <w:pStyle w:val="TextBody"/>
        <w:spacing w:before="0" w:after="40"/>
        <w:jc w:val="both"/>
        <w:rPr/>
      </w:pPr>
      <w:r>
        <w:rPr/>
      </w:r>
    </w:p>
    <w:p>
      <w:pPr>
        <w:pStyle w:val="TextBody"/>
        <w:spacing w:lineRule="auto" w:line="288" w:before="0" w:after="0"/>
        <w:jc w:val="both"/>
        <w:rPr/>
      </w:pPr>
      <w:r>
        <w:rPr>
          <w:rFonts w:ascii="Times New Roman;sans-serif" w:hAnsi="Times New Roman;sans-serif"/>
          <w:b w:val="false"/>
          <w:color w:val="000000"/>
          <w:sz w:val="20"/>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We have appealed all but one PTAB decisi</w:t>
      </w:r>
      <w:r>
        <w:rPr>
          <w:rFonts w:ascii="Times New Roman;sans-serif" w:hAnsi="Times New Roman;sans-serif"/>
          <w:b w:val="false"/>
          <w:color w:val="000000"/>
          <w:sz w:val="20"/>
          <w:highlight w:val="white"/>
        </w:rPr>
        <w:t>on that resulted i</w:t>
      </w:r>
      <w:r>
        <w:rPr>
          <w:rFonts w:ascii="Times New Roman;sans-serif" w:hAnsi="Times New Roman;sans-serif"/>
          <w:b w:val="false"/>
          <w:color w:val="000000"/>
          <w:sz w:val="20"/>
        </w:rPr>
        <w:t>n an invalidation of our patent claims and we will continue to do so.</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 Trade Commission Investigation Request Made by Roku against UEI and certain UEI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initiate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her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the '875 IPR investigation, even after Roku's appeal of the ITC case has concluded.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Court of International Trade Action against the United States of America, et. al.</w:t>
      </w:r>
    </w:p>
    <w:p>
      <w:pPr>
        <w:pStyle w:val="TextBody"/>
        <w:spacing w:before="0" w:after="4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March 17, 2023, the CIT sustained the List 3 and List 4 tariffs, concluding that USTR’s rationale in support of the tariffs was not impermissibly post hoc. The court also concluded that USTR adequately explained its reliance on presidential direction and adequately responded to significant comments regarding the harm to the US economy, efficacy of the tariffs, and alternatives to the tariffs. We expect lead plaintiffs to appeal this decision.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Treasury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Board of Directors authorizes management to repurchase shares of our issued and outstanding common stock. Our share repurchase programs typically utilize various methods to effect the repurchases, including open market repurchases, negotiated block transactions, accelerated share repurchases or open market solicitations for shares, some or all of which could be effected through Rule 10b5-1 plans. We do not currently have any approved repurchase programs in progress.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repurchase shares of our issued and outstanding common stock to satisfy the cost of stock option exercises and/or income tax withholding obligations relating to the stock-based compensation of our employees and directors.</w:t>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Repurchased shares of our common stock were as follows: </w:t>
      </w:r>
    </w:p>
    <w:tbl>
      <w:tblPr>
        <w:tblW w:w="7497" w:type="dxa"/>
        <w:jc w:val="left"/>
        <w:tblInd w:w="0" w:type="dxa"/>
        <w:tblCellMar>
          <w:top w:w="28" w:type="dxa"/>
          <w:left w:w="28" w:type="dxa"/>
          <w:bottom w:w="28" w:type="dxa"/>
          <w:right w:w="28" w:type="dxa"/>
        </w:tblCellMar>
      </w:tblPr>
      <w:tblGrid>
        <w:gridCol w:w="1827"/>
        <w:gridCol w:w="1612"/>
        <w:gridCol w:w="1616"/>
        <w:gridCol w:w="246"/>
        <w:gridCol w:w="544"/>
        <w:gridCol w:w="127"/>
        <w:gridCol w:w="127"/>
        <w:gridCol w:w="127"/>
        <w:gridCol w:w="127"/>
        <w:gridCol w:w="246"/>
        <w:gridCol w:w="719"/>
        <w:gridCol w:w="179"/>
      </w:tblGrid>
      <w:tr>
        <w:trPr/>
        <w:tc>
          <w:tcPr>
            <w:tcW w:w="1827"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market shares repurchased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shares repurchased</w:t>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repurchased</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open market shares repurchased</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stock-based compensation related shares repurchased</w:t>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shares repurchased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are recorded as shares held in treasury at cost. We hold these shares for future use as management and the Board of Directors deem appropriate.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Stock-Based Compensation</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8189" w:type="dxa"/>
        <w:jc w:val="left"/>
        <w:tblInd w:w="0" w:type="dxa"/>
        <w:tblCellMar>
          <w:top w:w="28" w:type="dxa"/>
          <w:left w:w="28" w:type="dxa"/>
          <w:bottom w:w="28" w:type="dxa"/>
          <w:right w:w="28" w:type="dxa"/>
        </w:tblCellMar>
      </w:tblPr>
      <w:tblGrid>
        <w:gridCol w:w="1917"/>
        <w:gridCol w:w="1687"/>
        <w:gridCol w:w="1705"/>
        <w:gridCol w:w="230"/>
        <w:gridCol w:w="672"/>
        <w:gridCol w:w="119"/>
        <w:gridCol w:w="119"/>
        <w:gridCol w:w="119"/>
        <w:gridCol w:w="119"/>
        <w:gridCol w:w="230"/>
        <w:gridCol w:w="672"/>
        <w:gridCol w:w="119"/>
        <w:gridCol w:w="109"/>
        <w:gridCol w:w="109"/>
        <w:gridCol w:w="109"/>
        <w:gridCol w:w="154"/>
      </w:tblGrid>
      <w:tr>
        <w:trPr/>
        <w:tc>
          <w:tcPr>
            <w:tcW w:w="1917"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Outside directors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employee and director stock-based compensation expense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Stock option activity was as follows:    </w:t>
      </w:r>
    </w:p>
    <w:tbl>
      <w:tblPr>
        <w:tblW w:w="10539" w:type="dxa"/>
        <w:jc w:val="left"/>
        <w:tblInd w:w="0" w:type="dxa"/>
        <w:tblCellMar>
          <w:top w:w="28" w:type="dxa"/>
          <w:left w:w="28" w:type="dxa"/>
          <w:bottom w:w="28" w:type="dxa"/>
          <w:right w:w="28" w:type="dxa"/>
        </w:tblCellMar>
      </w:tblPr>
      <w:tblGrid>
        <w:gridCol w:w="929"/>
        <w:gridCol w:w="816"/>
        <w:gridCol w:w="818"/>
        <w:gridCol w:w="377"/>
        <w:gridCol w:w="377"/>
        <w:gridCol w:w="379"/>
        <w:gridCol w:w="109"/>
        <w:gridCol w:w="109"/>
        <w:gridCol w:w="109"/>
        <w:gridCol w:w="440"/>
        <w:gridCol w:w="1289"/>
        <w:gridCol w:w="228"/>
        <w:gridCol w:w="109"/>
        <w:gridCol w:w="109"/>
        <w:gridCol w:w="109"/>
        <w:gridCol w:w="824"/>
        <w:gridCol w:w="824"/>
        <w:gridCol w:w="825"/>
        <w:gridCol w:w="109"/>
        <w:gridCol w:w="109"/>
        <w:gridCol w:w="109"/>
        <w:gridCol w:w="388"/>
        <w:gridCol w:w="749"/>
        <w:gridCol w:w="295"/>
      </w:tblGrid>
      <w:tr>
        <w:trPr/>
        <w:tc>
          <w:tcPr>
            <w:tcW w:w="92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br/>
              <w:t>(in thousands)</w:t>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Forfeited/canceled/expired</w:t>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Outstanding at March 31, 2023</w:t>
            </w:r>
            <w:r>
              <w:rPr>
                <w:color w:val="000000"/>
              </w:rPr>
              <w:t xml:space="preserve"> </w:t>
            </w:r>
            <w:r>
              <w:rPr>
                <w:rFonts w:ascii="Times New Roman;sans-serif" w:hAnsi="Times New Roman;sans-serif"/>
                <w:b w:val="false"/>
                <w:color w:val="000000"/>
                <w:sz w:val="13"/>
              </w:rPr>
              <w:t>(1)</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 and expected to vest at March 31, 2023</w:t>
            </w:r>
            <w:r>
              <w:rPr>
                <w:color w:val="000000"/>
              </w:rPr>
              <w:t xml:space="preserve"> </w:t>
            </w:r>
            <w:r>
              <w:rPr>
                <w:rFonts w:ascii="Times New Roman;sans-serif" w:hAnsi="Times New Roman;sans-serif"/>
                <w:b w:val="false"/>
                <w:color w:val="000000"/>
                <w:sz w:val="13"/>
              </w:rPr>
              <w:t>(1)</w:t>
            </w:r>
          </w:p>
        </w:tc>
        <w:tc>
          <w:tcPr>
            <w:tcW w:w="75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37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Exercisable at March 31, 2023</w:t>
            </w:r>
            <w:r>
              <w:rPr>
                <w:color w:val="000000"/>
              </w:rPr>
              <w:t xml:space="preserve"> </w:t>
            </w:r>
            <w:r>
              <w:rPr>
                <w:rFonts w:ascii="Times New Roman;sans-serif" w:hAnsi="Times New Roman;sans-serif"/>
                <w:b w:val="false"/>
                <w:color w:val="000000"/>
                <w:sz w:val="13"/>
              </w:rPr>
              <w:t>(1)</w:t>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aggregate intrinsic value represents the total pre-tax value (the difference between our closing stock price on the last trading day of the first quarter of 2023 and the exercise price, multiplied by the number of in-the-money options) that would have been received by the option holders had they all exercised their options on March 31, 2023. This amount will change based on the fair market value of our stock.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we utilized in the Black-Scholes option pricing model and the resulting weighted average fair value of stock option grants were the following:</w:t>
      </w:r>
    </w:p>
    <w:tbl>
      <w:tblPr>
        <w:tblW w:w="6154" w:type="dxa"/>
        <w:jc w:val="left"/>
        <w:tblInd w:w="0" w:type="dxa"/>
        <w:tblCellMar>
          <w:top w:w="28" w:type="dxa"/>
          <w:left w:w="28" w:type="dxa"/>
          <w:bottom w:w="28" w:type="dxa"/>
          <w:right w:w="28" w:type="dxa"/>
        </w:tblCellMar>
      </w:tblPr>
      <w:tblGrid>
        <w:gridCol w:w="1142"/>
        <w:gridCol w:w="1001"/>
        <w:gridCol w:w="1007"/>
        <w:gridCol w:w="211"/>
        <w:gridCol w:w="616"/>
        <w:gridCol w:w="271"/>
        <w:gridCol w:w="109"/>
        <w:gridCol w:w="109"/>
        <w:gridCol w:w="109"/>
        <w:gridCol w:w="211"/>
        <w:gridCol w:w="616"/>
        <w:gridCol w:w="271"/>
        <w:gridCol w:w="109"/>
        <w:gridCol w:w="109"/>
        <w:gridCol w:w="109"/>
        <w:gridCol w:w="154"/>
      </w:tblGrid>
      <w:tr>
        <w:trPr/>
        <w:tc>
          <w:tcPr>
            <w:tcW w:w="114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of grants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expect to recognize $4.2 million of total unrecognized pre-tax stock-based compensation expense related to non-vested stock options over a remaining weighted-average life of 2.3 years.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before="0" w:after="0"/>
        <w:jc w:val="both"/>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award activity was as follows:</w:t>
      </w:r>
    </w:p>
    <w:tbl>
      <w:tblPr>
        <w:tblW w:w="7540" w:type="dxa"/>
        <w:jc w:val="left"/>
        <w:tblInd w:w="0" w:type="dxa"/>
        <w:tblCellMar>
          <w:top w:w="28" w:type="dxa"/>
          <w:left w:w="28" w:type="dxa"/>
          <w:bottom w:w="28" w:type="dxa"/>
          <w:right w:w="28" w:type="dxa"/>
        </w:tblCellMar>
      </w:tblPr>
      <w:tblGrid>
        <w:gridCol w:w="1038"/>
        <w:gridCol w:w="912"/>
        <w:gridCol w:w="914"/>
        <w:gridCol w:w="302"/>
        <w:gridCol w:w="667"/>
        <w:gridCol w:w="156"/>
        <w:gridCol w:w="109"/>
        <w:gridCol w:w="109"/>
        <w:gridCol w:w="109"/>
        <w:gridCol w:w="693"/>
        <w:gridCol w:w="2023"/>
        <w:gridCol w:w="508"/>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expect to recognize $9.3 million of total unrecognized pre-tax stock-based compensation expense related to non-vested restricted stock awards over a weighted-average life of 1.9 years.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Performance-Based Common Stock Warrants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2016, we issued common stock purchase warrants to Comcast Corporation ("Comcast") at a price of $54.55 per share. On January 1, 2023, all 275,000 of the vested and outstanding warrants expired unexercised.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Other Income (Expense)</w:t>
      </w:r>
    </w:p>
    <w:p>
      <w:pPr>
        <w:pStyle w:val="TextBody"/>
        <w:spacing w:before="0" w:after="0"/>
        <w:rPr/>
      </w:pPr>
      <w:r>
        <w:rPr/>
      </w:r>
    </w:p>
    <w:p>
      <w:pPr>
        <w:pStyle w:val="TextBody"/>
        <w:spacing w:lineRule="auto" w:line="288" w:before="0" w:after="60"/>
        <w:rPr/>
      </w:pPr>
      <w:r>
        <w:rPr>
          <w:rFonts w:ascii="Times New Roman;sans-serif" w:hAnsi="Times New Roman;sans-serif"/>
          <w:b w:val="false"/>
          <w:color w:val="000000"/>
          <w:sz w:val="20"/>
        </w:rPr>
        <w:t>Other income (expense), net consisted of the following:</w:t>
      </w:r>
      <w:r>
        <w:rPr>
          <w:color w:val="000000"/>
        </w:rPr>
        <w:t> </w:t>
      </w:r>
    </w:p>
    <w:tbl>
      <w:tblPr>
        <w:tblW w:w="7647" w:type="dxa"/>
        <w:jc w:val="left"/>
        <w:tblInd w:w="0" w:type="dxa"/>
        <w:tblCellMar>
          <w:top w:w="28" w:type="dxa"/>
          <w:left w:w="28" w:type="dxa"/>
          <w:bottom w:w="28" w:type="dxa"/>
          <w:right w:w="28" w:type="dxa"/>
        </w:tblCellMar>
      </w:tblPr>
      <w:tblGrid>
        <w:gridCol w:w="1724"/>
        <w:gridCol w:w="1521"/>
        <w:gridCol w:w="1525"/>
        <w:gridCol w:w="256"/>
        <w:gridCol w:w="658"/>
        <w:gridCol w:w="132"/>
        <w:gridCol w:w="132"/>
        <w:gridCol w:w="132"/>
        <w:gridCol w:w="132"/>
        <w:gridCol w:w="256"/>
        <w:gridCol w:w="566"/>
        <w:gridCol w:w="132"/>
        <w:gridCol w:w="109"/>
        <w:gridCol w:w="109"/>
        <w:gridCol w:w="109"/>
        <w:gridCol w:w="154"/>
      </w:tblGrid>
      <w:tr>
        <w:trPr/>
        <w:tc>
          <w:tcPr>
            <w:tcW w:w="172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Net gain (loss) on foreign currency exchange contracts </w:t>
            </w:r>
            <w:r>
              <w:rPr>
                <w:rFonts w:ascii="Times New Roman;sans-serif" w:hAnsi="Times New Roman;sans-serif"/>
                <w:b w:val="false"/>
                <w:color w:val="000000"/>
                <w:sz w:val="13"/>
              </w:rPr>
              <w:t>(1)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foreign currency exchange transactions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This represents the gains (losses) incurred on foreign currency hedging derivatives (see Note 18 for further details).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 Earnings (Loss) Per Share</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Earnings (loss) per share was calculated as follows:</w:t>
      </w:r>
    </w:p>
    <w:tbl>
      <w:tblPr>
        <w:tblW w:w="9190" w:type="dxa"/>
        <w:jc w:val="left"/>
        <w:tblInd w:w="0" w:type="dxa"/>
        <w:tblCellMar>
          <w:top w:w="28" w:type="dxa"/>
          <w:left w:w="28" w:type="dxa"/>
          <w:bottom w:w="28" w:type="dxa"/>
          <w:right w:w="28" w:type="dxa"/>
        </w:tblCellMar>
      </w:tblPr>
      <w:tblGrid>
        <w:gridCol w:w="2265"/>
        <w:gridCol w:w="1991"/>
        <w:gridCol w:w="1999"/>
        <w:gridCol w:w="211"/>
        <w:gridCol w:w="796"/>
        <w:gridCol w:w="109"/>
        <w:gridCol w:w="109"/>
        <w:gridCol w:w="109"/>
        <w:gridCol w:w="109"/>
        <w:gridCol w:w="211"/>
        <w:gridCol w:w="691"/>
        <w:gridCol w:w="109"/>
        <w:gridCol w:w="109"/>
        <w:gridCol w:w="109"/>
        <w:gridCol w:w="109"/>
        <w:gridCol w:w="154"/>
      </w:tblGrid>
      <w:tr>
        <w:trPr/>
        <w:tc>
          <w:tcPr>
            <w:tcW w:w="2265"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for basic</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common stock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on a diluted basis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(loss) per share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number of stock options, shares of restricted stock and common stock warrants were excluded from the computation of diluted earnings per common share as their inclusion would have been anti-dilutive: </w:t>
      </w:r>
    </w:p>
    <w:tbl>
      <w:tblPr>
        <w:tblW w:w="4944" w:type="dxa"/>
        <w:jc w:val="left"/>
        <w:tblInd w:w="0" w:type="dxa"/>
        <w:tblCellMar>
          <w:top w:w="28" w:type="dxa"/>
          <w:left w:w="28" w:type="dxa"/>
          <w:bottom w:w="28" w:type="dxa"/>
          <w:right w:w="28" w:type="dxa"/>
        </w:tblCellMar>
      </w:tblPr>
      <w:tblGrid>
        <w:gridCol w:w="748"/>
        <w:gridCol w:w="660"/>
        <w:gridCol w:w="661"/>
        <w:gridCol w:w="266"/>
        <w:gridCol w:w="266"/>
        <w:gridCol w:w="266"/>
        <w:gridCol w:w="266"/>
        <w:gridCol w:w="266"/>
        <w:gridCol w:w="266"/>
        <w:gridCol w:w="266"/>
        <w:gridCol w:w="266"/>
        <w:gridCol w:w="266"/>
        <w:gridCol w:w="109"/>
        <w:gridCol w:w="109"/>
        <w:gridCol w:w="109"/>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Derivatives</w:t>
      </w:r>
    </w:p>
    <w:p>
      <w:pPr>
        <w:pStyle w:val="TextBody"/>
        <w:spacing w:before="0" w:after="0"/>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net fair value of derivatives:</w:t>
      </w:r>
    </w:p>
    <w:tbl>
      <w:tblPr>
        <w:tblW w:w="10539" w:type="dxa"/>
        <w:jc w:val="center"/>
        <w:tblInd w:w="0" w:type="dxa"/>
        <w:tblCellMar>
          <w:top w:w="28" w:type="dxa"/>
          <w:left w:w="28" w:type="dxa"/>
          <w:bottom w:w="28" w:type="dxa"/>
          <w:right w:w="28" w:type="dxa"/>
        </w:tblCellMar>
      </w:tblPr>
      <w:tblGrid>
        <w:gridCol w:w="656"/>
        <w:gridCol w:w="546"/>
        <w:gridCol w:w="547"/>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262"/>
        <w:gridCol w:w="448"/>
        <w:gridCol w:w="135"/>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42"/>
        <w:gridCol w:w="536"/>
        <w:gridCol w:w="180"/>
      </w:tblGrid>
      <w:tr>
        <w:trPr/>
        <w:tc>
          <w:tcPr>
            <w:tcW w:w="65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Balance</w:t>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held foreign currency exchange contracts, which resulted in a net pre-tax loss of $0.2 million and pre-tax gain of $0.9 million for the three months ended March 31, 2023 and 2022, respectively. </w:t>
      </w:r>
    </w:p>
    <w:p>
      <w:pPr>
        <w:pStyle w:val="TextBody"/>
        <w:spacing w:before="0" w:after="0"/>
        <w:jc w:val="both"/>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foreign currency exchange contracts held were as follows: </w:t>
      </w:r>
    </w:p>
    <w:tbl>
      <w:tblPr>
        <w:tblW w:w="10539" w:type="dxa"/>
        <w:jc w:val="left"/>
        <w:tblInd w:w="0" w:type="dxa"/>
        <w:tblCellMar>
          <w:top w:w="28" w:type="dxa"/>
          <w:left w:w="28" w:type="dxa"/>
          <w:bottom w:w="28" w:type="dxa"/>
          <w:right w:w="28" w:type="dxa"/>
        </w:tblCellMar>
      </w:tblPr>
      <w:tblGrid>
        <w:gridCol w:w="545"/>
        <w:gridCol w:w="369"/>
        <w:gridCol w:w="294"/>
        <w:gridCol w:w="109"/>
        <w:gridCol w:w="109"/>
        <w:gridCol w:w="109"/>
        <w:gridCol w:w="499"/>
        <w:gridCol w:w="499"/>
        <w:gridCol w:w="505"/>
        <w:gridCol w:w="109"/>
        <w:gridCol w:w="109"/>
        <w:gridCol w:w="109"/>
        <w:gridCol w:w="276"/>
        <w:gridCol w:w="276"/>
        <w:gridCol w:w="278"/>
        <w:gridCol w:w="109"/>
        <w:gridCol w:w="109"/>
        <w:gridCol w:w="109"/>
        <w:gridCol w:w="244"/>
        <w:gridCol w:w="593"/>
        <w:gridCol w:w="126"/>
        <w:gridCol w:w="109"/>
        <w:gridCol w:w="109"/>
        <w:gridCol w:w="109"/>
        <w:gridCol w:w="379"/>
        <w:gridCol w:w="355"/>
        <w:gridCol w:w="298"/>
        <w:gridCol w:w="109"/>
        <w:gridCol w:w="109"/>
        <w:gridCol w:w="109"/>
        <w:gridCol w:w="503"/>
        <w:gridCol w:w="1162"/>
        <w:gridCol w:w="261"/>
        <w:gridCol w:w="109"/>
        <w:gridCol w:w="109"/>
        <w:gridCol w:w="109"/>
        <w:gridCol w:w="324"/>
        <w:gridCol w:w="324"/>
        <w:gridCol w:w="467"/>
      </w:tblGrid>
      <w:tr>
        <w:trPr/>
        <w:tc>
          <w:tcPr>
            <w:tcW w:w="545"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r>
      <w:tr>
        <w:trPr/>
        <w:tc>
          <w:tcPr>
            <w:tcW w:w="12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Held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Unrealized Gain/(Loss) Recorded at Balance Sheet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p>
            <w:pPr>
              <w:pStyle w:val="TableContents"/>
              <w:spacing w:lineRule="auto" w:line="240" w:before="0" w:after="0"/>
              <w:jc w:val="center"/>
              <w:rPr/>
            </w:pPr>
            <w:r>
              <w:rPr>
                <w:rFonts w:ascii="Times New Roman;sans-serif" w:hAnsi="Times New Roman;sans-serif"/>
                <w:b/>
                <w:color w:val="000000"/>
                <w:sz w:val="16"/>
              </w:rPr>
              <w:t>(in thousands)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Date</w:t>
            </w:r>
          </w:p>
        </w:tc>
      </w:tr>
      <w:tr>
        <w:trPr/>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USD/Euro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r>
      <w:tr>
        <w:trPr/>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USD/Chinese Yuan Renminbi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7.0358 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r>
      <w:tr>
        <w:trPr/>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12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 Business Combination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income statement for the three months ended March 31, 2023 includes net sales of $0.5 million and a net loss of $3.0 thousand attributable to Qterics. Our consolidated income statement for the three months ended March 31, 2022 includes net sales of $0.3 million and net income of $0.1 million attributable to Qterics for the period commencing on February 17,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APA, the initial purchase price was subject to adjustment for differences between the initial estimated working capital balances and the final adjusted balances. This calculation was completed at March 31, 2022.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2d75b8964f546058ed5711084529d74_7">
        <w:r>
          <w:rPr>
            <w:rStyle w:val="InternetLink"/>
            <w:rFonts w:ascii="Times New Roman;sans-serif" w:hAnsi="Times New Roman;sans-serif"/>
            <w:b/>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UNIVERSAL ELECTRONICS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purchase price allocation was as follows:</w:t>
      </w:r>
    </w:p>
    <w:p>
      <w:pPr>
        <w:pStyle w:val="TextBody"/>
        <w:spacing w:before="0" w:after="0"/>
        <w:jc w:val="both"/>
        <w:rPr/>
      </w:pPr>
      <w:r>
        <w:rPr/>
      </w:r>
    </w:p>
    <w:tbl>
      <w:tblPr>
        <w:tblW w:w="6565" w:type="dxa"/>
        <w:jc w:val="left"/>
        <w:tblInd w:w="0" w:type="dxa"/>
        <w:tblCellMar>
          <w:top w:w="28" w:type="dxa"/>
          <w:left w:w="28" w:type="dxa"/>
          <w:bottom w:w="28" w:type="dxa"/>
          <w:right w:w="28" w:type="dxa"/>
        </w:tblCellMar>
      </w:tblPr>
      <w:tblGrid>
        <w:gridCol w:w="1138"/>
        <w:gridCol w:w="1004"/>
        <w:gridCol w:w="1007"/>
        <w:gridCol w:w="414"/>
        <w:gridCol w:w="414"/>
        <w:gridCol w:w="416"/>
        <w:gridCol w:w="109"/>
        <w:gridCol w:w="109"/>
        <w:gridCol w:w="109"/>
        <w:gridCol w:w="468"/>
        <w:gridCol w:w="1034"/>
        <w:gridCol w:w="343"/>
      </w:tblGrid>
      <w:tr>
        <w:trPr/>
        <w:tc>
          <w:tcPr>
            <w:tcW w:w="113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Fair Value</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(1)</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obligation</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obligation</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Cash paid</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0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Our consolidated goodwill balance was impaired during the three months ended March 31, 2023. Please see Note 6 for further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determination of the fair value of intangible assets acquired are based primarily on significant inputs not observable in an active market and thus represent Level 3 fair value measurements as defined under U.S.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developed technology, trade names and customer relationships intangible assets are expected to be deductible for income tax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 Forma Results (unaudited)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of combined results of our operations and the operations of Qterics as if the transaction had occurred on January 1, 2021, is immaterially different from the net sales, net income (loss) and income (loss) per share amounts reported in the Consolidated Statements of Operations for the three months ended March 31, 2022.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Consolidated Financial Statements and the related notes that appear elsewhere in this report.</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Form 10-Q is filed with the SEC. Forward-looking statements include information related to the future effects on our business of the coronavirus pandemic ("COVID-19"); supply chain issues; other future demand and recovery trends and expectations; the delay by or failure of our customers to order products from us; continued availability of cash through borrowing under our revolving line of credit; the effects of natural or other events beyond our control, including the effects of political unrest, war (including the conflict between Russia and Ukraine) or terrorist activities may have on us or the economy; the economic environment's including increases in interest rates and recessionary effects on us or our customers; the effects of doing business internationally; our expectations regarding our ability to meet our liquidity requirements; our capital expenditures and other investment spending expectations;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2022 ("2022 Form 10-K"), Part II, Item 1A of this report, and other factors we describe from time to time in our periodic filings with the SEC.</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integrated circuits ("ICs"), on which our software and universal device control database is embedded, sold primarily to OEMs, video service providers, and private label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cloud-services that support our embedded software and hardware solutions (directly or indirectly) enabling real-time device identification and system control;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intellectual property that we license primarily to OEMs and video service providers;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proprietary and standards-based RF sensors designed for residential security, safety and home automation applications;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embedded and cloud-enabled software for reliable firmware update and digital rights management validation services to major consumer electronics brands;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wall-mount and handheld thermostat controllers and connected accessories for smart energy management systems, primarily to OEM customers, as well as hotels and hospitality system integrators; and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AV accessories sold, directly and indirectly, to consumers including universal remote controls, television wall mounts and stands and digital television antennas.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key factor in creating products and software for control of entertainment devices is our proprietary device knowledge. Each year our device control library continues to grow across AV and smart home platforms, supporting many common smart home protocols, including IR, HDMI-CEC, Zigbee (Rf4CE), Z-Wave, IP, as well as Home Network and Cloud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one business segment. We have one domestic subsidiary and 25 international subsidiaries located in Brazil, British Virgin Islands, France, Germany, Hong Kong (3), India, Italy, Japan, Korea, Mexico (2), the Netherlands, People's Republic of China (the "PRC") (7), Singapore, Spain, United Kingdom and Vietnam.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recap our results for the three months ended March 31, 2023: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Net sales decreased 18.2% to $108.4 million for the three months ended March 31, 2023 from $132.4 million for the three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Our gross margin percentage decreased to 22.8% for the three months ended March 31, 2023 from 27.4% for the three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expenses, as a percentage of net sales, increased to 77.7% for the three months ended March 31, 2023 from 27.8% for the three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loss was $59.5 million for the three months ended March 31, 2023 compared to an operating loss of $0.6 million for the three months ended March 31, 2022. Our operating loss percentage increased to 54.9% for the three months ended March 31, 2023 from 0.4% for the three months ended March 31, 2022.</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Income tax expense decreased to $0.7 million for the three months ended March 31, 2023 from $2.4 million for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 business objectives for 2023 include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 new product development efforts in high-growth HVAC OEM channel to grow our market penetration with existing customers and acquire new customers with the goal of achieving market share leadership in climate control channel within two years;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broaden our home control and home automation product solutions with the aim of acquiring new customers that represent market share leaders in their respective channels and regions;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expand our software and service platform, QuickSet, to deliver a complete smart entertainment and smart home managed service platform;</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invest in creating sustainable technology solutions that offer product differentiation across our global product portfolio;</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explore and expand product offerings in our core subscription broadcasting channel beyond traditional entertainment remote controls;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seek acquisitions or strategic partners that complement and strengthen our existing business;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expedite our long-term factory planning strategy to optimize our manufacturing footprint and reduce our manufacturing concentration in the PRC.</w:t>
      </w:r>
    </w:p>
    <w:p>
      <w:pPr>
        <w:pStyle w:val="TextBody"/>
        <w:spacing w:before="6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negatively impacted and we expect to continue to be negatively impacted by adverse macroeconomic conditions, in particular reduced consumer spending. Inflation has increased our component and logistics costs. While we have been able to increase sales prices on certain products, there may be a delay in our ability to increase prices and we may not be able to fully offset the impact of increased material costs which would negatively impact our gross profit. Our cost of labor, materials and borrowing may continue to increase, which would negatively impact our financial results. In addition, we expect recessionary pressures in the global economy will ultimately negatively impact our sales demand.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been negatively impacted by supply chain difficulties including obtaining ICs and other long-lead time components. While we have seen improvement in this area during the first quarter 2023 this may continue to affect us in 2023. We continue to take production and inventory control steps as required to mitigate the effects caused by these shortages including advanced purchasing of long-lead time components; however, we cannot guarantee that these steps will continue to allow us to meet our short-term IC and other component parts needs. As such, these supply constraints may continue to cause difficulty and delays in our ability to fulfill customer orders and may at times result in increased logistics costs.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Goodwill and Long-Lived Assets Impairment Trigger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indicating a significant implied control premium over our market capitalization. As a result of the substantial implied control premium, we recorded an impairment charge of $49.1 million during the three months ended March 31, 2023.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Long-Lived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market conditions deteriorated and our stock price declined significantly, which we considered to be a trigger of potential impairment for our long-lived asset group. As such, we performed a recoverability test using non-discounted forecasted cash flows, which resulted in total cash flows in excess of the carrying value of the asset group by approximately 11% to 57%. This test indicated no current recoverability issues.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future events and circumstances, including adverse changes in general business and economic conditions in the United States and worldwide and changes in consumer behavior could result in changes to our assumptions and judgments used in the impairment tests. A downward revision of these assumptions could cause the total undiscounted cash flows of the long-lived asset group to fall below its respective carrying values and a non-cash impairment charge would be required. Such a charge may have a material effect on the consolidated financial statements.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Manufacturing Footprint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 the process of opening a new factory in Vietnam and expect it to commence manufacturing operations in the second quarter 2023. We have incurred startup costs in the first quarter 2023 which we expect will continue into the second quarter 2023. We are currently evaluating our global manufacturing footprint with the expectation that if our Vietnam factory is successful and operating efficiently, we will subsequently reduce our manufacturing capacity, most likely, by shutting down an existing facility in China. If this were to occur, we would record an impairment charge and severance expense in amounts that are not presently calculable; however, such amounts could be material. We are analyzing other various scenarios, including potentially downsizing our factory in Monterrey, Mexico in the second half of 2024.</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With the exception of the following policies, we do not believe that there have been any significant changes during the three months ended March 31, 2023 to the items that we disclosed as our critical accounting policies and estimates in Item 7, "Management's Discussion and Analysis of Financial Condition and Results of Operations" contained in our 2022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our annual impairment test, and any required interim tests, using the optional qualitative assessment, weighing the relative impact of factors that are specific to our single reporting unit including our market capitalization compared to control premiums,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qualitative assessment, we perform a quantitative impairment test, using cash flow projections, discounted by our weighted-average cost of capital.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 reporting unit is judgmental in nature and involves the use of significant estimates and assumptions. These estimates and assumptions include revenue growth rates and operating margins used to calculate projected future cash flows and risk-adjusted discount rates. In addition, we make certain judgments and assumptions in determining our reporting unit. We base our fair value estimates on assumptions we believe to be reasonable but that are unpredictable and inherently uncertain. Actual future results may differ from those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Long-Lived and Intangible Assets Impairment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or strategy for the overall business; (3) significant negative industry or economic trends; or (4) a significant decline in our stock price for a sustained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recoverability of long-lived or intangible assets is judgmental in nature and involves the use of significant estimates and assumptions. These estimates and assumptions include revenue growth rates and operating margins used to calculate projected future cash flows and the future market value of our asset group. In addition, we make certain judgments and assumptions in determining our asset group. We base our recoverability estimates on assumptions we believe to be reasonable but that are unpredictable and inherently uncertain. Actual future results may differ from those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contained in the "Notes to Consolidated Financial Statements" for a discussion of recent accounting pronouncements.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reported results of operations expressed as a percentage of net sales for the periods indicated.</w:t>
      </w:r>
    </w:p>
    <w:tbl>
      <w:tblPr>
        <w:tblW w:w="7269" w:type="dxa"/>
        <w:jc w:val="left"/>
        <w:tblInd w:w="0" w:type="dxa"/>
        <w:tblCellMar>
          <w:top w:w="28" w:type="dxa"/>
          <w:left w:w="28" w:type="dxa"/>
          <w:bottom w:w="28" w:type="dxa"/>
          <w:right w:w="28" w:type="dxa"/>
        </w:tblCellMar>
      </w:tblPr>
      <w:tblGrid>
        <w:gridCol w:w="1630"/>
        <w:gridCol w:w="1158"/>
        <w:gridCol w:w="1172"/>
        <w:gridCol w:w="308"/>
        <w:gridCol w:w="308"/>
        <w:gridCol w:w="498"/>
        <w:gridCol w:w="200"/>
        <w:gridCol w:w="200"/>
        <w:gridCol w:w="200"/>
        <w:gridCol w:w="308"/>
        <w:gridCol w:w="308"/>
        <w:gridCol w:w="498"/>
        <w:gridCol w:w="109"/>
        <w:gridCol w:w="109"/>
        <w:gridCol w:w="109"/>
        <w:gridCol w:w="154"/>
      </w:tblGrid>
      <w:tr>
        <w:trPr/>
        <w:tc>
          <w:tcPr>
            <w:tcW w:w="1630"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600"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2023 versus Three Months Ended March 31, 2022</w:t>
      </w:r>
    </w:p>
    <w:p>
      <w:pPr>
        <w:pStyle w:val="TextBody"/>
        <w:spacing w:lineRule="auto" w:line="268" w:before="0" w:after="0"/>
        <w:jc w:val="both"/>
        <w:rPr/>
      </w:pPr>
      <w:r>
        <w:rPr>
          <w:rFonts w:ascii="Times New Roman;sans-serif" w:hAnsi="Times New Roman;sans-serif"/>
          <w:b w:val="false"/>
          <w:i/>
          <w:color w:val="000000"/>
          <w:sz w:val="20"/>
        </w:rPr>
        <w:t xml:space="preserve">Net sales. </w:t>
      </w:r>
      <w:r>
        <w:rPr>
          <w:rFonts w:ascii="Times New Roman;sans-serif" w:hAnsi="Times New Roman;sans-serif"/>
          <w:b w:val="false"/>
          <w:color w:val="000000"/>
          <w:sz w:val="20"/>
        </w:rPr>
        <w:t>Net sales for the three months ended March 31, 2023 were $108.4 million compared to $132.4 million for the three months ended March 31, 2022. Sales in our video service provider and consumer electronics channels were lower than in the prior year period primarily due to lower customer demand.</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for the three months ended March 31, 2023 was $24.7 million compared to $36.3 million for the three months ended March 31, 2022. Gross profit as a percentage of sales decreased to 22.8% for the three months ended March 31, 2023 from 27.4% for the three months ended March 31, 2022. Gross profit as a percentage of sales was impacted by lower demand, resulting in fewer production units and, in turn, manufacturing inefficiencies including a significant amount of unabsorbed overhead. We also incurred start-up costs associated with our Vietnam factory, which is expected to commence manufacturing operations in the second quarter 2023. A decrease in royalty income also affected our gross margin rate as television sales were down versus the comparable period in the prior year.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Research and development ("R&amp;D") expenses. </w:t>
      </w:r>
      <w:r>
        <w:rPr>
          <w:rFonts w:ascii="Times New Roman;sans-serif" w:hAnsi="Times New Roman;sans-serif"/>
          <w:b w:val="false"/>
          <w:color w:val="000000"/>
          <w:sz w:val="20"/>
        </w:rPr>
        <w:t>R&amp;D expenses increased to $8.4 million for the three months ended March 31, 2023 from $7.8 million for the three months ended March 31, 2022. The increase in R&amp;D expenses is due to an increase in product development activities as we continue to expand our portfolio of products in climate control, home security and home automation.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Selling, general and administrative ("SG&amp;A") expenses.</w:t>
      </w:r>
      <w:r>
        <w:rPr>
          <w:color w:val="000000"/>
        </w:rPr>
        <w:t xml:space="preserve"> </w:t>
      </w:r>
      <w:r>
        <w:rPr>
          <w:rFonts w:ascii="Times New Roman;sans-serif" w:hAnsi="Times New Roman;sans-serif"/>
          <w:b w:val="false"/>
          <w:color w:val="000000"/>
          <w:sz w:val="20"/>
        </w:rPr>
        <w:t>SG&amp;A expenses decreased to $26.8 million for the three months ended March 31, 2023 from $29.0 million for the three months ended March 31, 2022, due to a decrease in outside legal expenses related to a specific legal matter, as well as a decrease in variable expenses.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Goodwill impairment.</w:t>
      </w:r>
      <w:r>
        <w:rPr>
          <w:color w:val="000000"/>
        </w:rPr>
        <w:t xml:space="preserve"> </w:t>
      </w:r>
      <w:r>
        <w:rPr>
          <w:rFonts w:ascii="Times New Roman;sans-serif" w:hAnsi="Times New Roman;sans-serif"/>
          <w:b w:val="false"/>
          <w:color w:val="000000"/>
          <w:sz w:val="20"/>
        </w:rPr>
        <w:t>During the three months ended March 31, 2023, we recorded a non-cash goodwill impairment charge of $49.1 million, due to our market capitalization being significantly less than the carrying value of our equity.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Interest income (expense), net. </w:t>
      </w:r>
      <w:r>
        <w:rPr>
          <w:rFonts w:ascii="Times New Roman;sans-serif" w:hAnsi="Times New Roman;sans-serif"/>
          <w:b w:val="false"/>
          <w:color w:val="000000"/>
          <w:sz w:val="20"/>
        </w:rPr>
        <w:t>Interest expense, net increased to $1.0 million for the three months ended March 31, 2023 from $0.3 million for the three months ended March 31, 2022, as a result of a higher average loan balance and a higher interest rate.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expense, net was $0.2 million for the three months ended March 31, 2023, due to net foreign currency losses partially offset by fixed asset sales, compared to other income, net of $0.4 million for the three months ended March 31, 2022, due to net foreign currency gains.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pP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Income tax expense was $0.7 million for the three months ended March 31, 2023, relative to a pre-tax loss of $60.7 million, compared to income tax expense of $2.4 million for the three months ended March 31, 2022, relative to a pre-tax loss of $0.5 million. Consistent with 2022, we expect the U.S. to be in a pre-tax loss position without benefit for the full year 2023. In addition, in the first quarter 2023, we received the high technology exemption approval at our Yangzhou entity in China resulting in a lower tax rate. As a result, the deferred tax assets at our Yangzhou entity were remeasured resulting in an expense. Further, in the first quarter 2023, we also received a discrete benefit related to our goodwill impairment.</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past share repurchases and acquisitions. We anticipate that we will continue to utilize both cash flows from operations and our revolving line of credit to support ongoing business operations, capital expenditures and expenses associated with our long-term factory planning strategy.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is subject to various risks including the risks discussed under "Item 3. Quantitative and Qualitative Disclosures about Market Risk." </w:t>
      </w:r>
    </w:p>
    <w:p>
      <w:pPr>
        <w:pStyle w:val="TextBody"/>
        <w:spacing w:before="0" w:after="0"/>
        <w:jc w:val="both"/>
        <w:rPr/>
      </w:pPr>
      <w:r>
        <w:rPr/>
      </w:r>
    </w:p>
    <w:tbl>
      <w:tblPr>
        <w:tblW w:w="5726" w:type="dxa"/>
        <w:jc w:val="left"/>
        <w:tblInd w:w="0" w:type="dxa"/>
        <w:tblCellMar>
          <w:top w:w="28" w:type="dxa"/>
          <w:left w:w="28" w:type="dxa"/>
          <w:bottom w:w="28" w:type="dxa"/>
          <w:right w:w="28" w:type="dxa"/>
        </w:tblCellMar>
      </w:tblPr>
      <w:tblGrid>
        <w:gridCol w:w="937"/>
        <w:gridCol w:w="827"/>
        <w:gridCol w:w="830"/>
        <w:gridCol w:w="255"/>
        <w:gridCol w:w="873"/>
        <w:gridCol w:w="132"/>
        <w:gridCol w:w="109"/>
        <w:gridCol w:w="109"/>
        <w:gridCol w:w="109"/>
        <w:gridCol w:w="300"/>
        <w:gridCol w:w="1026"/>
        <w:gridCol w:w="219"/>
      </w:tblGrid>
      <w:tr>
        <w:trPr/>
        <w:tc>
          <w:tcPr>
            <w:tcW w:w="93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borrowing resources</w:t>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 xml:space="preserve">Cash, cash equivalents and term deposit </w:t>
      </w:r>
      <w:r>
        <w:rPr>
          <w:color w:val="000000"/>
        </w:rPr>
        <w:t xml:space="preserve">– </w:t>
      </w:r>
      <w:r>
        <w:rPr>
          <w:rFonts w:ascii="Times New Roman;sans-serif" w:hAnsi="Times New Roman;sans-serif"/>
          <w:b w:val="false"/>
          <w:color w:val="000000"/>
          <w:sz w:val="20"/>
        </w:rPr>
        <w:t>On March 31, 2023, we had $7.2 million, $14.0 million, $14.9 million, $9.4 million and $11.4 million of cash and cash equivalents in North America, the PRC, Asia (excluding the PRC), Europe, and South America, respectively. We attempt to mitigate our exposure to liquidity, credit and other relevant risks by placing our cash, cash equivalents, and term deposits with financial institutions we believe are high quality.</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ind w:left="0" w:right="0" w:firstLine="720"/>
        <w:jc w:val="both"/>
        <w:rPr/>
      </w:pPr>
      <w:r>
        <w:rPr>
          <w:rFonts w:ascii="Times New Roman;sans-serif" w:hAnsi="Times New Roman;sans-serif"/>
          <w:b w:val="false"/>
          <w:i/>
          <w:color w:val="000000"/>
          <w:sz w:val="20"/>
        </w:rPr>
        <w:t>Available Borrowing Resources</w:t>
      </w:r>
      <w:r>
        <w:rPr>
          <w:color w:val="000000"/>
        </w:rPr>
        <w:t xml:space="preserve"> – </w:t>
      </w:r>
      <w:r>
        <w:rPr>
          <w:rFonts w:ascii="Times New Roman;sans-serif" w:hAnsi="Times New Roman;sans-serif"/>
          <w:b w:val="false"/>
          <w:color w:val="000000"/>
          <w:sz w:val="20"/>
        </w:rPr>
        <w:t>Our Second Amended and Restated Credit Agreement ("Second Amended Credit Agreement") with U.S. Bank National Association ("U.S. Bank") provides for a $125.0 million revolving line of credit ("Credit Line") that expires on November 1, 2023. On May 3, 2023, we executed an amendment to extend the term of our Second Amended Credit Agreement to April 30, 2024.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March 31, 2023. At March 31, 2023, we had an outstanding balance of $85.0 million on our Credit Line and $40.0 million of availability.</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contained in the "Notes to Consolidated Financial Statements" for further information regarding our Credit Line.</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w:t>
      </w:r>
    </w:p>
    <w:tbl>
      <w:tblPr>
        <w:tblW w:w="10539" w:type="dxa"/>
        <w:jc w:val="left"/>
        <w:tblInd w:w="0" w:type="dxa"/>
        <w:tblCellMar>
          <w:top w:w="28" w:type="dxa"/>
          <w:left w:w="28" w:type="dxa"/>
          <w:bottom w:w="28" w:type="dxa"/>
          <w:right w:w="28" w:type="dxa"/>
        </w:tblCellMar>
      </w:tblPr>
      <w:tblGrid>
        <w:gridCol w:w="1609"/>
        <w:gridCol w:w="1356"/>
        <w:gridCol w:w="1361"/>
        <w:gridCol w:w="466"/>
        <w:gridCol w:w="1510"/>
        <w:gridCol w:w="241"/>
        <w:gridCol w:w="109"/>
        <w:gridCol w:w="109"/>
        <w:gridCol w:w="109"/>
        <w:gridCol w:w="211"/>
        <w:gridCol w:w="721"/>
        <w:gridCol w:w="109"/>
        <w:gridCol w:w="109"/>
        <w:gridCol w:w="109"/>
        <w:gridCol w:w="109"/>
        <w:gridCol w:w="420"/>
        <w:gridCol w:w="1569"/>
        <w:gridCol w:w="312"/>
      </w:tblGrid>
      <w:tr>
        <w:trPr/>
        <w:tc>
          <w:tcPr>
            <w:tcW w:w="160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43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(17,969)</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investing activities</w:t>
            </w:r>
          </w:p>
        </w:tc>
        <w:tc>
          <w:tcPr>
            <w:tcW w:w="1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financing activities</w:t>
            </w:r>
          </w:p>
        </w:tc>
        <w:tc>
          <w:tcPr>
            <w:tcW w:w="1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21,646 </w:t>
            </w:r>
          </w:p>
        </w:tc>
        <w:tc>
          <w:tcPr>
            <w:tcW w:w="3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rates on cash and cash equivalents</w:t>
            </w:r>
          </w:p>
        </w:tc>
        <w:tc>
          <w:tcPr>
            <w:tcW w:w="1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tbl>
      <w:tblPr>
        <w:tblW w:w="6732" w:type="dxa"/>
        <w:jc w:val="left"/>
        <w:tblInd w:w="0" w:type="dxa"/>
        <w:tblCellMar>
          <w:top w:w="28" w:type="dxa"/>
          <w:left w:w="28" w:type="dxa"/>
          <w:bottom w:w="28" w:type="dxa"/>
          <w:right w:w="28" w:type="dxa"/>
        </w:tblCellMar>
      </w:tblPr>
      <w:tblGrid>
        <w:gridCol w:w="820"/>
        <w:gridCol w:w="720"/>
        <w:gridCol w:w="724"/>
        <w:gridCol w:w="232"/>
        <w:gridCol w:w="908"/>
        <w:gridCol w:w="119"/>
        <w:gridCol w:w="109"/>
        <w:gridCol w:w="109"/>
        <w:gridCol w:w="109"/>
        <w:gridCol w:w="211"/>
        <w:gridCol w:w="691"/>
        <w:gridCol w:w="109"/>
        <w:gridCol w:w="109"/>
        <w:gridCol w:w="109"/>
        <w:gridCol w:w="109"/>
        <w:gridCol w:w="273"/>
        <w:gridCol w:w="1072"/>
        <w:gridCol w:w="19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121,567 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 cash used for operating activities</w:t>
      </w:r>
      <w:r>
        <w:rPr>
          <w:color w:val="000000"/>
        </w:rPr>
        <w:t xml:space="preserve"> </w:t>
      </w:r>
      <w:r>
        <w:rPr>
          <w:rFonts w:ascii="Times New Roman;sans-serif" w:hAnsi="Times New Roman;sans-serif"/>
          <w:b w:val="false"/>
          <w:color w:val="000000"/>
          <w:sz w:val="20"/>
        </w:rPr>
        <w:t>was $2.0 million during the three months ended March 31, 2023 compared to $18.0 million during the three months ended March 31, 2022. Net loss was $61.4 million for the three months ended March 31, 2023, which includes the impairment of goodwill of $49.1 million, compared to net loss of $2.9 million for the three months ended March 31, 2022. Inventories decreased by $18.1 million during the three months ended March 31, 2023 compared to an increase of $4.6 million during the three months ended March 31, 2022. During the three months ended March 31, 2023, because of lower demand in the video service provider and consumer electronics channels, as well as ample supply of certain items with long lead times, we purchased fewer components and raw materials than in the first quarter 2022. Our inventory turns decreased slightly to 2.7 turns at March 31, 2023 from 2.8 turns at March 31, 2022. Changes in accounts receivable and contract assets resulted in cash inflows of $7.7 million during the three months ended March 31, 2023, largely as a result of a decrease in sales. Changes in accounts receivable and contract assets resulted in cash outflows of $5.1 million during the three months ended March 31, 2022, largely as a result of an increase in days sales outstanding compared to the fourth quarter 2021, offset partially by a decrease in sales. Days sales outstanding were 83 days at March 31, 2023 compared to 88 days at March 31, 2022. Changes in accounts payable and accrued liabilities resulted in cash outflows of $26.1 million during the three months ended March 31, 2023 due primarily to a decrease in inventory purchases. Changes in accounts payable and accrued liabilities resulted in cash outflows of $13.2 million during the three months ended March 31, 2022 due to the timing of inventory purchases and payments.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 cash used for investing activities</w:t>
      </w:r>
      <w:r>
        <w:rPr>
          <w:color w:val="000000"/>
        </w:rPr>
        <w:t xml:space="preserve"> </w:t>
      </w:r>
      <w:r>
        <w:rPr>
          <w:rFonts w:ascii="Times New Roman;sans-serif" w:hAnsi="Times New Roman;sans-serif"/>
          <w:b w:val="false"/>
          <w:color w:val="000000"/>
          <w:sz w:val="20"/>
        </w:rPr>
        <w:t>during the three months ended March 31, 2023 was $4.8 million, of which $3.2 million and $1.6 million was used for capital expenditures, and the development of patents, respectively. Net cash used for investing activities during the three months ended March 31, 2022 was $11.6 million, of which $7.5 million, $0.9 million, $1.8 million and $1.4 million was used for our term deposit investment, acquisition of Qterics Inc., capital expenditures, and the development of patents,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investing activities are largely dependent on the timing and amount of capital expenditures. We estimate that we will incur expenditures of between $9.0 million and $12.0 million during the remainder of 2023, which includes amounts associated with our factory in Vietnam, which we anticipate commencing operations in the second quarter of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 cash used for financing activities</w:t>
      </w:r>
      <w:r>
        <w:rPr>
          <w:color w:val="000000"/>
        </w:rPr>
        <w:t xml:space="preserve"> </w:t>
      </w:r>
      <w:r>
        <w:rPr>
          <w:rFonts w:ascii="Times New Roman;sans-serif" w:hAnsi="Times New Roman;sans-serif"/>
          <w:b w:val="false"/>
          <w:color w:val="000000"/>
          <w:sz w:val="20"/>
        </w:rPr>
        <w:t xml:space="preserve">was $3.8 million during the three months ended March 31, 2023 compared to net cash provided by financing activities of $21.6 million during the three months ended March 31, 2022. The primary financing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during the three months ended March 31, 2023 and 2022 were borrowings and repayments on our line of credit and repurchases of shares of our common stock. Net repayments on our line of credit were $3.0 million during the three months ended March 31, 2023 compared to net borrowings on our line of credit of $29.0 million during the three months ended March 31, 2022. During the three months ended March 31, 2023, we repurchased 53,186 shares of our common stock at a cost of $0.8 million compared to our repurchase of 224,638 shares at a cost of $7.4 million during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future repurchases of shares of our common stock related to employee stock compensation programs will impact our cash flows used for financing activities. See Note 13 contained in the "Notes to Consolidated Financial Statements" for further information regarding our share repurchase programs.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Material Cash Commitments</w:t>
      </w:r>
      <w:r>
        <w:rPr>
          <w:color w:val="000000"/>
        </w:rPr>
        <w:t xml:space="preserve"> – </w:t>
      </w:r>
      <w:r>
        <w:rPr>
          <w:rFonts w:ascii="Times New Roman;sans-serif" w:hAnsi="Times New Roman;sans-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spacing w:before="0" w:after="0"/>
        <w:ind w:left="0" w:right="0" w:firstLine="720"/>
        <w:jc w:val="both"/>
        <w:rPr/>
      </w:pPr>
      <w:r>
        <w:rPr/>
      </w:r>
    </w:p>
    <w:tbl>
      <w:tblPr>
        <w:tblW w:w="9918" w:type="dxa"/>
        <w:jc w:val="left"/>
        <w:tblInd w:w="0" w:type="dxa"/>
        <w:tblCellMar>
          <w:top w:w="28" w:type="dxa"/>
          <w:left w:w="28" w:type="dxa"/>
          <w:bottom w:w="28" w:type="dxa"/>
          <w:right w:w="28" w:type="dxa"/>
        </w:tblCellMar>
      </w:tblPr>
      <w:tblGrid>
        <w:gridCol w:w="1253"/>
        <w:gridCol w:w="1104"/>
        <w:gridCol w:w="1108"/>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25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45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4 - 5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Line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purchases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purchases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material cash commitments with our cash generated from operations and available borrowing resources, including our Credit Line.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After May 3, 2023, under the Second Amended Credit Agreement, we may elect to pay interest on the Credit Line based on the Secured Overnight Financing Rate ("SOFR")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$0.6 million annual impact on net income based on our outstanding Credit Line balance at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make any assurances that we will not need to borrow additional amounts in the future or that funds from the existing Credit Line will continue to be available to us or that other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expenses, assets and liabilities denominated in currencies other than the U.S. Dollar. The most significant foreign currencies to our operations are the Chinese Yuan Renminbi, Euro, British Pound, Mexican Peso, Indian Rupee, Hong Kong Dollar, Brazilian Real, Japanese Yen, Korean Won and Vietnamese Dong.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Korean Won and Vietnamese Dong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2023,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March 31, 2023, net income in the second quarter of 2023 would fluctuate by approximately $6.2 million.</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arising out of the conduct of our business. The discussion of our litigation matters contained in "Notes to Consolidated Financial Statements - Note 12" is incorporated herein by reference.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reader should carefully consider, in connection with the other information in this report, the risk factors discussed in "Part I, Item 1A: Risk Factors" of the Company's 2022 Form 10-K and in the periodic reports we have filed since then. These factors may cause our actual results to differ materially from those stated in forward-looking statements contained in this document and elsewhere.</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three months ended March 31, 2023, our total stock repurchases, average price paid per share and the maximum number of shares that may yet be purchased on the open market under our plans or programs:</w:t>
      </w:r>
    </w:p>
    <w:tbl>
      <w:tblPr>
        <w:tblW w:w="10539" w:type="dxa"/>
        <w:jc w:val="left"/>
        <w:tblInd w:w="0" w:type="dxa"/>
        <w:tblCellMar>
          <w:top w:w="28" w:type="dxa"/>
          <w:left w:w="28" w:type="dxa"/>
          <w:bottom w:w="28" w:type="dxa"/>
          <w:right w:w="28" w:type="dxa"/>
        </w:tblCellMar>
      </w:tblPr>
      <w:tblGrid>
        <w:gridCol w:w="609"/>
        <w:gridCol w:w="480"/>
        <w:gridCol w:w="485"/>
        <w:gridCol w:w="109"/>
        <w:gridCol w:w="109"/>
        <w:gridCol w:w="109"/>
        <w:gridCol w:w="535"/>
        <w:gridCol w:w="535"/>
        <w:gridCol w:w="537"/>
        <w:gridCol w:w="109"/>
        <w:gridCol w:w="109"/>
        <w:gridCol w:w="109"/>
        <w:gridCol w:w="211"/>
        <w:gridCol w:w="616"/>
        <w:gridCol w:w="109"/>
        <w:gridCol w:w="109"/>
        <w:gridCol w:w="109"/>
        <w:gridCol w:w="109"/>
        <w:gridCol w:w="870"/>
        <w:gridCol w:w="870"/>
        <w:gridCol w:w="872"/>
        <w:gridCol w:w="109"/>
        <w:gridCol w:w="109"/>
        <w:gridCol w:w="109"/>
        <w:gridCol w:w="731"/>
        <w:gridCol w:w="731"/>
        <w:gridCol w:w="1040"/>
      </w:tblGrid>
      <w:tr>
        <w:trPr/>
        <w:tc>
          <w:tcPr>
            <w:tcW w:w="6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Price Paid</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38,037 </w:t>
            </w:r>
          </w:p>
        </w:tc>
        <w:tc>
          <w:tcPr>
            <w:tcW w:w="5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15,149 </w:t>
            </w:r>
          </w:p>
        </w:tc>
        <w:tc>
          <w:tcPr>
            <w:tcW w:w="5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53,186 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Of the repurchases in February and March, 38,037 and 15,149 shares, respectively, represent common shares of the Company that were owned and tendered by employees to satisfy tax withholding obligations in connection with the vesting of restricted shares.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43"/>
        <w:gridCol w:w="196"/>
        <w:gridCol w:w="198"/>
        <w:gridCol w:w="109"/>
        <w:gridCol w:w="109"/>
        <w:gridCol w:w="109"/>
        <w:gridCol w:w="2857"/>
        <w:gridCol w:w="2779"/>
        <w:gridCol w:w="3939"/>
      </w:tblGrid>
      <w:tr>
        <w:trPr/>
        <w:tc>
          <w:tcPr>
            <w:tcW w:w="2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2779" w:type="dxa"/>
            <w:tcBorders/>
            <w:shd w:fill="auto" w:val="clear"/>
            <w:vAlign w:val="center"/>
          </w:tcPr>
          <w:p>
            <w:pPr>
              <w:pStyle w:val="TableContents"/>
              <w:spacing w:before="0" w:after="283"/>
              <w:rPr>
                <w:sz w:val="4"/>
                <w:szCs w:val="4"/>
              </w:rPr>
            </w:pPr>
            <w:r>
              <w:rPr>
                <w:sz w:val="4"/>
                <w:szCs w:val="4"/>
              </w:rPr>
            </w:r>
          </w:p>
        </w:tc>
        <w:tc>
          <w:tcPr>
            <w:tcW w:w="3939" w:type="dxa"/>
            <w:tcBorders/>
            <w:shd w:fill="auto" w:val="cle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uei-03312023x10qxex101.htm">
              <w:r>
                <w:rPr>
                  <w:rStyle w:val="InternetLink"/>
                  <w:rFonts w:ascii="Times New Roman;sans-serif" w:hAnsi="Times New Roman;sans-serif"/>
                  <w:b w:val="false"/>
                  <w:color w:val="0000FF"/>
                  <w:sz w:val="20"/>
                  <w:u w:val="single"/>
                </w:rPr>
                <w:t>Sixth Amendment to the Second Amended and Restated Credit Agreement</w:t>
              </w:r>
            </w:hyperlink>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uei-03312023x10qxex311.htm">
              <w:r>
                <w:rPr>
                  <w:rStyle w:val="InternetLink"/>
                  <w:rFonts w:ascii="Times New Roman;sans-serif" w:hAnsi="Times New Roman;sans-serif"/>
                  <w:b w:val="false"/>
                  <w:color w:val="0000FF"/>
                  <w:sz w:val="20"/>
                  <w:u w:val="single"/>
                </w:rPr>
                <w:t>Rule 13a-14(a) Certifications of Paul D. Arling, Chief Executive Officer (principal executive officer) of Universal Electronics Inc.</w:t>
              </w:r>
            </w:hyperlink>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uei-03312023x10qxex312.htm">
              <w:r>
                <w:rPr>
                  <w:rStyle w:val="InternetLink"/>
                  <w:rFonts w:ascii="Times New Roman;sans-serif" w:hAnsi="Times New Roman;sans-serif"/>
                  <w:b w:val="false"/>
                  <w:color w:val="0000FF"/>
                  <w:sz w:val="20"/>
                  <w:u w:val="single"/>
                </w:rPr>
                <w:t>Rule 13a-14(a) Certifications of Bryan M. Hackworth, Chief Financial Officer (principal financial officer and principal accounting officer) of Universal Electronics Inc.</w:t>
              </w:r>
            </w:hyperlink>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uei-03312023x10qxex32.htm">
              <w:r>
                <w:rPr>
                  <w:rStyle w:val="InternetLink"/>
                  <w:rFonts w:ascii="Times New Roman;sans-serif" w:hAnsi="Times New Roman;sans-serif"/>
                  <w:b w:val="false"/>
                  <w:color w:val="0000FF"/>
                  <w:sz w:val="20"/>
                  <w:u w:val="single"/>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hyperlink>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82d75b8964f546058ed5711084529d74_7">
        <w:r>
          <w:rPr>
            <w:rStyle w:val="InternetLink"/>
          </w:rPr>
          <w:t xml:space="preserve">Table of </w:t>
        </w:r>
      </w:hyperlink>
      <w:hyperlink w:anchor="i82d75b8964f546058ed5711084529d74_7">
        <w:r>
          <w:rPr>
            <w:rStyle w:val="InternetLink"/>
          </w:rPr>
          <w:t>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tbl>
      <w:tblPr>
        <w:tblW w:w="8315" w:type="dxa"/>
        <w:jc w:val="right"/>
        <w:tblInd w:w="0" w:type="dxa"/>
        <w:tblCellMar>
          <w:top w:w="28" w:type="dxa"/>
          <w:left w:w="28" w:type="dxa"/>
          <w:bottom w:w="28" w:type="dxa"/>
          <w:right w:w="28" w:type="dxa"/>
        </w:tblCellMar>
      </w:tblPr>
      <w:tblGrid>
        <w:gridCol w:w="238"/>
        <w:gridCol w:w="210"/>
        <w:gridCol w:w="212"/>
        <w:gridCol w:w="379"/>
        <w:gridCol w:w="379"/>
        <w:gridCol w:w="381"/>
        <w:gridCol w:w="109"/>
        <w:gridCol w:w="109"/>
        <w:gridCol w:w="109"/>
        <w:gridCol w:w="334"/>
        <w:gridCol w:w="334"/>
        <w:gridCol w:w="334"/>
        <w:gridCol w:w="334"/>
        <w:gridCol w:w="334"/>
        <w:gridCol w:w="334"/>
        <w:gridCol w:w="1209"/>
        <w:gridCol w:w="1209"/>
        <w:gridCol w:w="1767"/>
      </w:tblGrid>
      <w:tr>
        <w:trPr/>
        <w:tc>
          <w:tcPr>
            <w:tcW w:w="2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UNIVERSAL ELECTRONICS INC.</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Bryan M. Hackworth</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r>
        <w:trPr/>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principal accounting officer)</w:t>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SIXTH AMENDMENT TO </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AGREEMENT</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Sixth Amendment to Second Amended and Restated Credit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dated as of May 3, 2023, is by and between UNIVERSAL ELECTRONICS INC., a corporation organized under the laws of the State of Delaware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lenders party hereto (each a “</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and U.S. BANK NATIONAL ASSOCIATION, a national banking association, as administrative agent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 The Borrower, the Lenders and the Administrative Agent have entered into a Second Amended and Restated Credit Agreement dated as of October 27, 2017, as amended by that certain First Amendment to Second Amended and Restated Credit Agreement dated as of May 4, 2018, and as further amended by that certain Second Amendment to Second Amended and Restated Credit Agreement dated as of December 21, 2018, and as further amended by that certain Third Amendment to Second Amended and Restated Credit Agreement dated as of November 1, 2019, and as further amended by that certain Fourth Amendment to Second Amended and Restated Credit Agreement dated as of January 7, 2021, and as further amended by that certain Fifth Amendment to Second Amended and Restated Credit Agreement dated as of October 25, 2021 (as amended, restated, supplemented, or otherwise modified prior to the date hereof,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Borrower has requested that the Lenders and the Administrative Agent make certain amendments to the Credit Agreement and the Required Lenders and the Administrative Agent are willing to do so, on the terms and subject to the conditions set forth herein.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herein set forth and for other good and valuable consideration, the Borrower, the Required Lenders and the Administrative Agent agree as follows:</w:t>
      </w:r>
    </w:p>
    <w:p>
      <w:pPr>
        <w:pStyle w:val="TextBody"/>
        <w:spacing w:before="0" w:after="0"/>
        <w:ind w:left="0" w:right="0" w:firstLine="720"/>
        <w:jc w:val="both"/>
        <w:rPr/>
      </w:pPr>
      <w:r>
        <w:rPr/>
      </w:r>
    </w:p>
    <w:p>
      <w:pPr>
        <w:pStyle w:val="TextBody"/>
        <w:spacing w:lineRule="auto" w:line="268" w:before="0" w:after="0"/>
        <w:ind w:left="0" w:right="0" w:hanging="360"/>
        <w:rPr/>
      </w:pPr>
      <w:r>
        <w:rPr>
          <w:rFonts w:ascii="Times New Roman;sans-serif" w:hAnsi="Times New Roman;sans-serif"/>
          <w:b/>
          <w:color w:val="000000"/>
          <w:sz w:val="24"/>
        </w:rPr>
        <w:t xml:space="preserve">Section 1. </w:t>
      </w:r>
      <w:r>
        <w:rPr>
          <w:rFonts w:ascii="Times New Roman;sans-serif" w:hAnsi="Times New Roman;sans-serif"/>
          <w:b/>
          <w:color w:val="000000"/>
          <w:sz w:val="24"/>
          <w:u w:val="single"/>
        </w:rPr>
        <w:t>Capitalized Terms</w:t>
      </w:r>
      <w:r>
        <w:rPr>
          <w:rFonts w:ascii="Times New Roman;sans-serif" w:hAnsi="Times New Roman;sans-serif"/>
          <w:b w:val="false"/>
          <w:color w:val="000000"/>
          <w:sz w:val="24"/>
        </w:rPr>
        <w:t>. Capitalized terms used herein and not otherwise defined herein shall have the meanings assigned to them in the Credit Agreement, unless the context shall otherwise require.</w:t>
      </w:r>
    </w:p>
    <w:p>
      <w:pPr>
        <w:pStyle w:val="TextBody"/>
        <w:spacing w:before="0" w:after="0"/>
        <w:rPr/>
      </w:pPr>
      <w:r>
        <w:rPr/>
      </w:r>
    </w:p>
    <w:p>
      <w:pPr>
        <w:pStyle w:val="TextBody"/>
        <w:spacing w:lineRule="auto" w:line="268" w:before="0" w:after="0"/>
        <w:ind w:left="0" w:right="0" w:hanging="360"/>
        <w:rPr/>
      </w:pPr>
      <w:r>
        <w:rPr>
          <w:rFonts w:ascii="Times New Roman;sans-serif" w:hAnsi="Times New Roman;sans-serif"/>
          <w:b/>
          <w:color w:val="000000"/>
          <w:sz w:val="24"/>
        </w:rPr>
        <w:t xml:space="preserve">Section 2. </w:t>
      </w:r>
      <w:r>
        <w:rPr>
          <w:rFonts w:ascii="Times New Roman;sans-serif" w:hAnsi="Times New Roman;sans-serif"/>
          <w:b/>
          <w:color w:val="000000"/>
          <w:sz w:val="24"/>
          <w:u w:val="single"/>
        </w:rPr>
        <w:t>Amendments</w:t>
      </w:r>
      <w:r>
        <w:rPr>
          <w:rFonts w:ascii="Times New Roman;sans-serif" w:hAnsi="Times New Roman;sans-serif"/>
          <w:b w:val="false"/>
          <w:color w:val="000000"/>
          <w:sz w:val="24"/>
        </w:rPr>
        <w:t>. The Credit Agreement is hereby amended as follows:</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2.1Schedule 1 of the Credit Agreement is hereby amended and restated with the Restated Pricing Schedule attached to this Amendment as </w:t>
      </w:r>
      <w:r>
        <w:rPr>
          <w:rFonts w:ascii="Times New Roman;sans-serif" w:hAnsi="Times New Roman;sans-serif"/>
          <w:b w:val="false"/>
          <w:color w:val="000000"/>
          <w:sz w:val="24"/>
          <w:u w:val="single"/>
        </w:rPr>
        <w:t>Annex I</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2.2Subject to the prior satisfaction of the conditions to effectiveness set forth in Section 3 hereof, the Credit Agreement is hereby amended to delete the stricken text (indicated textually in the same manner as the following example: </w:t>
      </w:r>
      <w:r>
        <w:rPr>
          <w:rFonts w:ascii="Times New Roman;sans-serif" w:hAnsi="Times New Roman;sans-serif"/>
          <w:b w:val="false"/>
          <w:strike/>
          <w:color w:val="000000"/>
          <w:sz w:val="24"/>
        </w:rPr>
        <w:t>stricken text</w:t>
      </w:r>
      <w:r>
        <w:rPr>
          <w:rFonts w:ascii="Times New Roman;sans-serif" w:hAnsi="Times New Roman;sans-serif"/>
          <w:b w:val="false"/>
          <w:color w:val="000000"/>
          <w:sz w:val="24"/>
        </w:rPr>
        <w:t xml:space="preserve">), and to add the double-underlined text (indicated textually in the same manner as the following example: </w:t>
      </w:r>
      <w:r>
        <w:rPr>
          <w:rFonts w:ascii="Times New Roman;sans-serif" w:hAnsi="Times New Roman;sans-serif"/>
          <w:b/>
          <w:color w:val="000000"/>
          <w:sz w:val="24"/>
          <w:u w:val="single"/>
        </w:rPr>
        <w:t>double-underlined text</w:t>
      </w:r>
      <w:r>
        <w:rPr>
          <w:rFonts w:ascii="Times New Roman;sans-serif" w:hAnsi="Times New Roman;sans-serif"/>
          <w:b w:val="false"/>
          <w:color w:val="000000"/>
          <w:sz w:val="24"/>
        </w:rPr>
        <w:t xml:space="preserve">) as set forth in the pages attached as </w:t>
      </w:r>
      <w:r>
        <w:rPr>
          <w:rFonts w:ascii="Times New Roman;sans-serif" w:hAnsi="Times New Roman;sans-serif"/>
          <w:b w:val="false"/>
          <w:color w:val="000000"/>
          <w:sz w:val="24"/>
          <w:u w:val="single"/>
        </w:rPr>
        <w:t>Annex II</w:t>
      </w:r>
      <w:r>
        <w:rPr>
          <w:color w:val="000000"/>
        </w:rPr>
        <w:t xml:space="preserve"> </w:t>
      </w:r>
      <w:r>
        <w:rPr>
          <w:rFonts w:ascii="Times New Roman;sans-serif" w:hAnsi="Times New Roman;sans-serif"/>
          <w:b w:val="false"/>
          <w:color w:val="000000"/>
          <w:sz w:val="24"/>
        </w:rPr>
        <w:t>hereto.</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75260"/>
                <wp:effectExtent l="0" t="0" r="0" b="0"/>
                <wp:wrapNone/>
                <wp:docPr id="36"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2.3Exhibits D-1 and D-2 of the Credit Agreement are hereby amended and restated with the exhibits attached to this Amendment as </w:t>
      </w:r>
      <w:r>
        <w:rPr>
          <w:rFonts w:ascii="Times New Roman;sans-serif" w:hAnsi="Times New Roman;sans-serif"/>
          <w:b w:val="false"/>
          <w:color w:val="000000"/>
          <w:sz w:val="24"/>
          <w:u w:val="single"/>
        </w:rPr>
        <w:t>Annex III</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3.</w:t>
      </w:r>
      <w:r>
        <w:rPr>
          <w:rFonts w:ascii="Times New Roman;sans-serif" w:hAnsi="Times New Roman;sans-serif"/>
          <w:b/>
          <w:color w:val="000000"/>
          <w:sz w:val="24"/>
          <w:u w:val="single"/>
        </w:rPr>
        <w:t>Conditions and Effectiveness</w:t>
      </w:r>
      <w:r>
        <w:rPr>
          <w:rFonts w:ascii="Times New Roman;sans-serif" w:hAnsi="Times New Roman;sans-serif"/>
          <w:b w:val="false"/>
          <w:color w:val="000000"/>
          <w:sz w:val="24"/>
        </w:rPr>
        <w:t>. This Amendment shall become effective only upon satisfaction of the following conditions:</w:t>
      </w:r>
    </w:p>
    <w:p>
      <w:pPr>
        <w:pStyle w:val="TextBody"/>
        <w:spacing w:before="0" w:after="0"/>
        <w:rPr/>
      </w:pPr>
      <w:r>
        <w:rPr/>
      </w:r>
    </w:p>
    <w:p>
      <w:pPr>
        <w:pStyle w:val="TextBody"/>
        <w:spacing w:lineRule="auto" w:line="268"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3.1The Borrower shall have duly executed and delivered to the Administrative Agent this Amendment.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3.2The Borrower shall have satisfied any other conditions as specified by the Administrative Agent, including payment of all unpaid legal fees and expenses incurred by the Administrative Agent through the date of this Amendment in connection with the Credit Agreement.</w:t>
      </w:r>
    </w:p>
    <w:p>
      <w:pPr>
        <w:pStyle w:val="TextBody"/>
        <w:spacing w:before="0" w:after="0"/>
        <w:jc w:val="both"/>
        <w:rPr/>
      </w:pPr>
      <w:r>
        <w:rPr/>
      </w:r>
    </w:p>
    <w:p>
      <w:pPr>
        <w:pStyle w:val="TextBody"/>
        <w:spacing w:lineRule="auto" w:line="268" w:before="0" w:after="0"/>
        <w:ind w:left="0" w:right="0" w:hanging="360"/>
        <w:rPr/>
      </w:pPr>
      <w:r>
        <w:rPr>
          <w:rFonts w:ascii="Times New Roman;sans-serif" w:hAnsi="Times New Roman;sans-serif"/>
          <w:b/>
          <w:color w:val="000000"/>
          <w:sz w:val="24"/>
        </w:rPr>
        <w:t>Section 4.</w:t>
      </w:r>
      <w:r>
        <w:rPr>
          <w:rFonts w:ascii="Times New Roman;sans-serif" w:hAnsi="Times New Roman;sans-serif"/>
          <w:b/>
          <w:color w:val="000000"/>
          <w:sz w:val="24"/>
          <w:u w:val="single"/>
        </w:rPr>
        <w:t xml:space="preserve">Representations, Warranties, Authority, No Adverse Claim. </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4.1</w:t>
      </w:r>
      <w:r>
        <w:rPr>
          <w:rFonts w:ascii="Times New Roman;sans-serif" w:hAnsi="Times New Roman;sans-serif"/>
          <w:b/>
          <w:color w:val="000000"/>
          <w:sz w:val="24"/>
          <w:u w:val="single"/>
        </w:rPr>
        <w:t>Reassertion of Representations and Warranties, No Default.</w:t>
      </w:r>
      <w:r>
        <w:rPr>
          <w:color w:val="000000"/>
        </w:rPr>
        <w:t xml:space="preserve"> </w:t>
      </w:r>
      <w:r>
        <w:rPr>
          <w:rFonts w:ascii="Times New Roman;sans-serif" w:hAnsi="Times New Roman;sans-serif"/>
          <w:b w:val="false"/>
          <w:color w:val="000000"/>
          <w:sz w:val="24"/>
        </w:rPr>
        <w:t>The Borrower hereby represents that on and as of the date hereof and 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Required Lenders.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4.2</w:t>
      </w:r>
      <w:r>
        <w:rPr>
          <w:rFonts w:ascii="Times New Roman;sans-serif" w:hAnsi="Times New Roman;sans-serif"/>
          <w:b/>
          <w:color w:val="000000"/>
          <w:sz w:val="24"/>
          <w:u w:val="single"/>
        </w:rPr>
        <w:t>Authority, No Conflict, No Consent Required, Enforceability.</w:t>
      </w:r>
      <w:r>
        <w:rPr>
          <w:color w:val="000000"/>
        </w:rPr>
        <w:t xml:space="preserve"> </w:t>
      </w:r>
      <w:r>
        <w:rPr>
          <w:rFonts w:ascii="Times New Roman;sans-serif" w:hAnsi="Times New Roman;sans-serif"/>
          <w:b w:val="false"/>
          <w:color w:val="000000"/>
          <w:sz w:val="24"/>
        </w:rPr>
        <w:t xml:space="preserve">The Borrower represents and warrants that the Borrower has the power and legal right and authority to enter into this Amendment and any other instrument or agreement executed by the Borrower in connection with this Amendment (collectively, the “Amendment Documents”)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Secured Party (as defined in that certain Amendment to Security Agreement dated as of October 27, 2017, by and between the Borrower and the Administrative Agent (the “Security Agreement”)).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75260"/>
                <wp:effectExtent l="0" t="0" r="0" b="0"/>
                <wp:wrapNone/>
                <wp:docPr id="37"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Borrower has delivered certified copies of documents evidencing each such action to the Administrative Agent.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4.3</w:t>
      </w:r>
      <w:r>
        <w:rPr>
          <w:rFonts w:ascii="Times New Roman;sans-serif" w:hAnsi="Times New Roman;sans-serif"/>
          <w:b/>
          <w:color w:val="000000"/>
          <w:sz w:val="24"/>
          <w:u w:val="single"/>
        </w:rPr>
        <w:t>No Adverse Claim</w:t>
      </w:r>
      <w:r>
        <w:rPr>
          <w:rFonts w:ascii="Times New Roman;sans-serif" w:hAnsi="Times New Roman;sans-serif"/>
          <w:b w:val="false"/>
          <w:color w:val="000000"/>
          <w:sz w:val="24"/>
        </w:rPr>
        <w:t>. The Borrower warrants, acknowledges and agrees that no events have taken place and no circumstances exist at the date hereof which would give the Borrower a basis to assert a defense, offset or counterclaim to any claim of the Lenders with respect to the Borrower’s obligations under the Credit Agreement as amended by this Amendment.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5.</w:t>
      </w:r>
      <w:r>
        <w:rPr>
          <w:rFonts w:ascii="Times New Roman;sans-serif" w:hAnsi="Times New Roman;sans-serif"/>
          <w:b/>
          <w:color w:val="000000"/>
          <w:sz w:val="24"/>
          <w:u w:val="single"/>
        </w:rPr>
        <w:t>Affirmation of Credit Agreement, Further References, Affirmation of Security Interest</w:t>
      </w:r>
      <w:r>
        <w:rPr>
          <w:rFonts w:ascii="Times New Roman;sans-serif" w:hAnsi="Times New Roman;sans-serif"/>
          <w:b w:val="false"/>
          <w:color w:val="000000"/>
          <w:sz w:val="24"/>
        </w:rPr>
        <w:t>. The Lenders, the Administrative Agent and the 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Secured Party that the Borrower’s obligations under the Credit Agreement, as amended by this Amendment, are and continue to be secured by the security interest granted by the Borrower in favor of the Secured Party under the Security Agreement,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6.</w:t>
      </w:r>
      <w:r>
        <w:rPr>
          <w:rFonts w:ascii="Times New Roman;sans-serif" w:hAnsi="Times New Roman;sans-serif"/>
          <w:b/>
          <w:color w:val="000000"/>
          <w:sz w:val="24"/>
          <w:u w:val="single"/>
        </w:rPr>
        <w:t>Merger and Integration, Superseding Effect</w:t>
      </w:r>
      <w:r>
        <w:rPr>
          <w:rFonts w:ascii="Times New Roman;sans-serif" w:hAnsi="Times New Roman;sans-serif"/>
          <w:b w:val="false"/>
          <w:color w:val="000000"/>
          <w:sz w:val="24"/>
        </w:rPr>
        <w:t>. This Amendment, from and after the date hereof, embodies the entire 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color w:val="000000"/>
          <w:sz w:val="24"/>
        </w:rPr>
        <w:t>Section 7.</w:t>
      </w:r>
      <w:r>
        <w:rPr>
          <w:rFonts w:ascii="Times New Roman;sans-serif" w:hAnsi="Times New Roman;sans-serif"/>
          <w:b/>
          <w:color w:val="000000"/>
          <w:sz w:val="24"/>
          <w:u w:val="single"/>
        </w:rPr>
        <w:t>Severability.</w:t>
      </w:r>
      <w:r>
        <w:rPr>
          <w:color w:val="000000"/>
        </w:rPr>
        <w:t xml:space="preserve"> </w:t>
      </w:r>
      <w:r>
        <w:rPr>
          <w:rFonts w:ascii="Times New Roman;sans-serif" w:hAnsi="Times New Roman;sans-serif"/>
          <w:b w:val="false"/>
          <w:color w:val="000000"/>
          <w:sz w:val="24"/>
        </w:rPr>
        <w:t xml:space="preserve">Whenever possible, each provision of this Amendment and any other statement, instrument or transaction 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38"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affecting the effectiveness, validity or enforceability of such provision in any other jurisdiction.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8.</w:t>
      </w:r>
      <w:r>
        <w:rPr>
          <w:rFonts w:ascii="Times New Roman;sans-serif" w:hAnsi="Times New Roman;sans-serif"/>
          <w:b/>
          <w:color w:val="000000"/>
          <w:sz w:val="24"/>
          <w:u w:val="single"/>
        </w:rPr>
        <w:t>Successors.</w:t>
      </w:r>
      <w:r>
        <w:rPr>
          <w:color w:val="000000"/>
        </w:rPr>
        <w:t xml:space="preserve"> </w:t>
      </w:r>
      <w:r>
        <w:rPr>
          <w:rFonts w:ascii="Times New Roman;sans-serif" w:hAnsi="Times New Roman;sans-serif"/>
          <w:b w:val="false"/>
          <w:color w:val="000000"/>
          <w:sz w:val="24"/>
        </w:rPr>
        <w:t>This Amendment shall be binding upon the Borrower, the Lenders, the Administrative Agent and their respective successors and assigns, and shall inure to the benefit of the Borrower, the Lenders, the Administrative Agent and the successors and assigns of the Lenders and the Administrative Agent.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9.</w:t>
      </w:r>
      <w:r>
        <w:rPr>
          <w:rFonts w:ascii="Times New Roman;sans-serif" w:hAnsi="Times New Roman;sans-serif"/>
          <w:b/>
          <w:color w:val="000000"/>
          <w:sz w:val="24"/>
          <w:u w:val="single"/>
        </w:rPr>
        <w:t>Legal Expenses</w:t>
      </w:r>
      <w:r>
        <w:rPr>
          <w:rFonts w:ascii="Times New Roman;sans-serif" w:hAnsi="Times New Roman;sans-serif"/>
          <w:b w:val="false"/>
          <w:color w:val="000000"/>
          <w:sz w:val="24"/>
        </w:rPr>
        <w:t xml:space="preserve">. As provided in Section 9.6 of the Credit Agreement, the Borrower agrees to pay or reimburse the Administrative Agent, upon execution of this Amendment, for all reasonable out-of-pocket expenses paid or incurred by the Administrative Agent, including filing and recording costs and fees, charges and disbursements of outside counsel to the Administrative Agent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Administrative Agent harmless from all liability for, any stamp or other taxes which may be payable with respect to the execution or delivery of the Amendment Documents, which obligations of the Borrower shall survive any termination of the Credit Agreement. Notwithstanding the foregoing, the Administrative Agent agrees that it will not seek reimbursement from the Borrower for more than $10,000 of legal expenses in connection with the drafting and preparation of this Amendment.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10.</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of various sections of this Amendment have been inserted for reference only and shall not be deemed to be a part of this Amendment.</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11.</w:t>
      </w:r>
      <w:r>
        <w:rPr>
          <w:rFonts w:ascii="Times New Roman;sans-serif" w:hAnsi="Times New Roman;sans-serif"/>
          <w:b/>
          <w:color w:val="000000"/>
          <w:sz w:val="24"/>
          <w:u w:val="single"/>
        </w:rPr>
        <w:t>Counterparts.</w:t>
      </w:r>
      <w:r>
        <w:rPr>
          <w:color w:val="000000"/>
        </w:rPr>
        <w:t xml:space="preserve"> </w:t>
      </w:r>
      <w:r>
        <w:rPr>
          <w:rFonts w:ascii="Times New Roman;sans-serif" w:hAnsi="Times New Roman;sans-serif"/>
          <w:b w:val="false"/>
          <w:color w:val="000000"/>
          <w:sz w:val="24"/>
        </w:rPr>
        <w:t>This Amendment may be executed in several counterparts as deemed necessary or convenient, each of which, when so executed, shall be deemed an original, provided that all such counterparts shall be regarded as one and the same document, and either party to the Amendment may execute any such agreement by executing a counterpart of such agreement.</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color w:val="000000"/>
          <w:sz w:val="24"/>
        </w:rPr>
        <w:t>Section 12.</w:t>
      </w:r>
      <w:r>
        <w:rPr>
          <w:color w:val="000000"/>
        </w:rPr>
        <w:t xml:space="preserve"> </w:t>
      </w:r>
      <w:r>
        <w:rPr>
          <w:rFonts w:ascii="Times New Roman;sans-serif" w:hAnsi="Times New Roman;sans-serif"/>
          <w:b/>
          <w:color w:val="000000"/>
          <w:sz w:val="24"/>
          <w:u w:val="single"/>
        </w:rPr>
        <w:t xml:space="preserve">Governing Law. </w:t>
      </w:r>
      <w:r>
        <w:rPr>
          <w:rFonts w:ascii="Times New Roman;sans-serif" w:hAnsi="Times New Roman;sans-serif"/>
          <w:b w:val="false"/>
          <w:color w:val="000000"/>
          <w:sz w:val="24"/>
        </w:rPr>
        <w:t>THE AMENDMENT DOCUMENTS SHALL BE GOVERNED BY THE INTERNAL LAWS OF THE STATE OF CALIFORNIA, WITHOUT GIVING EFFECT TO CONFLICT OF LAW PRINCIPLES THEREOF, BUT GIVING EFFECT TO FEDERAL LAWS APPLICABLE TO NATIONAL BANKS, THEIR HOLDING COMPANIES AND THEIR AFFILIATES.</w:t>
      </w:r>
    </w:p>
    <w:p>
      <w:pPr>
        <w:pStyle w:val="TextBody"/>
        <w:spacing w:before="0" w:after="0"/>
        <w:jc w:val="both"/>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spacing w:before="0" w:after="0"/>
        <w:rPr/>
      </w:pPr>
      <w:r>
        <w:rPr/>
      </w:r>
    </w:p>
    <w:p>
      <w:pPr>
        <w:pStyle w:val="TextBody"/>
        <w:spacing w:before="0" w:after="0"/>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75260"/>
                <wp:effectExtent l="0" t="0" r="0" b="0"/>
                <wp:wrapNone/>
                <wp:docPr id="39" name="Frame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executed by their officers thereunto duly authorized as of the date first above written.</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 xml:space="preserve">UNIVERSAL ELECTRONICS INC. </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By: /s/ Bryan M. Hackworth            </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Name: Bryan M. Hackworth</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Sr. Vice President and CFO</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 xml:space="preserve">U.S. BANK NATIONAL ASSOCIATION, </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 xml:space="preserve">as a Lender and as Administrative Agent </w:t>
      </w:r>
    </w:p>
    <w:p>
      <w:pPr>
        <w:pStyle w:val="TextBody"/>
        <w:spacing w:before="0" w:after="0"/>
        <w:ind w:left="0" w:right="0" w:firstLine="4320"/>
        <w:rPr/>
      </w:pPr>
      <w:r>
        <w:rPr/>
      </w:r>
    </w:p>
    <w:p>
      <w:pPr>
        <w:pStyle w:val="TextBody"/>
        <w:spacing w:lineRule="auto" w:line="268" w:before="0" w:after="0"/>
        <w:ind w:left="0" w:right="0" w:firstLine="432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By: /s/ Andrew Williams            </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Name: Andrew Williams</w:t>
      </w:r>
    </w:p>
    <w:p>
      <w:pPr>
        <w:pStyle w:val="TextBody"/>
        <w:spacing w:lineRule="auto" w:line="268" w:before="0" w:after="0"/>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68"/>
        <w:jc w:val="center"/>
        <w:rPr/>
      </w:pPr>
      <w:r>
        <w:rPr>
          <w:rFonts w:ascii="Times New Roman;sans-serif" w:hAnsi="Times New Roman;sans-serif"/>
          <w:b/>
          <w:color w:val="000000"/>
          <w:sz w:val="24"/>
        </w:rPr>
        <w:t>[Signature Page to Sixth Amendment to Second A&amp;R Credit Agreement]</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75260"/>
                <wp:effectExtent l="0" t="0" r="0" b="0"/>
                <wp:wrapNone/>
                <wp:docPr id="40"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I to Amendment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Restated Pricing Schedule</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See attached.</w:t>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75260"/>
                <wp:effectExtent l="0" t="0" r="0" b="0"/>
                <wp:wrapNone/>
                <wp:docPr id="41" name="Frame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SCHEDULE 1</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PRICING SCHEDULE</w:t>
      </w:r>
    </w:p>
    <w:p>
      <w:pPr>
        <w:pStyle w:val="TextBody"/>
        <w:spacing w:before="0" w:after="0"/>
        <w:jc w:val="center"/>
        <w:rPr/>
      </w:pPr>
      <w:r>
        <w:rPr/>
      </w:r>
    </w:p>
    <w:tbl>
      <w:tblPr>
        <w:tblW w:w="8665" w:type="dxa"/>
        <w:jc w:val="left"/>
        <w:tblInd w:w="0" w:type="dxa"/>
        <w:tblCellMar>
          <w:top w:w="28" w:type="dxa"/>
          <w:left w:w="28" w:type="dxa"/>
          <w:bottom w:w="28" w:type="dxa"/>
          <w:right w:w="28" w:type="dxa"/>
        </w:tblCellMar>
      </w:tblPr>
      <w:tblGrid>
        <w:gridCol w:w="787"/>
        <w:gridCol w:w="692"/>
        <w:gridCol w:w="695"/>
        <w:gridCol w:w="499"/>
        <w:gridCol w:w="499"/>
        <w:gridCol w:w="501"/>
        <w:gridCol w:w="529"/>
        <w:gridCol w:w="529"/>
        <w:gridCol w:w="531"/>
        <w:gridCol w:w="559"/>
        <w:gridCol w:w="559"/>
        <w:gridCol w:w="561"/>
        <w:gridCol w:w="503"/>
        <w:gridCol w:w="503"/>
        <w:gridCol w:w="718"/>
      </w:tblGrid>
      <w:tr>
        <w:trPr/>
        <w:tc>
          <w:tcPr>
            <w:tcW w:w="7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Applicable Margin</w:t>
            </w:r>
          </w:p>
        </w:tc>
        <w:tc>
          <w:tcPr>
            <w:tcW w:w="149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Level I Status</w:t>
            </w:r>
          </w:p>
        </w:tc>
        <w:tc>
          <w:tcPr>
            <w:tcW w:w="158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Level II Status</w:t>
            </w:r>
          </w:p>
        </w:tc>
        <w:tc>
          <w:tcPr>
            <w:tcW w:w="1679"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Level III Status</w:t>
            </w:r>
          </w:p>
        </w:tc>
        <w:tc>
          <w:tcPr>
            <w:tcW w:w="1724"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Level IV Status</w:t>
            </w:r>
          </w:p>
        </w:tc>
      </w:tr>
      <w:tr>
        <w:trPr/>
        <w:tc>
          <w:tcPr>
            <w:tcW w:w="21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SOFR Borrowing</w:t>
            </w:r>
          </w:p>
        </w:tc>
        <w:tc>
          <w:tcPr>
            <w:tcW w:w="14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2.00%</w:t>
            </w:r>
          </w:p>
        </w:tc>
        <w:tc>
          <w:tcPr>
            <w:tcW w:w="15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2.25%</w:t>
            </w:r>
          </w:p>
        </w:tc>
        <w:tc>
          <w:tcPr>
            <w:tcW w:w="167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2.50%</w:t>
            </w:r>
          </w:p>
        </w:tc>
        <w:tc>
          <w:tcPr>
            <w:tcW w:w="172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2.75%</w:t>
            </w:r>
          </w:p>
        </w:tc>
      </w:tr>
      <w:tr>
        <w:trPr/>
        <w:tc>
          <w:tcPr>
            <w:tcW w:w="21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Base Rate Borrowing</w:t>
            </w:r>
          </w:p>
        </w:tc>
        <w:tc>
          <w:tcPr>
            <w:tcW w:w="14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0.00%</w:t>
            </w:r>
          </w:p>
        </w:tc>
        <w:tc>
          <w:tcPr>
            <w:tcW w:w="158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0.25%</w:t>
            </w:r>
          </w:p>
        </w:tc>
        <w:tc>
          <w:tcPr>
            <w:tcW w:w="167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0.50%</w:t>
            </w:r>
          </w:p>
        </w:tc>
        <w:tc>
          <w:tcPr>
            <w:tcW w:w="172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0.75%</w:t>
            </w:r>
          </w:p>
        </w:tc>
      </w:tr>
    </w:tbl>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purposes of this Schedule, the following terms have the following meanings, subject to the final paragraph of this Schedule: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Financials” means the annual or quarterly financial statements of the Borrower delivered pursuant to Section 6.1(a) or 6.1(c).</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Level I Status” exists at any date, other than during the Factory Transition Period, if, as of the last day of the fiscal quarter of the Borrower referred to in the most recent Financials, the Consolidated Cash Flow Leverage Ratio is less than or equal to 1.50 to 1.00.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Level II Status” exists at any date, other than during the Factory Transition Period, if, as of the last day of the fiscal quarter of the Borrower referred to in the most recent Financials, (i) the Borrower has not qualified for Level I Status and (ii) the Consolidated Cash Flow Leverage Ratio is less than to 2.00 to 1.00.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Level III Status” exists at any date, other than during the Factory Transition Period, if, as of the last day of the fiscal quarter of the Borrower referred to in the most recent Financials, (i) the Borrower has not qualified for Level I Status or Level II Status and (ii) the Consolidated Cash Flow Leverage Ratio is less than 3.00 to 1.00.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Level IV Status” exists (i) at any date during the Factory Transition Period and (ii) at any date if, as of the last day of the fiscal quarter of the Borrower referred to in the most recent Financials, the Borrower has not qualified for Level I Status, Level II or Level III Status.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Status” means either Level I Status, Level II Status, Level III Status, or Level IV Status.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Solely for the purposes of determining the Applicable Margin in accordance with the foregoing table and for no other purpose under the Agreement, when calculating the Consolidated Cash Flow Leverage Ratio, the amount of “Consolidated Total Funded Debt” shall be reduced by the sum of (a) 100% of unrestricted domestic cash, plus (b) 95% of unrestricted foreign cash, less (c) $25,000,000, as may be calculated by the Administrative Agent in its sole discretion.</w:t>
      </w:r>
    </w:p>
    <w:p>
      <w:pPr>
        <w:pStyle w:val="TextBody"/>
        <w:spacing w:before="0" w:after="0"/>
        <w:ind w:left="0" w:right="0" w:firstLine="72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Applicable Margin shall be determined in accordance with the foregoing table based on the Borrower’s Status as reflected in the then most recent Financials. Adjustments, if any, to the Applicable Margin shall be effective from and after the first day of the first fiscal month immediately following the date on which the delivery of such Financials is required until the first day of the first fiscal month immediately following the next such date on which delivery of such Financials of the Borrower and its Subsidiaries is so required. If the Borrower fails to deliver the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75260"/>
                <wp:effectExtent l="0" t="0" r="0" b="0"/>
                <wp:wrapNone/>
                <wp:docPr id="42" name="Frame4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Financials to the Administrative Agent at the time required pursuant to Section 6.1, then the Applicable Margin shall be the highest Applicable Margin set forth in the foregoing table until five (5) days after such Financials are so delivered. </w:t>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75260"/>
                <wp:effectExtent l="0" t="0" r="0" b="0"/>
                <wp:wrapNone/>
                <wp:docPr id="43"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II to Amendment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Other Amendments</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See attached.</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Deal CUSIP: 91348CAA1</w:t>
      </w:r>
    </w:p>
    <w:p>
      <w:pPr>
        <w:pStyle w:val="TextBody"/>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Revolving Loan CUSIP: 91348CAB9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SECOND AMENDED AND RESTATED CREDIT AGREEMENT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DATED AS OF OCTOBER 27, 2017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AMONG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UNIVERSAL ELECTRONICS INC.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THE LENDERS,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U.S. BANK NATIONAL ASSOCIATION, </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AS ADMINISTRATIVE AGENT, SOLE LEAD ARRANGER </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AND SOLE BOOK RUNNER </w:t>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p>
    <w:p>
      <w:pPr>
        <w:pStyle w:val="TextBody"/>
        <w:spacing w:before="0" w:after="0"/>
        <w:rPr/>
      </w:pPr>
      <w:r>
        <w:rPr/>
      </w:r>
    </w:p>
    <w:p>
      <w:pPr>
        <w:pStyle w:val="TextBody"/>
        <w:spacing w:lineRule="auto" w:line="26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ARTICLE I</w:t>
      </w:r>
      <w:r>
        <w:rPr>
          <w:color w:val="000000"/>
          <w:u w:val="single"/>
        </w:rPr>
        <w:t xml:space="preserve">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1</w:t>
      </w:r>
    </w:p>
    <w:p>
      <w:pPr>
        <w:pStyle w:val="TextBody"/>
        <w:spacing w:lineRule="auto" w:line="268" w:before="0" w:after="0"/>
        <w:ind w:left="0" w:right="0" w:firstLine="720"/>
        <w:rPr/>
      </w:pPr>
      <w:r>
        <w:rPr>
          <w:rFonts w:ascii="Times New Roman;sans-serif" w:hAnsi="Times New Roman;sans-serif"/>
          <w:b w:val="false"/>
          <w:color w:val="000000"/>
          <w:sz w:val="24"/>
        </w:rPr>
        <w:t xml:space="preserve">1.1............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1</w:t>
      </w:r>
    </w:p>
    <w:p>
      <w:pPr>
        <w:pStyle w:val="TextBody"/>
        <w:spacing w:lineRule="auto" w:line="268" w:before="0" w:after="0"/>
        <w:ind w:left="0" w:right="0" w:firstLine="720"/>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Loan Classes</w:t>
      </w:r>
      <w:r>
        <w:rPr>
          <w:rFonts w:ascii="Times New Roman;sans-serif" w:hAnsi="Times New Roman;sans-serif"/>
          <w:b w:val="false"/>
          <w:color w:val="000000"/>
          <w:sz w:val="24"/>
        </w:rPr>
        <w:t>...................................................................... 26</w:t>
      </w:r>
    </w:p>
    <w:p>
      <w:pPr>
        <w:pStyle w:val="TextBody"/>
        <w:spacing w:lineRule="auto" w:line="268" w:before="0" w:after="0"/>
        <w:ind w:left="0" w:right="0" w:firstLine="720"/>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Computation of Time Periods</w:t>
      </w:r>
      <w:r>
        <w:rPr>
          <w:rFonts w:ascii="Times New Roman;sans-serif" w:hAnsi="Times New Roman;sans-serif"/>
          <w:b w:val="false"/>
          <w:color w:val="000000"/>
          <w:sz w:val="24"/>
        </w:rPr>
        <w:t>............................................ 26</w:t>
      </w:r>
    </w:p>
    <w:p>
      <w:pPr>
        <w:pStyle w:val="TextBody"/>
        <w:spacing w:lineRule="auto" w:line="268" w:before="0" w:after="0"/>
        <w:ind w:left="0" w:right="0" w:firstLine="720"/>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Other Definitional Terms</w:t>
      </w:r>
      <w:r>
        <w:rPr>
          <w:rFonts w:ascii="Times New Roman;sans-serif" w:hAnsi="Times New Roman;sans-serif"/>
          <w:b w:val="false"/>
          <w:color w:val="000000"/>
          <w:sz w:val="24"/>
        </w:rPr>
        <w:t>................................................... 26</w:t>
      </w:r>
    </w:p>
    <w:p>
      <w:pPr>
        <w:pStyle w:val="TextBody"/>
        <w:spacing w:lineRule="auto" w:line="268" w:before="0" w:after="0"/>
        <w:ind w:left="0" w:right="0" w:firstLine="720"/>
        <w:rPr/>
      </w:pPr>
      <w:r>
        <w:rPr>
          <w:rFonts w:ascii="Times New Roman;sans-serif" w:hAnsi="Times New Roman;sans-serif"/>
          <w:b w:val="false"/>
          <w:color w:val="000000"/>
          <w:sz w:val="24"/>
        </w:rPr>
        <w:t xml:space="preserve">1.5............ </w:t>
      </w:r>
      <w:r>
        <w:rPr>
          <w:rFonts w:ascii="Times New Roman;sans-serif" w:hAnsi="Times New Roman;sans-serif"/>
          <w:b w:val="false"/>
          <w:color w:val="000000"/>
          <w:sz w:val="24"/>
          <w:u w:val="single"/>
        </w:rPr>
        <w:t>Rates</w:t>
      </w:r>
      <w:r>
        <w:rPr>
          <w:rFonts w:ascii="Times New Roman;sans-serif" w:hAnsi="Times New Roman;sans-serif"/>
          <w:b w:val="false"/>
          <w:color w:val="000000"/>
          <w:sz w:val="24"/>
        </w:rPr>
        <w:t>................................................................................... 27</w:t>
      </w:r>
    </w:p>
    <w:p>
      <w:pPr>
        <w:pStyle w:val="TextBody"/>
        <w:spacing w:lineRule="auto" w:line="268" w:before="0" w:after="0"/>
        <w:rPr/>
      </w:pPr>
      <w:r>
        <w:rPr>
          <w:rFonts w:ascii="Times New Roman;sans-serif" w:hAnsi="Times New Roman;sans-serif"/>
          <w:b w:val="false"/>
          <w:color w:val="000000"/>
          <w:sz w:val="24"/>
        </w:rPr>
        <w:t>ARTICLE II</w:t>
      </w:r>
      <w:r>
        <w:rPr>
          <w:color w:val="000000"/>
          <w:u w:val="single"/>
        </w:rPr>
        <w:t xml:space="preserve"> </w:t>
      </w:r>
      <w:r>
        <w:rPr>
          <w:rFonts w:ascii="Times New Roman;sans-serif" w:hAnsi="Times New Roman;sans-serif"/>
          <w:b w:val="false"/>
          <w:color w:val="000000"/>
          <w:sz w:val="24"/>
          <w:u w:val="single"/>
        </w:rPr>
        <w:t>THE CREDITS</w:t>
      </w:r>
      <w:r>
        <w:rPr>
          <w:rFonts w:ascii="Times New Roman;sans-serif" w:hAnsi="Times New Roman;sans-serif"/>
          <w:b w:val="false"/>
          <w:color w:val="000000"/>
          <w:sz w:val="24"/>
        </w:rPr>
        <w:t>....................................................................... 27</w:t>
      </w:r>
    </w:p>
    <w:p>
      <w:pPr>
        <w:pStyle w:val="TextBody"/>
        <w:spacing w:lineRule="auto" w:line="268" w:before="0" w:after="0"/>
        <w:ind w:left="0" w:right="0" w:firstLine="720"/>
        <w:rPr/>
      </w:pPr>
      <w:r>
        <w:rPr>
          <w:rFonts w:ascii="Times New Roman;sans-serif" w:hAnsi="Times New Roman;sans-serif"/>
          <w:b w:val="false"/>
          <w:color w:val="000000"/>
          <w:sz w:val="24"/>
        </w:rPr>
        <w:t xml:space="preserve">2.1............ </w:t>
      </w:r>
      <w:r>
        <w:rPr>
          <w:rFonts w:ascii="Times New Roman;sans-serif" w:hAnsi="Times New Roman;sans-serif"/>
          <w:b w:val="false"/>
          <w:color w:val="000000"/>
          <w:sz w:val="24"/>
          <w:u w:val="single"/>
        </w:rPr>
        <w:t>Revolving Loan Commitment</w:t>
      </w:r>
      <w:r>
        <w:rPr>
          <w:rFonts w:ascii="Times New Roman;sans-serif" w:hAnsi="Times New Roman;sans-serif"/>
          <w:b w:val="false"/>
          <w:color w:val="000000"/>
          <w:sz w:val="24"/>
        </w:rPr>
        <w:t>............................................ 27</w:t>
      </w:r>
    </w:p>
    <w:p>
      <w:pPr>
        <w:pStyle w:val="TextBody"/>
        <w:spacing w:lineRule="auto" w:line="268" w:before="0" w:after="0"/>
        <w:ind w:left="0" w:right="0" w:firstLine="720"/>
        <w:rPr/>
      </w:pPr>
      <w:r>
        <w:rPr>
          <w:rFonts w:ascii="Times New Roman;sans-serif" w:hAnsi="Times New Roman;sans-serif"/>
          <w:b w:val="false"/>
          <w:color w:val="000000"/>
          <w:sz w:val="24"/>
        </w:rPr>
        <w:t xml:space="preserve">2.2............ </w:t>
      </w:r>
      <w:r>
        <w:rPr>
          <w:rFonts w:ascii="Times New Roman;sans-serif" w:hAnsi="Times New Roman;sans-serif"/>
          <w:b w:val="false"/>
          <w:color w:val="000000"/>
          <w:sz w:val="24"/>
          <w:u w:val="single"/>
        </w:rPr>
        <w:t>Determination of Amounts; Required Payments; Termination</w:t>
      </w:r>
      <w:r>
        <w:rPr>
          <w:rFonts w:ascii="Times New Roman;sans-serif" w:hAnsi="Times New Roman;sans-serif"/>
          <w:b w:val="false"/>
          <w:color w:val="000000"/>
          <w:sz w:val="24"/>
        </w:rPr>
        <w:t>........................................................................ 28</w:t>
      </w:r>
    </w:p>
    <w:p>
      <w:pPr>
        <w:pStyle w:val="TextBody"/>
        <w:spacing w:lineRule="auto" w:line="268" w:before="0" w:after="0"/>
        <w:ind w:left="0" w:right="0" w:firstLine="720"/>
        <w:rPr/>
      </w:pPr>
      <w:r>
        <w:rPr>
          <w:rFonts w:ascii="Times New Roman;sans-serif" w:hAnsi="Times New Roman;sans-serif"/>
          <w:b w:val="false"/>
          <w:color w:val="000000"/>
          <w:sz w:val="24"/>
        </w:rPr>
        <w:t xml:space="preserve">2.3............ </w:t>
      </w:r>
      <w:r>
        <w:rPr>
          <w:rFonts w:ascii="Times New Roman;sans-serif" w:hAnsi="Times New Roman;sans-serif"/>
          <w:b w:val="false"/>
          <w:color w:val="000000"/>
          <w:sz w:val="24"/>
          <w:u w:val="single"/>
        </w:rPr>
        <w:t>Ratable Loans; Types of Borrowings</w:t>
      </w:r>
      <w:r>
        <w:rPr>
          <w:rFonts w:ascii="Times New Roman;sans-serif" w:hAnsi="Times New Roman;sans-serif"/>
          <w:b w:val="false"/>
          <w:color w:val="000000"/>
          <w:sz w:val="24"/>
        </w:rPr>
        <w:t>................................ 28</w:t>
      </w:r>
    </w:p>
    <w:p>
      <w:pPr>
        <w:pStyle w:val="TextBody"/>
        <w:spacing w:lineRule="auto" w:line="268" w:before="0" w:after="0"/>
        <w:ind w:left="0" w:right="0" w:firstLine="720"/>
        <w:rPr/>
      </w:pPr>
      <w:r>
        <w:rPr>
          <w:rFonts w:ascii="Times New Roman;sans-serif" w:hAnsi="Times New Roman;sans-serif"/>
          <w:b w:val="false"/>
          <w:color w:val="000000"/>
          <w:sz w:val="24"/>
        </w:rPr>
        <w:t xml:space="preserve">2.4............ </w:t>
      </w:r>
      <w:r>
        <w:rPr>
          <w:rFonts w:ascii="Times New Roman;sans-serif" w:hAnsi="Times New Roman;sans-serif"/>
          <w:b w:val="false"/>
          <w:color w:val="000000"/>
          <w:sz w:val="24"/>
          <w:u w:val="single"/>
        </w:rPr>
        <w:t>Swing Line Loans</w:t>
      </w:r>
      <w:r>
        <w:rPr>
          <w:rFonts w:ascii="Times New Roman;sans-serif" w:hAnsi="Times New Roman;sans-serif"/>
          <w:b w:val="false"/>
          <w:color w:val="000000"/>
          <w:sz w:val="24"/>
        </w:rPr>
        <w:t>.............................................................. 28</w:t>
      </w:r>
    </w:p>
    <w:p>
      <w:pPr>
        <w:pStyle w:val="TextBody"/>
        <w:spacing w:lineRule="auto" w:line="268" w:before="0" w:after="0"/>
        <w:ind w:left="0" w:right="0" w:firstLine="720"/>
        <w:rPr/>
      </w:pPr>
      <w:r>
        <w:rPr>
          <w:rFonts w:ascii="Times New Roman;sans-serif" w:hAnsi="Times New Roman;sans-serif"/>
          <w:b w:val="false"/>
          <w:color w:val="000000"/>
          <w:sz w:val="24"/>
        </w:rPr>
        <w:t xml:space="preserve">2.5............ </w:t>
      </w:r>
      <w:r>
        <w:rPr>
          <w:rFonts w:ascii="Times New Roman;sans-serif" w:hAnsi="Times New Roman;sans-serif"/>
          <w:b w:val="false"/>
          <w:color w:val="000000"/>
          <w:sz w:val="24"/>
          <w:u w:val="single"/>
        </w:rPr>
        <w:t>Other Fees</w:t>
      </w:r>
      <w:r>
        <w:rPr>
          <w:rFonts w:ascii="Times New Roman;sans-serif" w:hAnsi="Times New Roman;sans-serif"/>
          <w:b w:val="false"/>
          <w:color w:val="000000"/>
          <w:sz w:val="24"/>
        </w:rPr>
        <w:t>.......................................................................... 30</w:t>
      </w:r>
    </w:p>
    <w:p>
      <w:pPr>
        <w:pStyle w:val="TextBody"/>
        <w:spacing w:lineRule="auto" w:line="268" w:before="0" w:after="0"/>
        <w:ind w:left="0" w:right="0" w:firstLine="720"/>
        <w:rPr/>
      </w:pPr>
      <w:r>
        <w:rPr>
          <w:rFonts w:ascii="Times New Roman;sans-serif" w:hAnsi="Times New Roman;sans-serif"/>
          <w:b w:val="false"/>
          <w:color w:val="000000"/>
          <w:sz w:val="24"/>
        </w:rPr>
        <w:t xml:space="preserve">2.6............ </w:t>
      </w:r>
      <w:r>
        <w:rPr>
          <w:rFonts w:ascii="Times New Roman;sans-serif" w:hAnsi="Times New Roman;sans-serif"/>
          <w:b w:val="false"/>
          <w:color w:val="000000"/>
          <w:sz w:val="24"/>
          <w:u w:val="single"/>
        </w:rPr>
        <w:t>Minimum Amount of Each SOFR Borrowing</w:t>
      </w:r>
      <w:r>
        <w:rPr>
          <w:rFonts w:ascii="Times New Roman;sans-serif" w:hAnsi="Times New Roman;sans-serif"/>
          <w:b w:val="false"/>
          <w:color w:val="000000"/>
          <w:sz w:val="24"/>
        </w:rPr>
        <w:t>................... 30</w:t>
      </w:r>
    </w:p>
    <w:p>
      <w:pPr>
        <w:pStyle w:val="TextBody"/>
        <w:spacing w:lineRule="auto" w:line="268" w:before="0" w:after="0"/>
        <w:ind w:left="0" w:right="0" w:firstLine="720"/>
        <w:rPr/>
      </w:pPr>
      <w:r>
        <w:rPr>
          <w:rFonts w:ascii="Times New Roman;sans-serif" w:hAnsi="Times New Roman;sans-serif"/>
          <w:b w:val="false"/>
          <w:color w:val="000000"/>
          <w:sz w:val="24"/>
        </w:rPr>
        <w:t xml:space="preserve">2.7............ </w:t>
      </w:r>
      <w:r>
        <w:rPr>
          <w:rFonts w:ascii="Times New Roman;sans-serif" w:hAnsi="Times New Roman;sans-serif"/>
          <w:b w:val="false"/>
          <w:color w:val="000000"/>
          <w:sz w:val="24"/>
          <w:u w:val="single"/>
        </w:rPr>
        <w:t>Optional Principal Payments</w:t>
      </w:r>
      <w:r>
        <w:rPr>
          <w:rFonts w:ascii="Times New Roman;sans-serif" w:hAnsi="Times New Roman;sans-serif"/>
          <w:b w:val="false"/>
          <w:color w:val="000000"/>
          <w:sz w:val="24"/>
        </w:rPr>
        <w:t>.............................................. 30</w:t>
      </w:r>
    </w:p>
    <w:p>
      <w:pPr>
        <w:pStyle w:val="TextBody"/>
        <w:spacing w:lineRule="auto" w:line="268" w:before="0" w:after="0"/>
        <w:ind w:left="0" w:right="0" w:firstLine="720"/>
        <w:rPr/>
      </w:pPr>
      <w:r>
        <w:rPr>
          <w:rFonts w:ascii="Times New Roman;sans-serif" w:hAnsi="Times New Roman;sans-serif"/>
          <w:b w:val="false"/>
          <w:color w:val="000000"/>
          <w:sz w:val="24"/>
        </w:rPr>
        <w:t xml:space="preserve">2.8............ </w:t>
      </w:r>
      <w:r>
        <w:rPr>
          <w:rFonts w:ascii="Times New Roman;sans-serif" w:hAnsi="Times New Roman;sans-serif"/>
          <w:b w:val="false"/>
          <w:color w:val="000000"/>
          <w:sz w:val="24"/>
          <w:u w:val="single"/>
        </w:rPr>
        <w:t>Method of Selecting Types and Interest Periods for New Revolving Borrowings</w:t>
      </w:r>
      <w:r>
        <w:rPr>
          <w:rFonts w:ascii="Times New Roman;sans-serif" w:hAnsi="Times New Roman;sans-serif"/>
          <w:b w:val="false"/>
          <w:color w:val="000000"/>
          <w:sz w:val="24"/>
        </w:rPr>
        <w:t>....................................................... 30</w:t>
      </w:r>
    </w:p>
    <w:p>
      <w:pPr>
        <w:pStyle w:val="TextBody"/>
        <w:spacing w:lineRule="auto" w:line="268" w:before="0" w:after="0"/>
        <w:ind w:left="0" w:right="0" w:firstLine="720"/>
        <w:rPr/>
      </w:pPr>
      <w:r>
        <w:rPr>
          <w:rFonts w:ascii="Times New Roman;sans-serif" w:hAnsi="Times New Roman;sans-serif"/>
          <w:b w:val="false"/>
          <w:color w:val="000000"/>
          <w:sz w:val="24"/>
        </w:rPr>
        <w:t xml:space="preserve">2.9............ </w:t>
      </w:r>
      <w:r>
        <w:rPr>
          <w:rFonts w:ascii="Times New Roman;sans-serif" w:hAnsi="Times New Roman;sans-serif"/>
          <w:b w:val="false"/>
          <w:color w:val="000000"/>
          <w:sz w:val="24"/>
          <w:u w:val="single"/>
        </w:rPr>
        <w:t>Conversion and Continuation of Outstanding Borrowings; Maximum Number of Interest Periods</w:t>
      </w:r>
      <w:r>
        <w:rPr>
          <w:rFonts w:ascii="Times New Roman;sans-serif" w:hAnsi="Times New Roman;sans-serif"/>
          <w:b w:val="false"/>
          <w:color w:val="000000"/>
          <w:sz w:val="24"/>
        </w:rPr>
        <w:t>.............................. 30</w:t>
      </w:r>
    </w:p>
    <w:p>
      <w:pPr>
        <w:pStyle w:val="TextBody"/>
        <w:spacing w:lineRule="auto" w:line="268" w:before="0" w:after="0"/>
        <w:ind w:left="0" w:right="0" w:firstLine="720"/>
        <w:rPr/>
      </w:pPr>
      <w:r>
        <w:rPr>
          <w:rFonts w:ascii="Times New Roman;sans-serif" w:hAnsi="Times New Roman;sans-serif"/>
          <w:b w:val="false"/>
          <w:color w:val="000000"/>
          <w:sz w:val="24"/>
        </w:rPr>
        <w:t xml:space="preserve">2.10.......... </w:t>
      </w:r>
      <w:r>
        <w:rPr>
          <w:rFonts w:ascii="Times New Roman;sans-serif" w:hAnsi="Times New Roman;sans-serif"/>
          <w:b w:val="false"/>
          <w:color w:val="000000"/>
          <w:sz w:val="24"/>
          <w:u w:val="single"/>
        </w:rPr>
        <w:t>Interest Rates</w:t>
      </w:r>
      <w:r>
        <w:rPr>
          <w:rFonts w:ascii="Times New Roman;sans-serif" w:hAnsi="Times New Roman;sans-serif"/>
          <w:b w:val="false"/>
          <w:color w:val="000000"/>
          <w:sz w:val="24"/>
        </w:rPr>
        <w:t>...................................................................... 31</w:t>
      </w:r>
    </w:p>
    <w:p>
      <w:pPr>
        <w:pStyle w:val="TextBody"/>
        <w:spacing w:lineRule="auto" w:line="268" w:before="0" w:after="0"/>
        <w:ind w:left="0" w:right="0" w:firstLine="720"/>
        <w:rPr/>
      </w:pPr>
      <w:r>
        <w:rPr>
          <w:rFonts w:ascii="Times New Roman;sans-serif" w:hAnsi="Times New Roman;sans-serif"/>
          <w:b w:val="false"/>
          <w:color w:val="000000"/>
          <w:sz w:val="24"/>
        </w:rPr>
        <w:t xml:space="preserve">2.11.......... </w:t>
      </w:r>
      <w:r>
        <w:rPr>
          <w:rFonts w:ascii="Times New Roman;sans-serif" w:hAnsi="Times New Roman;sans-serif"/>
          <w:b w:val="false"/>
          <w:color w:val="000000"/>
          <w:sz w:val="24"/>
          <w:u w:val="single"/>
        </w:rPr>
        <w:t>Rates Applicable After Event of Default</w:t>
      </w:r>
      <w:r>
        <w:rPr>
          <w:rFonts w:ascii="Times New Roman;sans-serif" w:hAnsi="Times New Roman;sans-serif"/>
          <w:b w:val="false"/>
          <w:color w:val="000000"/>
          <w:sz w:val="24"/>
        </w:rPr>
        <w:t>........................... 31</w:t>
      </w:r>
    </w:p>
    <w:p>
      <w:pPr>
        <w:pStyle w:val="TextBody"/>
        <w:spacing w:lineRule="auto" w:line="268" w:before="0" w:after="0"/>
        <w:ind w:left="0" w:right="0" w:firstLine="720"/>
        <w:rPr/>
      </w:pPr>
      <w:r>
        <w:rPr>
          <w:rFonts w:ascii="Times New Roman;sans-serif" w:hAnsi="Times New Roman;sans-serif"/>
          <w:b w:val="false"/>
          <w:color w:val="000000"/>
          <w:sz w:val="24"/>
        </w:rPr>
        <w:t xml:space="preserve">2.12.......... </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 32</w:t>
      </w:r>
    </w:p>
    <w:p>
      <w:pPr>
        <w:pStyle w:val="TextBody"/>
        <w:spacing w:lineRule="auto" w:line="268" w:before="0" w:after="0"/>
        <w:ind w:left="0" w:right="0" w:firstLine="720"/>
        <w:rPr/>
      </w:pPr>
      <w:r>
        <w:rPr>
          <w:rFonts w:ascii="Times New Roman;sans-serif" w:hAnsi="Times New Roman;sans-serif"/>
          <w:b w:val="false"/>
          <w:color w:val="000000"/>
          <w:sz w:val="24"/>
        </w:rPr>
        <w:t xml:space="preserve">2.13.......... </w:t>
      </w:r>
      <w:r>
        <w:rPr>
          <w:rFonts w:ascii="Times New Roman;sans-serif" w:hAnsi="Times New Roman;sans-serif"/>
          <w:b w:val="false"/>
          <w:color w:val="000000"/>
          <w:sz w:val="24"/>
          <w:u w:val="single"/>
        </w:rPr>
        <w:t>Noteless Agreement; Evidence of Indebtedness</w:t>
      </w:r>
      <w:r>
        <w:rPr>
          <w:rFonts w:ascii="Times New Roman;sans-serif" w:hAnsi="Times New Roman;sans-serif"/>
          <w:b w:val="false"/>
          <w:color w:val="000000"/>
          <w:sz w:val="24"/>
        </w:rPr>
        <w:t>................ 32</w:t>
      </w:r>
    </w:p>
    <w:p>
      <w:pPr>
        <w:pStyle w:val="TextBody"/>
        <w:spacing w:lineRule="auto" w:line="268" w:before="0" w:after="0"/>
        <w:ind w:left="0" w:right="0" w:firstLine="720"/>
        <w:rPr/>
      </w:pPr>
      <w:r>
        <w:rPr>
          <w:rFonts w:ascii="Times New Roman;sans-serif" w:hAnsi="Times New Roman;sans-serif"/>
          <w:b w:val="false"/>
          <w:color w:val="000000"/>
          <w:sz w:val="24"/>
        </w:rPr>
        <w:t xml:space="preserve">2.14.......... </w:t>
      </w:r>
      <w:r>
        <w:rPr>
          <w:rFonts w:ascii="Times New Roman;sans-serif" w:hAnsi="Times New Roman;sans-serif"/>
          <w:b w:val="false"/>
          <w:color w:val="000000"/>
          <w:sz w:val="24"/>
          <w:u w:val="single"/>
        </w:rPr>
        <w:t>Telephonic Notices</w:t>
      </w:r>
      <w:r>
        <w:rPr>
          <w:rFonts w:ascii="Times New Roman;sans-serif" w:hAnsi="Times New Roman;sans-serif"/>
          <w:b w:val="false"/>
          <w:color w:val="000000"/>
          <w:sz w:val="24"/>
        </w:rPr>
        <w:t>............................................................ 33</w:t>
      </w:r>
    </w:p>
    <w:p>
      <w:pPr>
        <w:pStyle w:val="TextBody"/>
        <w:spacing w:lineRule="auto" w:line="268" w:before="0" w:after="0"/>
        <w:ind w:left="0" w:right="0" w:firstLine="720"/>
        <w:rPr/>
      </w:pPr>
      <w:r>
        <w:rPr>
          <w:rFonts w:ascii="Times New Roman;sans-serif" w:hAnsi="Times New Roman;sans-serif"/>
          <w:b w:val="false"/>
          <w:color w:val="000000"/>
          <w:sz w:val="24"/>
        </w:rPr>
        <w:t xml:space="preserve">2.15.......... </w:t>
      </w:r>
      <w:r>
        <w:rPr>
          <w:rFonts w:ascii="Times New Roman;sans-serif" w:hAnsi="Times New Roman;sans-serif"/>
          <w:b w:val="false"/>
          <w:color w:val="000000"/>
          <w:sz w:val="24"/>
          <w:u w:val="single"/>
        </w:rPr>
        <w:t>Interest Payment Dates; Interest and Fee Basis</w:t>
      </w:r>
      <w:r>
        <w:rPr>
          <w:rFonts w:ascii="Times New Roman;sans-serif" w:hAnsi="Times New Roman;sans-serif"/>
          <w:b w:val="false"/>
          <w:color w:val="000000"/>
          <w:sz w:val="24"/>
        </w:rPr>
        <w:t>................. 33</w:t>
      </w:r>
    </w:p>
    <w:p>
      <w:pPr>
        <w:pStyle w:val="TextBody"/>
        <w:spacing w:lineRule="auto" w:line="268" w:before="0" w:after="0"/>
        <w:ind w:left="0" w:right="0" w:firstLine="720"/>
        <w:rPr/>
      </w:pPr>
      <w:r>
        <w:rPr>
          <w:rFonts w:ascii="Times New Roman;sans-serif" w:hAnsi="Times New Roman;sans-serif"/>
          <w:b w:val="false"/>
          <w:color w:val="000000"/>
          <w:sz w:val="24"/>
        </w:rPr>
        <w:t xml:space="preserve">2.16.......... </w:t>
      </w:r>
      <w:r>
        <w:rPr>
          <w:rFonts w:ascii="Times New Roman;sans-serif" w:hAnsi="Times New Roman;sans-serif"/>
          <w:b w:val="false"/>
          <w:color w:val="000000"/>
          <w:sz w:val="24"/>
          <w:u w:val="single"/>
        </w:rPr>
        <w:t>Notification of Borrowings, Interest Rates, Prepayments and Revolving Commitment Reductions</w:t>
      </w:r>
      <w:r>
        <w:rPr>
          <w:rFonts w:ascii="Times New Roman;sans-serif" w:hAnsi="Times New Roman;sans-serif"/>
          <w:b w:val="false"/>
          <w:color w:val="000000"/>
          <w:sz w:val="24"/>
        </w:rPr>
        <w:t>........................... 34</w:t>
      </w:r>
    </w:p>
    <w:p>
      <w:pPr>
        <w:pStyle w:val="TextBody"/>
        <w:spacing w:lineRule="auto" w:line="268" w:before="0" w:after="0"/>
        <w:ind w:left="0" w:right="0" w:firstLine="720"/>
        <w:rPr/>
      </w:pPr>
      <w:r>
        <w:rPr>
          <w:rFonts w:ascii="Times New Roman;sans-serif" w:hAnsi="Times New Roman;sans-serif"/>
          <w:b w:val="false"/>
          <w:color w:val="000000"/>
          <w:sz w:val="24"/>
        </w:rPr>
        <w:t xml:space="preserve">2.17.......... </w:t>
      </w:r>
      <w:r>
        <w:rPr>
          <w:rFonts w:ascii="Times New Roman;sans-serif" w:hAnsi="Times New Roman;sans-serif"/>
          <w:b w:val="false"/>
          <w:color w:val="000000"/>
          <w:sz w:val="24"/>
          <w:u w:val="single"/>
        </w:rPr>
        <w:t>Lending Installations</w:t>
      </w:r>
      <w:r>
        <w:rPr>
          <w:rFonts w:ascii="Times New Roman;sans-serif" w:hAnsi="Times New Roman;sans-serif"/>
          <w:b w:val="false"/>
          <w:color w:val="000000"/>
          <w:sz w:val="24"/>
        </w:rPr>
        <w:t>.......................................................... 34</w:t>
      </w:r>
    </w:p>
    <w:p>
      <w:pPr>
        <w:pStyle w:val="TextBody"/>
        <w:spacing w:lineRule="auto" w:line="268" w:before="0" w:after="0"/>
        <w:ind w:left="0" w:right="0" w:firstLine="720"/>
        <w:rPr/>
      </w:pPr>
      <w:r>
        <w:rPr>
          <w:rFonts w:ascii="Times New Roman;sans-serif" w:hAnsi="Times New Roman;sans-serif"/>
          <w:b w:val="false"/>
          <w:color w:val="000000"/>
          <w:sz w:val="24"/>
        </w:rPr>
        <w:t xml:space="preserve">2.18.......... </w:t>
      </w:r>
      <w:r>
        <w:rPr>
          <w:rFonts w:ascii="Times New Roman;sans-serif" w:hAnsi="Times New Roman;sans-serif"/>
          <w:b w:val="false"/>
          <w:color w:val="000000"/>
          <w:sz w:val="24"/>
          <w:u w:val="single"/>
        </w:rPr>
        <w:t>Non-Receipt of Funds by the Administrative Agent</w:t>
      </w:r>
      <w:r>
        <w:rPr>
          <w:rFonts w:ascii="Times New Roman;sans-serif" w:hAnsi="Times New Roman;sans-serif"/>
          <w:b w:val="false"/>
          <w:color w:val="000000"/>
          <w:sz w:val="24"/>
        </w:rPr>
        <w:t>......... 34</w:t>
      </w:r>
    </w:p>
    <w:p>
      <w:pPr>
        <w:pStyle w:val="TextBody"/>
        <w:spacing w:lineRule="auto" w:line="268" w:before="0" w:after="0"/>
        <w:ind w:left="0" w:right="0" w:firstLine="720"/>
        <w:rPr/>
      </w:pPr>
      <w:r>
        <w:rPr>
          <w:rFonts w:ascii="Times New Roman;sans-serif" w:hAnsi="Times New Roman;sans-serif"/>
          <w:b w:val="false"/>
          <w:color w:val="000000"/>
          <w:sz w:val="24"/>
        </w:rPr>
        <w:t xml:space="preserve">2.19.......... </w:t>
      </w:r>
      <w:r>
        <w:rPr>
          <w:rFonts w:ascii="Times New Roman;sans-serif" w:hAnsi="Times New Roman;sans-serif"/>
          <w:b w:val="false"/>
          <w:color w:val="000000"/>
          <w:sz w:val="24"/>
          <w:u w:val="single"/>
        </w:rPr>
        <w:t>Facility LCs</w:t>
      </w:r>
      <w:r>
        <w:rPr>
          <w:rFonts w:ascii="Times New Roman;sans-serif" w:hAnsi="Times New Roman;sans-serif"/>
          <w:b w:val="false"/>
          <w:color w:val="000000"/>
          <w:sz w:val="24"/>
        </w:rPr>
        <w:t>........................................................................ 34</w:t>
      </w:r>
    </w:p>
    <w:p>
      <w:pPr>
        <w:pStyle w:val="TextBody"/>
        <w:spacing w:lineRule="auto" w:line="268" w:before="0" w:after="0"/>
        <w:ind w:left="0" w:right="0" w:firstLine="720"/>
        <w:rPr/>
      </w:pPr>
      <w:r>
        <w:rPr>
          <w:rFonts w:ascii="Times New Roman;sans-serif" w:hAnsi="Times New Roman;sans-serif"/>
          <w:b w:val="false"/>
          <w:color w:val="000000"/>
          <w:sz w:val="24"/>
        </w:rPr>
        <w:t xml:space="preserve">2.20.......... </w:t>
      </w:r>
      <w:r>
        <w:rPr>
          <w:rFonts w:ascii="Times New Roman;sans-serif" w:hAnsi="Times New Roman;sans-serif"/>
          <w:b w:val="false"/>
          <w:color w:val="000000"/>
          <w:sz w:val="24"/>
          <w:u w:val="single"/>
        </w:rPr>
        <w:t>Replacement of Lender</w:t>
      </w:r>
      <w:r>
        <w:rPr>
          <w:rFonts w:ascii="Times New Roman;sans-serif" w:hAnsi="Times New Roman;sans-serif"/>
          <w:b w:val="false"/>
          <w:color w:val="000000"/>
          <w:sz w:val="24"/>
        </w:rPr>
        <w:t>...................................................... 39</w:t>
      </w:r>
    </w:p>
    <w:p>
      <w:pPr>
        <w:pStyle w:val="TextBody"/>
        <w:spacing w:lineRule="auto" w:line="268" w:before="0" w:after="0"/>
        <w:ind w:left="0" w:right="0" w:firstLine="720"/>
        <w:rPr/>
      </w:pPr>
      <w:r>
        <w:rPr>
          <w:rFonts w:ascii="Times New Roman;sans-serif" w:hAnsi="Times New Roman;sans-serif"/>
          <w:b w:val="false"/>
          <w:color w:val="000000"/>
          <w:sz w:val="24"/>
        </w:rPr>
        <w:t xml:space="preserve">2.21.......... </w:t>
      </w:r>
      <w:r>
        <w:rPr>
          <w:rFonts w:ascii="Times New Roman;sans-serif" w:hAnsi="Times New Roman;sans-serif"/>
          <w:b w:val="false"/>
          <w:color w:val="000000"/>
          <w:sz w:val="24"/>
          <w:u w:val="single"/>
        </w:rPr>
        <w:t>Limitation of Interest</w:t>
      </w:r>
      <w:r>
        <w:rPr>
          <w:rFonts w:ascii="Times New Roman;sans-serif" w:hAnsi="Times New Roman;sans-serif"/>
          <w:b w:val="false"/>
          <w:color w:val="000000"/>
          <w:sz w:val="24"/>
        </w:rPr>
        <w:t>......................................................... 39</w:t>
      </w:r>
    </w:p>
    <w:p>
      <w:pPr>
        <w:pStyle w:val="TextBody"/>
        <w:spacing w:lineRule="auto" w:line="268" w:before="0" w:after="0"/>
        <w:ind w:left="0" w:right="0" w:firstLine="720"/>
        <w:rPr/>
      </w:pPr>
      <w:r>
        <w:rPr>
          <w:rFonts w:ascii="Times New Roman;sans-serif" w:hAnsi="Times New Roman;sans-serif"/>
          <w:b w:val="false"/>
          <w:color w:val="000000"/>
          <w:sz w:val="24"/>
        </w:rPr>
        <w:t xml:space="preserve">2.22.......... </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 40</w:t>
      </w:r>
    </w:p>
    <w:p>
      <w:pPr>
        <w:pStyle w:val="TextBody"/>
        <w:spacing w:lineRule="auto" w:line="268" w:before="0" w:after="0"/>
        <w:ind w:left="0" w:right="0" w:firstLine="720"/>
        <w:rPr/>
      </w:pPr>
      <w:r>
        <w:rPr>
          <w:rFonts w:ascii="Times New Roman;sans-serif" w:hAnsi="Times New Roman;sans-serif"/>
          <w:b w:val="false"/>
          <w:color w:val="000000"/>
          <w:sz w:val="24"/>
        </w:rPr>
        <w:t xml:space="preserve">2.23.......... </w:t>
      </w:r>
      <w:r>
        <w:rPr>
          <w:rFonts w:ascii="Times New Roman;sans-serif" w:hAnsi="Times New Roman;sans-serif"/>
          <w:b w:val="false"/>
          <w:color w:val="000000"/>
          <w:sz w:val="24"/>
          <w:u w:val="single"/>
        </w:rPr>
        <w:t>Judgment Currency</w:t>
      </w:r>
      <w:r>
        <w:rPr>
          <w:rFonts w:ascii="Times New Roman;sans-serif" w:hAnsi="Times New Roman;sans-serif"/>
          <w:b w:val="false"/>
          <w:color w:val="000000"/>
          <w:sz w:val="24"/>
        </w:rPr>
        <w:t>............................................................ 44</w:t>
      </w:r>
    </w:p>
    <w:p>
      <w:pPr>
        <w:pStyle w:val="TextBody"/>
        <w:spacing w:lineRule="auto" w:line="268" w:before="0" w:after="0"/>
        <w:rPr/>
      </w:pPr>
      <w:r>
        <w:rPr>
          <w:rFonts w:ascii="Times New Roman;sans-serif" w:hAnsi="Times New Roman;sans-serif"/>
          <w:b w:val="false"/>
          <w:color w:val="000000"/>
          <w:sz w:val="24"/>
        </w:rPr>
        <w:t>ARTICLE III</w:t>
      </w:r>
      <w:r>
        <w:rPr>
          <w:color w:val="000000"/>
          <w:u w:val="single"/>
        </w:rPr>
        <w:t xml:space="preserve"> </w:t>
      </w:r>
      <w:r>
        <w:rPr>
          <w:rFonts w:ascii="Times New Roman;sans-serif" w:hAnsi="Times New Roman;sans-serif"/>
          <w:b w:val="false"/>
          <w:color w:val="000000"/>
          <w:sz w:val="24"/>
          <w:u w:val="single"/>
        </w:rPr>
        <w:t>YIELD PROTECTION; TAXES</w:t>
      </w:r>
      <w:r>
        <w:rPr>
          <w:rFonts w:ascii="Times New Roman;sans-serif" w:hAnsi="Times New Roman;sans-serif"/>
          <w:b w:val="false"/>
          <w:color w:val="000000"/>
          <w:sz w:val="24"/>
        </w:rPr>
        <w:t>......................................... 45</w:t>
      </w:r>
    </w:p>
    <w:p>
      <w:pPr>
        <w:pStyle w:val="TextBody"/>
        <w:spacing w:lineRule="auto" w:line="268" w:before="0" w:after="0"/>
        <w:ind w:left="0" w:right="0" w:firstLine="720"/>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Yield Protection</w:t>
      </w:r>
      <w:r>
        <w:rPr>
          <w:rFonts w:ascii="Times New Roman;sans-serif" w:hAnsi="Times New Roman;sans-serif"/>
          <w:b w:val="false"/>
          <w:color w:val="000000"/>
          <w:sz w:val="24"/>
        </w:rPr>
        <w:t>................................................................. 45</w:t>
      </w:r>
    </w:p>
    <w:p>
      <w:pPr>
        <w:pStyle w:val="TextBody"/>
        <w:spacing w:lineRule="auto" w:line="268" w:before="0" w:after="0"/>
        <w:ind w:left="0" w:right="0" w:firstLine="720"/>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Changes in Capital Adequacy Regulations</w:t>
      </w:r>
      <w:r>
        <w:rPr>
          <w:rFonts w:ascii="Times New Roman;sans-serif" w:hAnsi="Times New Roman;sans-serif"/>
          <w:b w:val="false"/>
          <w:color w:val="000000"/>
          <w:sz w:val="24"/>
        </w:rPr>
        <w:t>........................ 46</w:t>
      </w:r>
    </w:p>
    <w:p>
      <w:pPr>
        <w:pStyle w:val="TextBody"/>
        <w:spacing w:lineRule="auto" w:line="268" w:before="0" w:after="0"/>
        <w:ind w:left="0" w:right="0" w:firstLine="720"/>
        <w:rPr/>
      </w:pPr>
      <w:r>
        <w:rPr>
          <w:rFonts w:ascii="Times New Roman;sans-serif" w:hAnsi="Times New Roman;sans-serif"/>
          <w:b w:val="false"/>
          <w:color w:val="000000"/>
          <w:sz w:val="24"/>
        </w:rPr>
        <w:t xml:space="preserve">3.3............ </w:t>
      </w:r>
      <w:r>
        <w:rPr>
          <w:rFonts w:ascii="Times New Roman;sans-serif" w:hAnsi="Times New Roman;sans-serif"/>
          <w:b w:val="false"/>
          <w:color w:val="000000"/>
          <w:sz w:val="24"/>
          <w:u w:val="single"/>
        </w:rPr>
        <w:t>Availability of Types of Borrowings; Adequacy of Interest Rate; Benchmark Replacement</w:t>
      </w:r>
      <w:r>
        <w:rPr>
          <w:rFonts w:ascii="Times New Roman;sans-serif" w:hAnsi="Times New Roman;sans-serif"/>
          <w:b w:val="false"/>
          <w:color w:val="000000"/>
          <w:sz w:val="24"/>
        </w:rPr>
        <w:t>.......................................... 46</w:t>
      </w:r>
    </w:p>
    <w:p>
      <w:pPr>
        <w:pStyle w:val="TextBody"/>
        <w:spacing w:lineRule="auto" w:line="268" w:before="0" w:after="0"/>
        <w:ind w:left="0" w:right="0" w:firstLine="720"/>
        <w:rPr/>
      </w:pPr>
      <w:r>
        <w:rPr>
          <w:rFonts w:ascii="Times New Roman;sans-serif" w:hAnsi="Times New Roman;sans-serif"/>
          <w:b w:val="false"/>
          <w:color w:val="000000"/>
          <w:sz w:val="24"/>
        </w:rPr>
        <w:t xml:space="preserve">3.4............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49</w:t>
      </w:r>
    </w:p>
    <w:p>
      <w:pPr>
        <w:pStyle w:val="TextBody"/>
        <w:spacing w:lineRule="auto" w:line="268" w:before="0" w:after="0"/>
        <w:ind w:left="0" w:right="0" w:firstLine="720"/>
        <w:rPr/>
      </w:pPr>
      <w:r>
        <w:rPr>
          <w:rFonts w:ascii="Times New Roman;sans-serif" w:hAnsi="Times New Roman;sans-serif"/>
          <w:b w:val="false"/>
          <w:color w:val="000000"/>
          <w:sz w:val="24"/>
        </w:rPr>
        <w:t xml:space="preserve">3.5............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49</w:t>
      </w:r>
    </w:p>
    <w:p>
      <w:pPr>
        <w:pStyle w:val="TextBody"/>
        <w:spacing w:lineRule="auto" w:line="268" w:before="0" w:after="0"/>
        <w:ind w:left="0" w:right="0" w:firstLine="720"/>
        <w:rPr/>
      </w:pPr>
      <w:r>
        <w:rPr>
          <w:rFonts w:ascii="Times New Roman;sans-serif" w:hAnsi="Times New Roman;sans-serif"/>
          <w:b w:val="false"/>
          <w:color w:val="000000"/>
          <w:sz w:val="24"/>
        </w:rPr>
        <w:t xml:space="preserve">3.6............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52</w:t>
      </w:r>
    </w:p>
    <w:p>
      <w:pPr>
        <w:pStyle w:val="TextBody"/>
        <w:spacing w:lineRule="auto" w:line="268" w:before="0" w:after="0"/>
        <w:rPr/>
      </w:pPr>
      <w:r>
        <w:rPr>
          <w:rFonts w:ascii="Times New Roman;sans-serif" w:hAnsi="Times New Roman;sans-serif"/>
          <w:b w:val="false"/>
          <w:color w:val="000000"/>
          <w:sz w:val="24"/>
        </w:rPr>
        <w:t>ARTICLE IV</w:t>
      </w:r>
      <w:r>
        <w:rPr>
          <w:color w:val="000000"/>
          <w:u w:val="single"/>
        </w:rPr>
        <w:t xml:space="preserve"> </w:t>
      </w:r>
      <w:r>
        <w:rPr>
          <w:rFonts w:ascii="Times New Roman;sans-serif" w:hAnsi="Times New Roman;sans-serif"/>
          <w:b w:val="false"/>
          <w:color w:val="000000"/>
          <w:sz w:val="24"/>
          <w:u w:val="single"/>
        </w:rPr>
        <w:t>CONDITIONS PRECEDENT</w:t>
      </w:r>
      <w:r>
        <w:rPr>
          <w:rFonts w:ascii="Times New Roman;sans-serif" w:hAnsi="Times New Roman;sans-serif"/>
          <w:b w:val="false"/>
          <w:color w:val="000000"/>
          <w:sz w:val="24"/>
        </w:rPr>
        <w:t>.............................................. 53</w:t>
      </w:r>
    </w:p>
    <w:p>
      <w:pPr>
        <w:pStyle w:val="TextBody"/>
        <w:spacing w:lineRule="auto" w:line="268"/>
        <w:ind w:left="0" w:right="0" w:firstLine="720"/>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Initial Credit Extension</w:t>
      </w:r>
      <w:r>
        <w:rPr>
          <w:rFonts w:ascii="Times New Roman;sans-serif" w:hAnsi="Times New Roman;sans-serif"/>
          <w:b w:val="false"/>
          <w:color w:val="000000"/>
          <w:sz w:val="24"/>
        </w:rPr>
        <w:t>...................................................... 53</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rPr/>
      </w:pPr>
      <w:r>
        <w:rPr>
          <w:rFonts w:ascii="Times New Roman;sans-serif" w:hAnsi="Times New Roman;sans-serif"/>
          <w:b w:val="false"/>
          <w:color w:val="000000"/>
          <w:sz w:val="24"/>
        </w:rPr>
        <w:t xml:space="preserve">4.2............ </w:t>
      </w:r>
      <w:r>
        <w:rPr>
          <w:rFonts w:ascii="Times New Roman;sans-serif" w:hAnsi="Times New Roman;sans-serif"/>
          <w:b w:val="false"/>
          <w:color w:val="000000"/>
          <w:sz w:val="24"/>
          <w:u w:val="single"/>
        </w:rPr>
        <w:t>Each Credit Extension</w:t>
      </w:r>
      <w:r>
        <w:rPr>
          <w:rFonts w:ascii="Times New Roman;sans-serif" w:hAnsi="Times New Roman;sans-serif"/>
          <w:b w:val="false"/>
          <w:color w:val="000000"/>
          <w:sz w:val="24"/>
        </w:rPr>
        <w:t>........................................................ 54</w:t>
      </w:r>
    </w:p>
    <w:p>
      <w:pPr>
        <w:pStyle w:val="TextBody"/>
        <w:spacing w:lineRule="auto" w:line="268" w:before="0" w:after="0"/>
        <w:rPr/>
      </w:pPr>
      <w:r>
        <w:rPr>
          <w:rFonts w:ascii="Times New Roman;sans-serif" w:hAnsi="Times New Roman;sans-serif"/>
          <w:b w:val="false"/>
          <w:color w:val="000000"/>
          <w:sz w:val="24"/>
        </w:rPr>
        <w:t>ARTICLE V</w:t>
      </w:r>
      <w:r>
        <w:rPr>
          <w:color w:val="000000"/>
          <w:u w:val="single"/>
        </w:rPr>
        <w:t xml:space="preserve">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55</w:t>
      </w:r>
    </w:p>
    <w:p>
      <w:pPr>
        <w:pStyle w:val="TextBody"/>
        <w:spacing w:lineRule="auto" w:line="268" w:before="0" w:after="0"/>
        <w:ind w:left="0" w:right="0" w:firstLine="720"/>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Existence and Standing</w:t>
      </w:r>
      <w:r>
        <w:rPr>
          <w:rFonts w:ascii="Times New Roman;sans-serif" w:hAnsi="Times New Roman;sans-serif"/>
          <w:b w:val="false"/>
          <w:color w:val="000000"/>
          <w:sz w:val="24"/>
        </w:rPr>
        <w:t>...................................................... 55</w:t>
      </w:r>
    </w:p>
    <w:p>
      <w:pPr>
        <w:pStyle w:val="TextBody"/>
        <w:spacing w:lineRule="auto" w:line="268" w:before="0" w:after="0"/>
        <w:ind w:left="0" w:right="0" w:firstLine="720"/>
        <w:rPr/>
      </w:pPr>
      <w:r>
        <w:rPr>
          <w:rFonts w:ascii="Times New Roman;sans-serif" w:hAnsi="Times New Roman;sans-serif"/>
          <w:b w:val="false"/>
          <w:color w:val="000000"/>
          <w:sz w:val="24"/>
        </w:rPr>
        <w:t xml:space="preserve">5.2............ </w:t>
      </w:r>
      <w:r>
        <w:rPr>
          <w:rFonts w:ascii="Times New Roman;sans-serif" w:hAnsi="Times New Roman;sans-serif"/>
          <w:b w:val="false"/>
          <w:color w:val="000000"/>
          <w:sz w:val="24"/>
          <w:u w:val="single"/>
        </w:rPr>
        <w:t>Authorization and Validity</w:t>
      </w:r>
      <w:r>
        <w:rPr>
          <w:rFonts w:ascii="Times New Roman;sans-serif" w:hAnsi="Times New Roman;sans-serif"/>
          <w:b w:val="false"/>
          <w:color w:val="000000"/>
          <w:sz w:val="24"/>
        </w:rPr>
        <w:t>................................................ 55</w:t>
      </w:r>
    </w:p>
    <w:p>
      <w:pPr>
        <w:pStyle w:val="TextBody"/>
        <w:spacing w:lineRule="auto" w:line="268" w:before="0" w:after="0"/>
        <w:ind w:left="0" w:right="0" w:firstLine="720"/>
        <w:rPr/>
      </w:pPr>
      <w:r>
        <w:rPr>
          <w:rFonts w:ascii="Times New Roman;sans-serif" w:hAnsi="Times New Roman;sans-serif"/>
          <w:b w:val="false"/>
          <w:color w:val="000000"/>
          <w:sz w:val="24"/>
        </w:rPr>
        <w:t xml:space="preserve">5.3............ </w:t>
      </w:r>
      <w:r>
        <w:rPr>
          <w:rFonts w:ascii="Times New Roman;sans-serif" w:hAnsi="Times New Roman;sans-serif"/>
          <w:b w:val="false"/>
          <w:color w:val="000000"/>
          <w:sz w:val="24"/>
          <w:u w:val="single"/>
        </w:rPr>
        <w:t>No Conflict; No Default</w:t>
      </w:r>
      <w:r>
        <w:rPr>
          <w:rFonts w:ascii="Times New Roman;sans-serif" w:hAnsi="Times New Roman;sans-serif"/>
          <w:b w:val="false"/>
          <w:color w:val="000000"/>
          <w:sz w:val="24"/>
        </w:rPr>
        <w:t>..................................................... 56</w:t>
      </w:r>
    </w:p>
    <w:p>
      <w:pPr>
        <w:pStyle w:val="TextBody"/>
        <w:spacing w:lineRule="auto" w:line="268" w:before="0" w:after="0"/>
        <w:ind w:left="0" w:right="0" w:firstLine="720"/>
        <w:rPr/>
      </w:pPr>
      <w:r>
        <w:rPr>
          <w:rFonts w:ascii="Times New Roman;sans-serif" w:hAnsi="Times New Roman;sans-serif"/>
          <w:b w:val="false"/>
          <w:color w:val="000000"/>
          <w:sz w:val="24"/>
        </w:rPr>
        <w:t xml:space="preserve">5.4............ </w:t>
      </w:r>
      <w:r>
        <w:rPr>
          <w:rFonts w:ascii="Times New Roman;sans-serif" w:hAnsi="Times New Roman;sans-serif"/>
          <w:b w:val="false"/>
          <w:color w:val="000000"/>
          <w:sz w:val="24"/>
          <w:u w:val="single"/>
        </w:rPr>
        <w:t>Government Consent</w:t>
      </w:r>
      <w:r>
        <w:rPr>
          <w:rFonts w:ascii="Times New Roman;sans-serif" w:hAnsi="Times New Roman;sans-serif"/>
          <w:b w:val="false"/>
          <w:color w:val="000000"/>
          <w:sz w:val="24"/>
        </w:rPr>
        <w:t>......................................................... 56</w:t>
      </w:r>
    </w:p>
    <w:p>
      <w:pPr>
        <w:pStyle w:val="TextBody"/>
        <w:spacing w:lineRule="auto" w:line="268" w:before="0" w:after="0"/>
        <w:ind w:left="0" w:right="0" w:firstLine="720"/>
        <w:rPr/>
      </w:pPr>
      <w:r>
        <w:rPr>
          <w:rFonts w:ascii="Times New Roman;sans-serif" w:hAnsi="Times New Roman;sans-serif"/>
          <w:b w:val="false"/>
          <w:color w:val="000000"/>
          <w:sz w:val="24"/>
        </w:rPr>
        <w:t xml:space="preserve">5.5............ </w:t>
      </w:r>
      <w:r>
        <w:rPr>
          <w:rFonts w:ascii="Times New Roman;sans-serif" w:hAnsi="Times New Roman;sans-serif"/>
          <w:b w:val="false"/>
          <w:color w:val="000000"/>
          <w:sz w:val="24"/>
          <w:u w:val="single"/>
        </w:rPr>
        <w:t>Financial Statements and Condition</w:t>
      </w:r>
      <w:r>
        <w:rPr>
          <w:rFonts w:ascii="Times New Roman;sans-serif" w:hAnsi="Times New Roman;sans-serif"/>
          <w:b w:val="false"/>
          <w:color w:val="000000"/>
          <w:sz w:val="24"/>
        </w:rPr>
        <w:t>.................................. 56</w:t>
      </w:r>
    </w:p>
    <w:p>
      <w:pPr>
        <w:pStyle w:val="TextBody"/>
        <w:spacing w:lineRule="auto" w:line="268" w:before="0" w:after="0"/>
        <w:ind w:left="0" w:right="0" w:firstLine="720"/>
        <w:rPr/>
      </w:pPr>
      <w:r>
        <w:rPr>
          <w:rFonts w:ascii="Times New Roman;sans-serif" w:hAnsi="Times New Roman;sans-serif"/>
          <w:b w:val="false"/>
          <w:color w:val="000000"/>
          <w:sz w:val="24"/>
        </w:rPr>
        <w:t xml:space="preserve">5.6............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56</w:t>
      </w:r>
    </w:p>
    <w:p>
      <w:pPr>
        <w:pStyle w:val="TextBody"/>
        <w:spacing w:lineRule="auto" w:line="268" w:before="0" w:after="0"/>
        <w:ind w:left="0" w:right="0" w:firstLine="720"/>
        <w:rPr/>
      </w:pPr>
      <w:r>
        <w:rPr>
          <w:rFonts w:ascii="Times New Roman;sans-serif" w:hAnsi="Times New Roman;sans-serif"/>
          <w:b w:val="false"/>
          <w:color w:val="000000"/>
          <w:sz w:val="24"/>
        </w:rPr>
        <w:t xml:space="preserve">5.7............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56</w:t>
      </w:r>
    </w:p>
    <w:p>
      <w:pPr>
        <w:pStyle w:val="TextBody"/>
        <w:spacing w:lineRule="auto" w:line="268" w:before="0" w:after="0"/>
        <w:ind w:left="0" w:right="0" w:firstLine="720"/>
        <w:rPr/>
      </w:pPr>
      <w:r>
        <w:rPr>
          <w:rFonts w:ascii="Times New Roman;sans-serif" w:hAnsi="Times New Roman;sans-serif"/>
          <w:b w:val="false"/>
          <w:color w:val="000000"/>
          <w:sz w:val="24"/>
        </w:rPr>
        <w:t xml:space="preserve">5.8............ </w:t>
      </w:r>
      <w:r>
        <w:rPr>
          <w:rFonts w:ascii="Times New Roman;sans-serif" w:hAnsi="Times New Roman;sans-serif"/>
          <w:b w:val="false"/>
          <w:color w:val="000000"/>
          <w:sz w:val="24"/>
          <w:u w:val="single"/>
        </w:rPr>
        <w:t>Litigation and Contingent Obligations</w:t>
      </w:r>
      <w:r>
        <w:rPr>
          <w:rFonts w:ascii="Times New Roman;sans-serif" w:hAnsi="Times New Roman;sans-serif"/>
          <w:b w:val="false"/>
          <w:color w:val="000000"/>
          <w:sz w:val="24"/>
        </w:rPr>
        <w:t>............................... 57</w:t>
      </w:r>
    </w:p>
    <w:p>
      <w:pPr>
        <w:pStyle w:val="TextBody"/>
        <w:spacing w:lineRule="auto" w:line="268" w:before="0" w:after="0"/>
        <w:ind w:left="0" w:right="0" w:firstLine="720"/>
        <w:rPr/>
      </w:pPr>
      <w:r>
        <w:rPr>
          <w:rFonts w:ascii="Times New Roman;sans-serif" w:hAnsi="Times New Roman;sans-serif"/>
          <w:b w:val="false"/>
          <w:color w:val="000000"/>
          <w:sz w:val="24"/>
        </w:rPr>
        <w:t xml:space="preserve">5.9............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57</w:t>
      </w:r>
    </w:p>
    <w:p>
      <w:pPr>
        <w:pStyle w:val="TextBody"/>
        <w:spacing w:lineRule="auto" w:line="268" w:before="0" w:after="0"/>
        <w:ind w:left="0" w:right="0" w:firstLine="720"/>
        <w:rPr/>
      </w:pPr>
      <w:r>
        <w:rPr>
          <w:rFonts w:ascii="Times New Roman;sans-serif" w:hAnsi="Times New Roman;sans-serif"/>
          <w:b w:val="false"/>
          <w:color w:val="000000"/>
          <w:sz w:val="24"/>
        </w:rPr>
        <w:t xml:space="preserve">5.10.......... </w:t>
      </w:r>
      <w:r>
        <w:rPr>
          <w:rFonts w:ascii="Times New Roman;sans-serif" w:hAnsi="Times New Roman;sans-serif"/>
          <w:b w:val="false"/>
          <w:color w:val="000000"/>
          <w:sz w:val="24"/>
          <w:u w:val="single"/>
        </w:rPr>
        <w:t>Regulation U</w:t>
      </w:r>
      <w:r>
        <w:rPr>
          <w:rFonts w:ascii="Times New Roman;sans-serif" w:hAnsi="Times New Roman;sans-serif"/>
          <w:b w:val="false"/>
          <w:color w:val="000000"/>
          <w:sz w:val="24"/>
        </w:rPr>
        <w:t>...................................................................... 57</w:t>
      </w:r>
    </w:p>
    <w:p>
      <w:pPr>
        <w:pStyle w:val="TextBody"/>
        <w:spacing w:lineRule="auto" w:line="268" w:before="0" w:after="0"/>
        <w:ind w:left="0" w:right="0" w:firstLine="720"/>
        <w:rPr/>
      </w:pPr>
      <w:r>
        <w:rPr>
          <w:rFonts w:ascii="Times New Roman;sans-serif" w:hAnsi="Times New Roman;sans-serif"/>
          <w:b w:val="false"/>
          <w:color w:val="000000"/>
          <w:sz w:val="24"/>
        </w:rPr>
        <w:t xml:space="preserve">5.11..........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57</w:t>
      </w:r>
    </w:p>
    <w:p>
      <w:pPr>
        <w:pStyle w:val="TextBody"/>
        <w:spacing w:lineRule="auto" w:line="268" w:before="0" w:after="0"/>
        <w:ind w:left="0" w:right="0" w:firstLine="720"/>
        <w:rPr/>
      </w:pPr>
      <w:r>
        <w:rPr>
          <w:rFonts w:ascii="Times New Roman;sans-serif" w:hAnsi="Times New Roman;sans-serif"/>
          <w:b w:val="false"/>
          <w:color w:val="000000"/>
          <w:sz w:val="24"/>
        </w:rPr>
        <w:t xml:space="preserve">5.12.......... </w:t>
      </w:r>
      <w:r>
        <w:rPr>
          <w:rFonts w:ascii="Times New Roman;sans-serif" w:hAnsi="Times New Roman;sans-serif"/>
          <w:b w:val="false"/>
          <w:color w:val="000000"/>
          <w:sz w:val="24"/>
          <w:u w:val="single"/>
        </w:rPr>
        <w:t>Ownership of Properties</w:t>
      </w:r>
      <w:r>
        <w:rPr>
          <w:rFonts w:ascii="Times New Roman;sans-serif" w:hAnsi="Times New Roman;sans-serif"/>
          <w:b w:val="false"/>
          <w:color w:val="000000"/>
          <w:sz w:val="24"/>
        </w:rPr>
        <w:t>.................................................... 57</w:t>
      </w:r>
    </w:p>
    <w:p>
      <w:pPr>
        <w:pStyle w:val="TextBody"/>
        <w:spacing w:lineRule="auto" w:line="268" w:before="0" w:after="0"/>
        <w:ind w:left="0" w:right="0" w:firstLine="720"/>
        <w:rPr/>
      </w:pPr>
      <w:r>
        <w:rPr>
          <w:rFonts w:ascii="Times New Roman;sans-serif" w:hAnsi="Times New Roman;sans-serif"/>
          <w:b w:val="false"/>
          <w:color w:val="000000"/>
          <w:sz w:val="24"/>
        </w:rPr>
        <w:t xml:space="preserve">5.13.......... </w:t>
      </w:r>
      <w:r>
        <w:rPr>
          <w:rFonts w:ascii="Times New Roman;sans-serif" w:hAnsi="Times New Roman;sans-serif"/>
          <w:b w:val="false"/>
          <w:color w:val="000000"/>
          <w:sz w:val="24"/>
          <w:u w:val="single"/>
        </w:rPr>
        <w:t>Trademarks; Patents</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5.14.......... </w:t>
      </w:r>
      <w:r>
        <w:rPr>
          <w:rFonts w:ascii="Times New Roman;sans-serif" w:hAnsi="Times New Roman;sans-serif"/>
          <w:b w:val="false"/>
          <w:color w:val="000000"/>
          <w:sz w:val="24"/>
          <w:u w:val="single"/>
        </w:rPr>
        <w:t>Burdensome Restrictions</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5.15.......... </w:t>
      </w:r>
      <w:r>
        <w:rPr>
          <w:rFonts w:ascii="Times New Roman;sans-serif" w:hAnsi="Times New Roman;sans-serif"/>
          <w:b w:val="false"/>
          <w:color w:val="000000"/>
          <w:sz w:val="24"/>
          <w:u w:val="single"/>
        </w:rPr>
        <w:t>Plan Assets; Prohibited Transactions</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5.16..........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5.17..........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5.18..........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58</w:t>
      </w:r>
    </w:p>
    <w:p>
      <w:pPr>
        <w:pStyle w:val="TextBody"/>
        <w:spacing w:lineRule="auto" w:line="268" w:before="0" w:after="0"/>
        <w:ind w:left="0" w:right="0" w:firstLine="720"/>
        <w:rPr/>
      </w:pPr>
      <w:r>
        <w:rPr>
          <w:rFonts w:ascii="Times New Roman;sans-serif" w:hAnsi="Times New Roman;sans-serif"/>
          <w:b w:val="false"/>
          <w:color w:val="000000"/>
          <w:sz w:val="24"/>
        </w:rPr>
        <w:t xml:space="preserve">5.19..........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59</w:t>
      </w:r>
    </w:p>
    <w:p>
      <w:pPr>
        <w:pStyle w:val="TextBody"/>
        <w:spacing w:lineRule="auto" w:line="268" w:before="0" w:after="0"/>
        <w:ind w:left="0" w:right="0" w:firstLine="720"/>
        <w:rPr/>
      </w:pPr>
      <w:r>
        <w:rPr>
          <w:rFonts w:ascii="Times New Roman;sans-serif" w:hAnsi="Times New Roman;sans-serif"/>
          <w:b w:val="false"/>
          <w:color w:val="000000"/>
          <w:sz w:val="24"/>
        </w:rPr>
        <w:t xml:space="preserve">5.20.......... </w:t>
      </w:r>
      <w:r>
        <w:rPr>
          <w:rFonts w:ascii="Times New Roman;sans-serif" w:hAnsi="Times New Roman;sans-serif"/>
          <w:b w:val="false"/>
          <w:color w:val="000000"/>
          <w:sz w:val="24"/>
          <w:u w:val="single"/>
        </w:rPr>
        <w:t>No Default</w:t>
      </w:r>
      <w:r>
        <w:rPr>
          <w:rFonts w:ascii="Times New Roman;sans-serif" w:hAnsi="Times New Roman;sans-serif"/>
          <w:b w:val="false"/>
          <w:color w:val="000000"/>
          <w:sz w:val="24"/>
        </w:rPr>
        <w:t>.......................................................................... 59</w:t>
      </w:r>
    </w:p>
    <w:p>
      <w:pPr>
        <w:pStyle w:val="TextBody"/>
        <w:spacing w:lineRule="auto" w:line="268" w:before="0" w:after="0"/>
        <w:ind w:left="0" w:right="0" w:firstLine="720"/>
        <w:rPr/>
      </w:pPr>
      <w:r>
        <w:rPr>
          <w:rFonts w:ascii="Times New Roman;sans-serif" w:hAnsi="Times New Roman;sans-serif"/>
          <w:b w:val="false"/>
          <w:color w:val="000000"/>
          <w:sz w:val="24"/>
        </w:rPr>
        <w:t xml:space="preserve">5.21.......... </w:t>
      </w:r>
      <w:r>
        <w:rPr>
          <w:rFonts w:ascii="Times New Roman;sans-serif" w:hAnsi="Times New Roman;sans-serif"/>
          <w:b w:val="false"/>
          <w:color w:val="000000"/>
          <w:sz w:val="24"/>
          <w:u w:val="single"/>
        </w:rPr>
        <w:t>Anti-Corruption Laws; Sanctions</w:t>
      </w:r>
      <w:r>
        <w:rPr>
          <w:rFonts w:ascii="Times New Roman;sans-serif" w:hAnsi="Times New Roman;sans-serif"/>
          <w:b w:val="false"/>
          <w:color w:val="000000"/>
          <w:sz w:val="24"/>
        </w:rPr>
        <w:t>...................................... 59</w:t>
      </w:r>
    </w:p>
    <w:p>
      <w:pPr>
        <w:pStyle w:val="TextBody"/>
        <w:spacing w:lineRule="auto" w:line="268" w:before="0" w:after="0"/>
        <w:ind w:left="0" w:right="0" w:firstLine="720"/>
        <w:rPr/>
      </w:pPr>
      <w:r>
        <w:rPr>
          <w:rFonts w:ascii="Times New Roman;sans-serif" w:hAnsi="Times New Roman;sans-serif"/>
          <w:b w:val="false"/>
          <w:color w:val="000000"/>
          <w:sz w:val="24"/>
        </w:rPr>
        <w:t xml:space="preserve">5.22.......... </w:t>
      </w:r>
      <w:r>
        <w:rPr>
          <w:rFonts w:ascii="Times New Roman;sans-serif" w:hAnsi="Times New Roman;sans-serif"/>
          <w:b w:val="false"/>
          <w:color w:val="000000"/>
          <w:sz w:val="24"/>
          <w:u w:val="single"/>
        </w:rPr>
        <w:t>EEA Financial Institution</w:t>
      </w:r>
      <w:r>
        <w:rPr>
          <w:rFonts w:ascii="Times New Roman;sans-serif" w:hAnsi="Times New Roman;sans-serif"/>
          <w:b w:val="false"/>
          <w:color w:val="000000"/>
          <w:sz w:val="24"/>
        </w:rPr>
        <w:t>.................................................. 60</w:t>
      </w:r>
    </w:p>
    <w:p>
      <w:pPr>
        <w:pStyle w:val="TextBody"/>
        <w:spacing w:lineRule="auto" w:line="268" w:before="0" w:after="0"/>
        <w:ind w:left="0" w:right="0" w:firstLine="720"/>
        <w:rPr/>
      </w:pPr>
      <w:r>
        <w:rPr>
          <w:rFonts w:ascii="Times New Roman;sans-serif" w:hAnsi="Times New Roman;sans-serif"/>
          <w:b w:val="false"/>
          <w:color w:val="000000"/>
          <w:sz w:val="24"/>
        </w:rPr>
        <w:t xml:space="preserve">5.23.......... </w:t>
      </w:r>
      <w:r>
        <w:rPr>
          <w:rFonts w:ascii="Times New Roman;sans-serif" w:hAnsi="Times New Roman;sans-serif"/>
          <w:b w:val="false"/>
          <w:color w:val="000000"/>
          <w:sz w:val="24"/>
          <w:u w:val="single"/>
        </w:rPr>
        <w:t>Full Disclosure</w:t>
      </w:r>
      <w:r>
        <w:rPr>
          <w:rFonts w:ascii="Times New Roman;sans-serif" w:hAnsi="Times New Roman;sans-serif"/>
          <w:b w:val="false"/>
          <w:color w:val="000000"/>
          <w:sz w:val="24"/>
        </w:rPr>
        <w:t>................................................................... 60</w:t>
      </w:r>
    </w:p>
    <w:p>
      <w:pPr>
        <w:pStyle w:val="TextBody"/>
        <w:spacing w:lineRule="auto" w:line="268" w:before="0" w:after="0"/>
        <w:ind w:left="0" w:right="0" w:firstLine="720"/>
        <w:rPr/>
      </w:pPr>
      <w:r>
        <w:rPr>
          <w:rFonts w:ascii="Times New Roman;sans-serif" w:hAnsi="Times New Roman;sans-serif"/>
          <w:b w:val="false"/>
          <w:color w:val="000000"/>
          <w:sz w:val="24"/>
        </w:rPr>
        <w:t xml:space="preserve">5.24.......... </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60</w:t>
      </w:r>
    </w:p>
    <w:p>
      <w:pPr>
        <w:pStyle w:val="TextBody"/>
        <w:spacing w:lineRule="auto" w:line="268" w:before="0" w:after="0"/>
        <w:rPr/>
      </w:pPr>
      <w:r>
        <w:rPr>
          <w:rFonts w:ascii="Times New Roman;sans-serif" w:hAnsi="Times New Roman;sans-serif"/>
          <w:b w:val="false"/>
          <w:color w:val="000000"/>
          <w:sz w:val="24"/>
        </w:rPr>
        <w:t>ARTICLE VI</w:t>
      </w:r>
      <w:r>
        <w:rPr>
          <w:color w:val="000000"/>
          <w:u w:val="single"/>
        </w:rPr>
        <w:t xml:space="preserve"> </w:t>
      </w:r>
      <w:r>
        <w:rPr>
          <w:rFonts w:ascii="Times New Roman;sans-serif" w:hAnsi="Times New Roman;sans-serif"/>
          <w:b w:val="false"/>
          <w:color w:val="000000"/>
          <w:sz w:val="24"/>
          <w:u w:val="single"/>
        </w:rPr>
        <w:t>COVENANTS</w:t>
      </w:r>
      <w:r>
        <w:rPr>
          <w:rFonts w:ascii="Times New Roman;sans-serif" w:hAnsi="Times New Roman;sans-serif"/>
          <w:b w:val="false"/>
          <w:color w:val="000000"/>
          <w:sz w:val="24"/>
        </w:rPr>
        <w:t>........................................................................ 60</w:t>
      </w:r>
    </w:p>
    <w:p>
      <w:pPr>
        <w:pStyle w:val="TextBody"/>
        <w:spacing w:lineRule="auto" w:line="268" w:before="0" w:after="0"/>
        <w:ind w:left="0" w:right="0" w:firstLine="720"/>
        <w:rPr/>
      </w:pPr>
      <w:r>
        <w:rPr>
          <w:rFonts w:ascii="Times New Roman;sans-serif" w:hAnsi="Times New Roman;sans-serif"/>
          <w:b w:val="false"/>
          <w:color w:val="000000"/>
          <w:sz w:val="24"/>
        </w:rPr>
        <w:t xml:space="preserve">6.1............ </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60</w:t>
      </w:r>
    </w:p>
    <w:p>
      <w:pPr>
        <w:pStyle w:val="TextBody"/>
        <w:spacing w:lineRule="auto" w:line="268" w:before="0" w:after="0"/>
        <w:ind w:left="0" w:right="0" w:firstLine="720"/>
        <w:rPr/>
      </w:pPr>
      <w:r>
        <w:rPr>
          <w:rFonts w:ascii="Times New Roman;sans-serif" w:hAnsi="Times New Roman;sans-serif"/>
          <w:b w:val="false"/>
          <w:color w:val="000000"/>
          <w:sz w:val="24"/>
        </w:rPr>
        <w:t xml:space="preserve">6.2............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62</w:t>
      </w:r>
    </w:p>
    <w:p>
      <w:pPr>
        <w:pStyle w:val="TextBody"/>
        <w:spacing w:lineRule="auto" w:line="268" w:before="0" w:after="0"/>
        <w:ind w:left="0" w:right="0" w:firstLine="720"/>
        <w:rPr/>
      </w:pPr>
      <w:r>
        <w:rPr>
          <w:rFonts w:ascii="Times New Roman;sans-serif" w:hAnsi="Times New Roman;sans-serif"/>
          <w:b w:val="false"/>
          <w:color w:val="000000"/>
          <w:sz w:val="24"/>
        </w:rPr>
        <w:t xml:space="preserve">6.3............ </w:t>
      </w:r>
      <w:r>
        <w:rPr>
          <w:rFonts w:ascii="Times New Roman;sans-serif" w:hAnsi="Times New Roman;sans-serif"/>
          <w:b w:val="false"/>
          <w:color w:val="000000"/>
          <w:sz w:val="24"/>
          <w:u w:val="single"/>
        </w:rPr>
        <w:t>Notice of Material Events</w:t>
      </w:r>
      <w:r>
        <w:rPr>
          <w:rFonts w:ascii="Times New Roman;sans-serif" w:hAnsi="Times New Roman;sans-serif"/>
          <w:b w:val="false"/>
          <w:color w:val="000000"/>
          <w:sz w:val="24"/>
        </w:rPr>
        <w:t>.................................................. 62</w:t>
      </w:r>
    </w:p>
    <w:p>
      <w:pPr>
        <w:pStyle w:val="TextBody"/>
        <w:spacing w:lineRule="auto" w:line="268" w:before="0" w:after="0"/>
        <w:ind w:left="0" w:right="0" w:firstLine="720"/>
        <w:rPr/>
      </w:pPr>
      <w:r>
        <w:rPr>
          <w:rFonts w:ascii="Times New Roman;sans-serif" w:hAnsi="Times New Roman;sans-serif"/>
          <w:b w:val="false"/>
          <w:color w:val="000000"/>
          <w:sz w:val="24"/>
        </w:rPr>
        <w:t xml:space="preserve">6.4............ </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63</w:t>
      </w:r>
    </w:p>
    <w:p>
      <w:pPr>
        <w:pStyle w:val="TextBody"/>
        <w:spacing w:lineRule="auto" w:line="268" w:before="0" w:after="0"/>
        <w:ind w:left="0" w:right="0" w:firstLine="720"/>
        <w:rPr/>
      </w:pPr>
      <w:r>
        <w:rPr>
          <w:rFonts w:ascii="Times New Roman;sans-serif" w:hAnsi="Times New Roman;sans-serif"/>
          <w:b w:val="false"/>
          <w:color w:val="000000"/>
          <w:sz w:val="24"/>
        </w:rPr>
        <w:t xml:space="preserve">6.5............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63</w:t>
      </w:r>
    </w:p>
    <w:p>
      <w:pPr>
        <w:pStyle w:val="TextBody"/>
        <w:spacing w:lineRule="auto" w:line="268" w:before="0" w:after="0"/>
        <w:ind w:left="0" w:right="0" w:firstLine="720"/>
        <w:rPr/>
      </w:pPr>
      <w:r>
        <w:rPr>
          <w:rFonts w:ascii="Times New Roman;sans-serif" w:hAnsi="Times New Roman;sans-serif"/>
          <w:b w:val="false"/>
          <w:color w:val="000000"/>
          <w:sz w:val="24"/>
        </w:rPr>
        <w:t xml:space="preserve">6.6............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63</w:t>
      </w:r>
    </w:p>
    <w:p>
      <w:pPr>
        <w:pStyle w:val="TextBody"/>
        <w:spacing w:lineRule="auto" w:line="268" w:before="0" w:after="0"/>
        <w:ind w:left="0" w:right="0" w:firstLine="720"/>
        <w:rPr/>
      </w:pPr>
      <w:r>
        <w:rPr>
          <w:rFonts w:ascii="Times New Roman;sans-serif" w:hAnsi="Times New Roman;sans-serif"/>
          <w:b w:val="false"/>
          <w:color w:val="000000"/>
          <w:sz w:val="24"/>
        </w:rPr>
        <w:t xml:space="preserve">6.7............ </w:t>
      </w:r>
      <w:r>
        <w:rPr>
          <w:rFonts w:ascii="Times New Roman;sans-serif" w:hAnsi="Times New Roman;sans-serif"/>
          <w:b w:val="false"/>
          <w:color w:val="000000"/>
          <w:sz w:val="24"/>
          <w:u w:val="single"/>
        </w:rPr>
        <w:t>Compliance with Laws and Material Contractual Obligations</w:t>
      </w:r>
      <w:r>
        <w:rPr>
          <w:rFonts w:ascii="Times New Roman;sans-serif" w:hAnsi="Times New Roman;sans-serif"/>
          <w:b w:val="false"/>
          <w:color w:val="000000"/>
          <w:sz w:val="24"/>
        </w:rPr>
        <w:t>......................................................................... 64</w:t>
      </w:r>
    </w:p>
    <w:p>
      <w:pPr>
        <w:pStyle w:val="TextBody"/>
        <w:spacing w:lineRule="auto" w:line="268" w:before="0" w:after="0"/>
        <w:ind w:left="0" w:right="0" w:firstLine="720"/>
        <w:rPr/>
      </w:pPr>
      <w:r>
        <w:rPr>
          <w:rFonts w:ascii="Times New Roman;sans-serif" w:hAnsi="Times New Roman;sans-serif"/>
          <w:b w:val="false"/>
          <w:color w:val="000000"/>
          <w:sz w:val="24"/>
        </w:rPr>
        <w:t xml:space="preserve">6.8............ </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64</w:t>
      </w:r>
    </w:p>
    <w:p>
      <w:pPr>
        <w:pStyle w:val="TextBody"/>
        <w:spacing w:lineRule="auto" w:line="268" w:before="0" w:after="0"/>
        <w:ind w:left="0" w:right="0" w:firstLine="720"/>
        <w:rPr/>
      </w:pPr>
      <w:r>
        <w:rPr>
          <w:rFonts w:ascii="Times New Roman;sans-serif" w:hAnsi="Times New Roman;sans-serif"/>
          <w:b w:val="false"/>
          <w:color w:val="000000"/>
          <w:sz w:val="24"/>
        </w:rPr>
        <w:t xml:space="preserve">6.9............ </w:t>
      </w:r>
      <w:r>
        <w:rPr>
          <w:rFonts w:ascii="Times New Roman;sans-serif" w:hAnsi="Times New Roman;sans-serif"/>
          <w:b w:val="false"/>
          <w:color w:val="000000"/>
          <w:sz w:val="24"/>
          <w:u w:val="single"/>
        </w:rPr>
        <w:t>Books and Records; Inspection</w:t>
      </w:r>
      <w:r>
        <w:rPr>
          <w:rFonts w:ascii="Times New Roman;sans-serif" w:hAnsi="Times New Roman;sans-serif"/>
          <w:b w:val="false"/>
          <w:color w:val="000000"/>
          <w:sz w:val="24"/>
        </w:rPr>
        <w:t>.......................................... 64</w:t>
      </w:r>
    </w:p>
    <w:p>
      <w:pPr>
        <w:pStyle w:val="TextBody"/>
        <w:spacing w:lineRule="auto" w:line="268" w:before="0" w:after="0"/>
        <w:ind w:left="0" w:right="0" w:firstLine="720"/>
        <w:rPr/>
      </w:pPr>
      <w:r>
        <w:rPr>
          <w:rFonts w:ascii="Times New Roman;sans-serif" w:hAnsi="Times New Roman;sans-serif"/>
          <w:b w:val="false"/>
          <w:color w:val="000000"/>
          <w:sz w:val="24"/>
        </w:rPr>
        <w:t xml:space="preserve">6.10.......... </w:t>
      </w:r>
      <w:r>
        <w:rPr>
          <w:rFonts w:ascii="Times New Roman;sans-serif" w:hAnsi="Times New Roman;sans-serif"/>
          <w:b w:val="false"/>
          <w:color w:val="000000"/>
          <w:sz w:val="24"/>
          <w:u w:val="single"/>
        </w:rPr>
        <w:t>Payment of Obligations</w:t>
      </w:r>
      <w:r>
        <w:rPr>
          <w:rFonts w:ascii="Times New Roman;sans-serif" w:hAnsi="Times New Roman;sans-serif"/>
          <w:b w:val="false"/>
          <w:color w:val="000000"/>
          <w:sz w:val="24"/>
        </w:rPr>
        <w:t>...................................................... 64</w:t>
      </w:r>
    </w:p>
    <w:p>
      <w:pPr>
        <w:pStyle w:val="TextBody"/>
        <w:spacing w:lineRule="auto" w:line="268" w:before="0" w:after="0"/>
        <w:ind w:left="0" w:right="0" w:firstLine="720"/>
        <w:rPr/>
      </w:pPr>
      <w:r>
        <w:rPr>
          <w:rFonts w:ascii="Times New Roman;sans-serif" w:hAnsi="Times New Roman;sans-serif"/>
          <w:b w:val="false"/>
          <w:color w:val="000000"/>
          <w:sz w:val="24"/>
        </w:rPr>
        <w:t xml:space="preserve">6.11.......... </w:t>
      </w: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64</w:t>
      </w:r>
    </w:p>
    <w:p>
      <w:pPr>
        <w:pStyle w:val="TextBody"/>
        <w:spacing w:lineRule="auto" w:line="268" w:before="0" w:after="0"/>
        <w:ind w:left="0" w:right="0" w:firstLine="720"/>
        <w:rPr/>
      </w:pPr>
      <w:r>
        <w:rPr>
          <w:rFonts w:ascii="Times New Roman;sans-serif" w:hAnsi="Times New Roman;sans-serif"/>
          <w:b w:val="false"/>
          <w:color w:val="000000"/>
          <w:sz w:val="24"/>
        </w:rPr>
        <w:t xml:space="preserve">6.12.......... </w:t>
      </w:r>
      <w:r>
        <w:rPr>
          <w:rFonts w:ascii="Times New Roman;sans-serif" w:hAnsi="Times New Roman;sans-serif"/>
          <w:b w:val="false"/>
          <w:color w:val="000000"/>
          <w:sz w:val="24"/>
          <w:u w:val="single"/>
        </w:rPr>
        <w:t>Merger</w:t>
      </w:r>
      <w:r>
        <w:rPr>
          <w:rFonts w:ascii="Times New Roman;sans-serif" w:hAnsi="Times New Roman;sans-serif"/>
          <w:b w:val="false"/>
          <w:color w:val="000000"/>
          <w:sz w:val="24"/>
        </w:rPr>
        <w:t>................................................................................ 65</w:t>
      </w:r>
    </w:p>
    <w:p>
      <w:pPr>
        <w:pStyle w:val="TextBody"/>
        <w:spacing w:lineRule="auto" w:line="268" w:before="0" w:after="0"/>
        <w:ind w:left="0" w:right="0" w:firstLine="720"/>
        <w:rPr/>
      </w:pPr>
      <w:r>
        <w:rPr>
          <w:rFonts w:ascii="Times New Roman;sans-serif" w:hAnsi="Times New Roman;sans-serif"/>
          <w:b w:val="false"/>
          <w:color w:val="000000"/>
          <w:sz w:val="24"/>
        </w:rPr>
        <w:t xml:space="preserve">6.13.......... </w:t>
      </w:r>
      <w:r>
        <w:rPr>
          <w:rFonts w:ascii="Times New Roman;sans-serif" w:hAnsi="Times New Roman;sans-serif"/>
          <w:b w:val="false"/>
          <w:color w:val="000000"/>
          <w:sz w:val="24"/>
          <w:u w:val="single"/>
        </w:rPr>
        <w:t>Sale of Assets</w:t>
      </w:r>
      <w:r>
        <w:rPr>
          <w:rFonts w:ascii="Times New Roman;sans-serif" w:hAnsi="Times New Roman;sans-serif"/>
          <w:b w:val="false"/>
          <w:color w:val="000000"/>
          <w:sz w:val="24"/>
        </w:rPr>
        <w:t>..................................................................... 65</w:t>
      </w:r>
    </w:p>
    <w:p>
      <w:pPr>
        <w:pStyle w:val="TextBody"/>
        <w:spacing w:lineRule="auto" w:line="268" w:before="0" w:after="0"/>
        <w:ind w:left="0" w:right="0" w:firstLine="720"/>
        <w:rPr/>
      </w:pPr>
      <w:r>
        <w:rPr>
          <w:rFonts w:ascii="Times New Roman;sans-serif" w:hAnsi="Times New Roman;sans-serif"/>
          <w:b w:val="false"/>
          <w:color w:val="000000"/>
          <w:sz w:val="24"/>
        </w:rPr>
        <w:t xml:space="preserve">6.14.......... </w:t>
      </w:r>
      <w:r>
        <w:rPr>
          <w:rFonts w:ascii="Times New Roman;sans-serif" w:hAnsi="Times New Roman;sans-serif"/>
          <w:b w:val="false"/>
          <w:color w:val="000000"/>
          <w:sz w:val="24"/>
          <w:u w:val="single"/>
        </w:rPr>
        <w:t>Investments</w:t>
      </w:r>
      <w:r>
        <w:rPr>
          <w:rFonts w:ascii="Times New Roman;sans-serif" w:hAnsi="Times New Roman;sans-serif"/>
          <w:b w:val="false"/>
          <w:color w:val="000000"/>
          <w:sz w:val="24"/>
        </w:rPr>
        <w:t>........................................................................ 66</w:t>
      </w:r>
    </w:p>
    <w:p>
      <w:pPr>
        <w:pStyle w:val="TextBody"/>
        <w:spacing w:lineRule="auto" w:line="268" w:before="0" w:after="0"/>
        <w:ind w:left="0" w:right="0" w:firstLine="720"/>
        <w:rPr/>
      </w:pPr>
      <w:r>
        <w:rPr>
          <w:rFonts w:ascii="Times New Roman;sans-serif" w:hAnsi="Times New Roman;sans-serif"/>
          <w:b w:val="false"/>
          <w:color w:val="000000"/>
          <w:sz w:val="24"/>
        </w:rPr>
        <w:t xml:space="preserve">6.15.......... </w:t>
      </w:r>
      <w:r>
        <w:rPr>
          <w:rFonts w:ascii="Times New Roman;sans-serif" w:hAnsi="Times New Roman;sans-serif"/>
          <w:b w:val="false"/>
          <w:color w:val="000000"/>
          <w:sz w:val="24"/>
          <w:u w:val="single"/>
        </w:rPr>
        <w:t>Acquisitions</w:t>
      </w:r>
      <w:r>
        <w:rPr>
          <w:rFonts w:ascii="Times New Roman;sans-serif" w:hAnsi="Times New Roman;sans-serif"/>
          <w:b w:val="false"/>
          <w:color w:val="000000"/>
          <w:sz w:val="24"/>
        </w:rPr>
        <w:t>....................................................................... 66</w:t>
      </w:r>
    </w:p>
    <w:p>
      <w:pPr>
        <w:pStyle w:val="TextBody"/>
        <w:spacing w:lineRule="auto" w:line="268" w:before="0" w:after="0"/>
        <w:ind w:left="0" w:right="0" w:firstLine="720"/>
        <w:rPr/>
      </w:pPr>
      <w:r>
        <w:rPr>
          <w:rFonts w:ascii="Times New Roman;sans-serif" w:hAnsi="Times New Roman;sans-serif"/>
          <w:b w:val="false"/>
          <w:color w:val="000000"/>
          <w:sz w:val="24"/>
        </w:rPr>
        <w:t xml:space="preserve">6.16.......... </w:t>
      </w:r>
      <w:r>
        <w:rPr>
          <w:rFonts w:ascii="Times New Roman;sans-serif" w:hAnsi="Times New Roman;sans-serif"/>
          <w:b w:val="false"/>
          <w:color w:val="000000"/>
          <w:sz w:val="24"/>
          <w:u w:val="single"/>
        </w:rPr>
        <w:t>Liens</w:t>
      </w:r>
      <w:r>
        <w:rPr>
          <w:rFonts w:ascii="Times New Roman;sans-serif" w:hAnsi="Times New Roman;sans-serif"/>
          <w:b w:val="false"/>
          <w:color w:val="000000"/>
          <w:sz w:val="24"/>
        </w:rPr>
        <w:t>................................................................................... 67</w:t>
      </w:r>
    </w:p>
    <w:p>
      <w:pPr>
        <w:pStyle w:val="TextBody"/>
        <w:spacing w:lineRule="auto" w:line="268" w:before="0" w:after="0"/>
        <w:ind w:left="0" w:right="0" w:firstLine="720"/>
        <w:rPr/>
      </w:pPr>
      <w:r>
        <w:rPr>
          <w:rFonts w:ascii="Times New Roman;sans-serif" w:hAnsi="Times New Roman;sans-serif"/>
          <w:b w:val="false"/>
          <w:color w:val="000000"/>
          <w:sz w:val="24"/>
        </w:rPr>
        <w:t xml:space="preserve">6.17.......... </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67</w:t>
      </w:r>
    </w:p>
    <w:p>
      <w:pPr>
        <w:pStyle w:val="TextBody"/>
        <w:spacing w:lineRule="auto" w:line="268" w:before="0" w:after="0"/>
        <w:ind w:left="0" w:right="0" w:firstLine="720"/>
        <w:rPr/>
      </w:pPr>
      <w:r>
        <w:rPr>
          <w:rFonts w:ascii="Times New Roman;sans-serif" w:hAnsi="Times New Roman;sans-serif"/>
          <w:b w:val="false"/>
          <w:color w:val="000000"/>
          <w:sz w:val="24"/>
        </w:rPr>
        <w:t xml:space="preserve">6.18.......... </w:t>
      </w:r>
      <w:r>
        <w:rPr>
          <w:rFonts w:ascii="Times New Roman;sans-serif" w:hAnsi="Times New Roman;sans-serif"/>
          <w:b w:val="false"/>
          <w:color w:val="000000"/>
          <w:sz w:val="24"/>
          <w:u w:val="single"/>
        </w:rPr>
        <w:t>Rate Protection and Foreign Currency Hedging Agreements</w:t>
      </w:r>
      <w:r>
        <w:rPr>
          <w:rFonts w:ascii="Times New Roman;sans-serif" w:hAnsi="Times New Roman;sans-serif"/>
          <w:b w:val="false"/>
          <w:color w:val="000000"/>
          <w:sz w:val="24"/>
        </w:rPr>
        <w:t>............................................................................................ 68</w:t>
      </w:r>
    </w:p>
    <w:p>
      <w:pPr>
        <w:pStyle w:val="TextBody"/>
        <w:spacing w:lineRule="auto" w:line="268"/>
        <w:ind w:left="0" w:right="0" w:firstLine="720"/>
        <w:rPr/>
      </w:pPr>
      <w:r>
        <w:rPr>
          <w:rFonts w:ascii="Times New Roman;sans-serif" w:hAnsi="Times New Roman;sans-serif"/>
          <w:b w:val="false"/>
          <w:color w:val="000000"/>
          <w:sz w:val="24"/>
        </w:rPr>
        <w:t xml:space="preserve">6.19.......... </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68</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rPr/>
      </w:pPr>
      <w:r>
        <w:rPr>
          <w:rFonts w:ascii="Times New Roman;sans-serif" w:hAnsi="Times New Roman;sans-serif"/>
          <w:b w:val="false"/>
          <w:color w:val="000000"/>
          <w:sz w:val="24"/>
        </w:rPr>
        <w:t xml:space="preserve">6.20.......... </w:t>
      </w:r>
      <w:r>
        <w:rPr>
          <w:rFonts w:ascii="Times New Roman;sans-serif" w:hAnsi="Times New Roman;sans-serif"/>
          <w:b w:val="false"/>
          <w:color w:val="000000"/>
          <w:sz w:val="24"/>
          <w:u w:val="single"/>
        </w:rPr>
        <w:t>Restrictive Agreements</w:t>
      </w:r>
      <w:r>
        <w:rPr>
          <w:rFonts w:ascii="Times New Roman;sans-serif" w:hAnsi="Times New Roman;sans-serif"/>
          <w:b w:val="false"/>
          <w:color w:val="000000"/>
          <w:sz w:val="24"/>
        </w:rPr>
        <w:t>...................................................... 68</w:t>
      </w:r>
    </w:p>
    <w:p>
      <w:pPr>
        <w:pStyle w:val="TextBody"/>
        <w:spacing w:lineRule="auto" w:line="268" w:before="0" w:after="0"/>
        <w:ind w:left="0" w:right="0" w:firstLine="720"/>
        <w:rPr/>
      </w:pPr>
      <w:r>
        <w:rPr>
          <w:rFonts w:ascii="Times New Roman;sans-serif" w:hAnsi="Times New Roman;sans-serif"/>
          <w:b w:val="false"/>
          <w:color w:val="000000"/>
          <w:sz w:val="24"/>
        </w:rPr>
        <w:t xml:space="preserve">6.21.......... </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 68</w:t>
      </w:r>
    </w:p>
    <w:p>
      <w:pPr>
        <w:pStyle w:val="TextBody"/>
        <w:spacing w:lineRule="auto" w:line="268" w:before="0" w:after="0"/>
        <w:ind w:left="0" w:right="0" w:firstLine="720"/>
        <w:rPr/>
      </w:pPr>
      <w:r>
        <w:rPr>
          <w:rFonts w:ascii="Times New Roman;sans-serif" w:hAnsi="Times New Roman;sans-serif"/>
          <w:b w:val="false"/>
          <w:color w:val="000000"/>
          <w:sz w:val="24"/>
        </w:rPr>
        <w:t xml:space="preserve">6.22.......... </w:t>
      </w:r>
      <w:r>
        <w:rPr>
          <w:rFonts w:ascii="Times New Roman;sans-serif" w:hAnsi="Times New Roman;sans-serif"/>
          <w:b w:val="false"/>
          <w:color w:val="000000"/>
          <w:sz w:val="24"/>
          <w:u w:val="single"/>
        </w:rPr>
        <w:t>Material Domestic Subsidiaries</w:t>
      </w:r>
      <w:r>
        <w:rPr>
          <w:rFonts w:ascii="Times New Roman;sans-serif" w:hAnsi="Times New Roman;sans-serif"/>
          <w:b w:val="false"/>
          <w:color w:val="000000"/>
          <w:sz w:val="24"/>
        </w:rPr>
        <w:t>......................................... 69</w:t>
      </w:r>
    </w:p>
    <w:p>
      <w:pPr>
        <w:pStyle w:val="TextBody"/>
        <w:spacing w:lineRule="auto" w:line="268" w:before="0" w:after="0"/>
        <w:ind w:left="0" w:right="0" w:firstLine="720"/>
        <w:rPr/>
      </w:pPr>
      <w:r>
        <w:rPr>
          <w:rFonts w:ascii="Times New Roman;sans-serif" w:hAnsi="Times New Roman;sans-serif"/>
          <w:b w:val="false"/>
          <w:color w:val="000000"/>
          <w:sz w:val="24"/>
        </w:rPr>
        <w:t xml:space="preserve">6.23..........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69</w:t>
      </w:r>
    </w:p>
    <w:p>
      <w:pPr>
        <w:pStyle w:val="TextBody"/>
        <w:spacing w:lineRule="auto" w:line="268" w:before="0" w:after="0"/>
        <w:ind w:left="0" w:right="0" w:firstLine="720"/>
        <w:rPr/>
      </w:pPr>
      <w:r>
        <w:rPr>
          <w:rFonts w:ascii="Times New Roman;sans-serif" w:hAnsi="Times New Roman;sans-serif"/>
          <w:b w:val="false"/>
          <w:color w:val="000000"/>
          <w:sz w:val="24"/>
        </w:rPr>
        <w:t xml:space="preserve">6.24.......... </w:t>
      </w:r>
      <w:r>
        <w:rPr>
          <w:rFonts w:ascii="Times New Roman;sans-serif" w:hAnsi="Times New Roman;sans-serif"/>
          <w:b w:val="false"/>
          <w:color w:val="000000"/>
          <w:sz w:val="24"/>
          <w:u w:val="single"/>
        </w:rPr>
        <w:t>Anti-Money Laundering Compliance</w:t>
      </w:r>
      <w:r>
        <w:rPr>
          <w:rFonts w:ascii="Times New Roman;sans-serif" w:hAnsi="Times New Roman;sans-serif"/>
          <w:b w:val="false"/>
          <w:color w:val="000000"/>
          <w:sz w:val="24"/>
        </w:rPr>
        <w:t>................................ 69</w:t>
      </w:r>
    </w:p>
    <w:p>
      <w:pPr>
        <w:pStyle w:val="TextBody"/>
        <w:spacing w:lineRule="auto" w:line="268" w:before="0" w:after="0"/>
        <w:ind w:left="0" w:right="0" w:firstLine="720"/>
        <w:rPr/>
      </w:pPr>
      <w:r>
        <w:rPr>
          <w:rFonts w:ascii="Times New Roman;sans-serif" w:hAnsi="Times New Roman;sans-serif"/>
          <w:b w:val="false"/>
          <w:color w:val="000000"/>
          <w:sz w:val="24"/>
        </w:rPr>
        <w:t xml:space="preserve">6.25.......... </w:t>
      </w:r>
      <w:r>
        <w:rPr>
          <w:rFonts w:ascii="Times New Roman;sans-serif" w:hAnsi="Times New Roman;sans-serif"/>
          <w:b w:val="false"/>
          <w:color w:val="000000"/>
          <w:sz w:val="24"/>
          <w:u w:val="single"/>
        </w:rPr>
        <w:t>Deposit Accounts</w:t>
      </w:r>
      <w:r>
        <w:rPr>
          <w:rFonts w:ascii="Times New Roman;sans-serif" w:hAnsi="Times New Roman;sans-serif"/>
          <w:b w:val="false"/>
          <w:color w:val="000000"/>
          <w:sz w:val="24"/>
        </w:rPr>
        <w:t>............................................................... 69</w:t>
      </w:r>
    </w:p>
    <w:p>
      <w:pPr>
        <w:pStyle w:val="TextBody"/>
        <w:spacing w:lineRule="auto" w:line="268" w:before="0" w:after="0"/>
        <w:ind w:left="0" w:right="0" w:firstLine="720"/>
        <w:rPr/>
      </w:pPr>
      <w:r>
        <w:rPr>
          <w:rFonts w:ascii="Times New Roman;sans-serif" w:hAnsi="Times New Roman;sans-serif"/>
          <w:b w:val="false"/>
          <w:color w:val="000000"/>
          <w:sz w:val="24"/>
        </w:rPr>
        <w:t xml:space="preserve">6.26.......... </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69</w:t>
      </w:r>
    </w:p>
    <w:p>
      <w:pPr>
        <w:pStyle w:val="TextBody"/>
        <w:spacing w:lineRule="auto" w:line="268" w:before="0" w:after="0"/>
        <w:ind w:left="0" w:right="0" w:firstLine="720"/>
        <w:rPr/>
      </w:pPr>
      <w:r>
        <w:rPr>
          <w:rFonts w:ascii="Times New Roman;sans-serif" w:hAnsi="Times New Roman;sans-serif"/>
          <w:b w:val="false"/>
          <w:color w:val="000000"/>
          <w:sz w:val="24"/>
        </w:rPr>
        <w:t xml:space="preserve">6.27.......... </w:t>
      </w:r>
      <w:r>
        <w:rPr>
          <w:rFonts w:ascii="Times New Roman;sans-serif" w:hAnsi="Times New Roman;sans-serif"/>
          <w:b w:val="false"/>
          <w:color w:val="000000"/>
          <w:sz w:val="24"/>
          <w:u w:val="single"/>
        </w:rPr>
        <w:t>Additional Restricted Subsidiaries</w:t>
      </w:r>
      <w:r>
        <w:rPr>
          <w:rFonts w:ascii="Times New Roman;sans-serif" w:hAnsi="Times New Roman;sans-serif"/>
          <w:b w:val="false"/>
          <w:color w:val="000000"/>
          <w:sz w:val="24"/>
        </w:rPr>
        <w:t>..................................... 70</w:t>
      </w:r>
    </w:p>
    <w:p>
      <w:pPr>
        <w:pStyle w:val="TextBody"/>
        <w:spacing w:lineRule="auto" w:line="268" w:before="0" w:after="0"/>
        <w:rPr/>
      </w:pPr>
      <w:r>
        <w:rPr>
          <w:rFonts w:ascii="Times New Roman;sans-serif" w:hAnsi="Times New Roman;sans-serif"/>
          <w:b w:val="false"/>
          <w:color w:val="000000"/>
          <w:sz w:val="24"/>
        </w:rPr>
        <w:t>ARTICLE VII</w:t>
      </w:r>
      <w:r>
        <w:rPr>
          <w:color w:val="000000"/>
          <w:u w:val="single"/>
        </w:rPr>
        <w:t xml:space="preserve"> </w:t>
      </w:r>
      <w:r>
        <w:rPr>
          <w:rFonts w:ascii="Times New Roman;sans-serif" w:hAnsi="Times New Roman;sans-serif"/>
          <w:b w:val="false"/>
          <w:color w:val="000000"/>
          <w:sz w:val="24"/>
          <w:u w:val="single"/>
        </w:rPr>
        <w:t>DEFAULTS</w:t>
      </w:r>
      <w:r>
        <w:rPr>
          <w:rFonts w:ascii="Times New Roman;sans-serif" w:hAnsi="Times New Roman;sans-serif"/>
          <w:b w:val="false"/>
          <w:color w:val="000000"/>
          <w:sz w:val="24"/>
        </w:rPr>
        <w:t>.......................................................................... 70</w:t>
      </w:r>
    </w:p>
    <w:p>
      <w:pPr>
        <w:pStyle w:val="TextBody"/>
        <w:spacing w:lineRule="auto" w:line="268" w:before="0" w:after="0"/>
        <w:rPr/>
      </w:pPr>
      <w:r>
        <w:rPr>
          <w:rFonts w:ascii="Times New Roman;sans-serif" w:hAnsi="Times New Roman;sans-serif"/>
          <w:b w:val="false"/>
          <w:color w:val="000000"/>
          <w:sz w:val="24"/>
        </w:rPr>
        <w:t>ARTICLE VIII</w:t>
      </w:r>
      <w:r>
        <w:rPr>
          <w:color w:val="000000"/>
          <w:u w:val="single"/>
        </w:rPr>
        <w:t xml:space="preserve"> </w:t>
      </w:r>
      <w:r>
        <w:rPr>
          <w:rFonts w:ascii="Times New Roman;sans-serif" w:hAnsi="Times New Roman;sans-serif"/>
          <w:b w:val="false"/>
          <w:color w:val="000000"/>
          <w:sz w:val="24"/>
          <w:u w:val="single"/>
        </w:rPr>
        <w:t>ACCELERATION, WAIVERS, AMENDMENTS AND REMEDIES</w:t>
      </w:r>
      <w:r>
        <w:rPr>
          <w:rFonts w:ascii="Times New Roman;sans-serif" w:hAnsi="Times New Roman;sans-serif"/>
          <w:b w:val="false"/>
          <w:color w:val="000000"/>
          <w:sz w:val="24"/>
        </w:rPr>
        <w:t>........................................................................................ 73</w:t>
      </w:r>
    </w:p>
    <w:p>
      <w:pPr>
        <w:pStyle w:val="TextBody"/>
        <w:spacing w:lineRule="auto" w:line="268" w:before="0" w:after="0"/>
        <w:ind w:left="0" w:right="0" w:firstLine="720"/>
        <w:rPr/>
      </w:pPr>
      <w:r>
        <w:rPr>
          <w:rFonts w:ascii="Times New Roman;sans-serif" w:hAnsi="Times New Roman;sans-serif"/>
          <w:b w:val="false"/>
          <w:color w:val="000000"/>
          <w:sz w:val="24"/>
        </w:rPr>
        <w:t xml:space="preserve">8.1............ </w:t>
      </w:r>
      <w:r>
        <w:rPr>
          <w:rFonts w:ascii="Times New Roman;sans-serif" w:hAnsi="Times New Roman;sans-serif"/>
          <w:b w:val="false"/>
          <w:color w:val="000000"/>
          <w:sz w:val="24"/>
          <w:u w:val="single"/>
        </w:rPr>
        <w:t>Acceleration; Remedies</w:t>
      </w:r>
      <w:r>
        <w:rPr>
          <w:rFonts w:ascii="Times New Roman;sans-serif" w:hAnsi="Times New Roman;sans-serif"/>
          <w:b w:val="false"/>
          <w:color w:val="000000"/>
          <w:sz w:val="24"/>
        </w:rPr>
        <w:t>..................................................... 73</w:t>
      </w:r>
    </w:p>
    <w:p>
      <w:pPr>
        <w:pStyle w:val="TextBody"/>
        <w:spacing w:lineRule="auto" w:line="268" w:before="0" w:after="0"/>
        <w:ind w:left="0" w:right="0" w:firstLine="720"/>
        <w:rPr/>
      </w:pPr>
      <w:r>
        <w:rPr>
          <w:rFonts w:ascii="Times New Roman;sans-serif" w:hAnsi="Times New Roman;sans-serif"/>
          <w:b w:val="false"/>
          <w:color w:val="000000"/>
          <w:sz w:val="24"/>
        </w:rPr>
        <w:t xml:space="preserve">8.2............ </w:t>
      </w:r>
      <w:r>
        <w:rPr>
          <w:rFonts w:ascii="Times New Roman;sans-serif" w:hAnsi="Times New Roman;sans-serif"/>
          <w:b w:val="false"/>
          <w:color w:val="000000"/>
          <w:sz w:val="24"/>
          <w:u w:val="single"/>
        </w:rPr>
        <w:t>Application of Funds</w:t>
      </w:r>
      <w:r>
        <w:rPr>
          <w:rFonts w:ascii="Times New Roman;sans-serif" w:hAnsi="Times New Roman;sans-serif"/>
          <w:b w:val="false"/>
          <w:color w:val="000000"/>
          <w:sz w:val="24"/>
        </w:rPr>
        <w:t>.......................................................... 74</w:t>
      </w:r>
    </w:p>
    <w:p>
      <w:pPr>
        <w:pStyle w:val="TextBody"/>
        <w:spacing w:lineRule="auto" w:line="268" w:before="0" w:after="0"/>
        <w:ind w:left="0" w:right="0" w:firstLine="720"/>
        <w:rPr/>
      </w:pPr>
      <w:r>
        <w:rPr>
          <w:rFonts w:ascii="Times New Roman;sans-serif" w:hAnsi="Times New Roman;sans-serif"/>
          <w:b w:val="false"/>
          <w:color w:val="000000"/>
          <w:sz w:val="24"/>
        </w:rPr>
        <w:t xml:space="preserve">8.3............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75</w:t>
      </w:r>
    </w:p>
    <w:p>
      <w:pPr>
        <w:pStyle w:val="TextBody"/>
        <w:spacing w:lineRule="auto" w:line="268" w:before="0" w:after="0"/>
        <w:ind w:left="0" w:right="0" w:firstLine="720"/>
        <w:rPr/>
      </w:pPr>
      <w:r>
        <w:rPr>
          <w:rFonts w:ascii="Times New Roman;sans-serif" w:hAnsi="Times New Roman;sans-serif"/>
          <w:b w:val="false"/>
          <w:color w:val="000000"/>
          <w:sz w:val="24"/>
        </w:rPr>
        <w:t xml:space="preserve">8.4............ </w:t>
      </w:r>
      <w:r>
        <w:rPr>
          <w:rFonts w:ascii="Times New Roman;sans-serif" w:hAnsi="Times New Roman;sans-serif"/>
          <w:b w:val="false"/>
          <w:color w:val="000000"/>
          <w:sz w:val="24"/>
          <w:u w:val="single"/>
        </w:rPr>
        <w:t>Preservation of Rights</w:t>
      </w:r>
      <w:r>
        <w:rPr>
          <w:rFonts w:ascii="Times New Roman;sans-serif" w:hAnsi="Times New Roman;sans-serif"/>
          <w:b w:val="false"/>
          <w:color w:val="000000"/>
          <w:sz w:val="24"/>
        </w:rPr>
        <w:t>........................................................ 76</w:t>
      </w:r>
    </w:p>
    <w:p>
      <w:pPr>
        <w:pStyle w:val="TextBody"/>
        <w:spacing w:lineRule="auto" w:line="268" w:before="0" w:after="0"/>
        <w:rPr/>
      </w:pPr>
      <w:r>
        <w:rPr>
          <w:rFonts w:ascii="Times New Roman;sans-serif" w:hAnsi="Times New Roman;sans-serif"/>
          <w:b w:val="false"/>
          <w:color w:val="000000"/>
          <w:sz w:val="24"/>
        </w:rPr>
        <w:t>ARTICLE IX</w:t>
      </w:r>
      <w:r>
        <w:rPr>
          <w:color w:val="000000"/>
          <w:u w:val="single"/>
        </w:rPr>
        <w:t xml:space="preserve"> </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9.1............ </w:t>
      </w:r>
      <w:r>
        <w:rPr>
          <w:rFonts w:ascii="Times New Roman;sans-serif" w:hAnsi="Times New Roman;sans-serif"/>
          <w:b w:val="false"/>
          <w:color w:val="000000"/>
          <w:sz w:val="24"/>
          <w:u w:val="single"/>
        </w:rPr>
        <w:t>Survival of Representations</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9.2............ </w:t>
      </w:r>
      <w:r>
        <w:rPr>
          <w:rFonts w:ascii="Times New Roman;sans-serif" w:hAnsi="Times New Roman;sans-serif"/>
          <w:b w:val="false"/>
          <w:color w:val="000000"/>
          <w:sz w:val="24"/>
          <w:u w:val="single"/>
        </w:rPr>
        <w:t>Governmental Regulation</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9.3............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9.4............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9.5............ </w:t>
      </w:r>
      <w:r>
        <w:rPr>
          <w:rFonts w:ascii="Times New Roman;sans-serif" w:hAnsi="Times New Roman;sans-serif"/>
          <w:b w:val="false"/>
          <w:color w:val="000000"/>
          <w:sz w:val="24"/>
          <w:u w:val="single"/>
        </w:rPr>
        <w:t>Several Obligations; Benefits of this Agreement</w:t>
      </w:r>
      <w:r>
        <w:rPr>
          <w:rFonts w:ascii="Times New Roman;sans-serif" w:hAnsi="Times New Roman;sans-serif"/>
          <w:b w:val="false"/>
          <w:color w:val="000000"/>
          <w:sz w:val="24"/>
        </w:rPr>
        <w:t>.............. 76</w:t>
      </w:r>
    </w:p>
    <w:p>
      <w:pPr>
        <w:pStyle w:val="TextBody"/>
        <w:spacing w:lineRule="auto" w:line="268" w:before="0" w:after="0"/>
        <w:ind w:left="0" w:right="0" w:firstLine="720"/>
        <w:rPr/>
      </w:pPr>
      <w:r>
        <w:rPr>
          <w:rFonts w:ascii="Times New Roman;sans-serif" w:hAnsi="Times New Roman;sans-serif"/>
          <w:b w:val="false"/>
          <w:color w:val="000000"/>
          <w:sz w:val="24"/>
        </w:rPr>
        <w:t xml:space="preserve">9.6............ </w:t>
      </w:r>
      <w:r>
        <w:rPr>
          <w:rFonts w:ascii="Times New Roman;sans-serif" w:hAnsi="Times New Roman;sans-serif"/>
          <w:b w:val="false"/>
          <w:color w:val="000000"/>
          <w:sz w:val="24"/>
          <w:u w:val="single"/>
        </w:rPr>
        <w:t>Expenses; Indemnification</w:t>
      </w:r>
      <w:r>
        <w:rPr>
          <w:rFonts w:ascii="Times New Roman;sans-serif" w:hAnsi="Times New Roman;sans-serif"/>
          <w:b w:val="false"/>
          <w:color w:val="000000"/>
          <w:sz w:val="24"/>
        </w:rPr>
        <w:t>................................................. 77</w:t>
      </w:r>
    </w:p>
    <w:p>
      <w:pPr>
        <w:pStyle w:val="TextBody"/>
        <w:spacing w:lineRule="auto" w:line="268" w:before="0" w:after="0"/>
        <w:ind w:left="0" w:right="0" w:firstLine="720"/>
        <w:rPr/>
      </w:pPr>
      <w:r>
        <w:rPr>
          <w:rFonts w:ascii="Times New Roman;sans-serif" w:hAnsi="Times New Roman;sans-serif"/>
          <w:b w:val="false"/>
          <w:color w:val="000000"/>
          <w:sz w:val="24"/>
        </w:rPr>
        <w:t xml:space="preserve">9.7............ </w:t>
      </w:r>
      <w:r>
        <w:rPr>
          <w:rFonts w:ascii="Times New Roman;sans-serif" w:hAnsi="Times New Roman;sans-serif"/>
          <w:b w:val="false"/>
          <w:color w:val="000000"/>
          <w:sz w:val="24"/>
          <w:u w:val="single"/>
        </w:rPr>
        <w:t>Numbers of Documents</w:t>
      </w:r>
      <w:r>
        <w:rPr>
          <w:rFonts w:ascii="Times New Roman;sans-serif" w:hAnsi="Times New Roman;sans-serif"/>
          <w:b w:val="false"/>
          <w:color w:val="000000"/>
          <w:sz w:val="24"/>
        </w:rPr>
        <w:t>..................................................... 78</w:t>
      </w:r>
    </w:p>
    <w:p>
      <w:pPr>
        <w:pStyle w:val="TextBody"/>
        <w:spacing w:lineRule="auto" w:line="268" w:before="0" w:after="0"/>
        <w:ind w:left="0" w:right="0" w:firstLine="720"/>
        <w:rPr/>
      </w:pPr>
      <w:r>
        <w:rPr>
          <w:rFonts w:ascii="Times New Roman;sans-serif" w:hAnsi="Times New Roman;sans-serif"/>
          <w:b w:val="false"/>
          <w:color w:val="000000"/>
          <w:sz w:val="24"/>
        </w:rPr>
        <w:t xml:space="preserve">9.8............ </w:t>
      </w:r>
      <w:r>
        <w:rPr>
          <w:rFonts w:ascii="Times New Roman;sans-serif" w:hAnsi="Times New Roman;sans-serif"/>
          <w:b w:val="false"/>
          <w:color w:val="000000"/>
          <w:sz w:val="24"/>
          <w:u w:val="single"/>
        </w:rPr>
        <w:t>Accounting</w:t>
      </w:r>
      <w:r>
        <w:rPr>
          <w:rFonts w:ascii="Times New Roman;sans-serif" w:hAnsi="Times New Roman;sans-serif"/>
          <w:b w:val="false"/>
          <w:color w:val="000000"/>
          <w:sz w:val="24"/>
        </w:rPr>
        <w:t>......................................................................... 78</w:t>
      </w:r>
    </w:p>
    <w:p>
      <w:pPr>
        <w:pStyle w:val="TextBody"/>
        <w:spacing w:lineRule="auto" w:line="268" w:before="0" w:after="0"/>
        <w:ind w:left="0" w:right="0" w:firstLine="720"/>
        <w:rPr/>
      </w:pPr>
      <w:r>
        <w:rPr>
          <w:rFonts w:ascii="Times New Roman;sans-serif" w:hAnsi="Times New Roman;sans-serif"/>
          <w:b w:val="false"/>
          <w:color w:val="000000"/>
          <w:sz w:val="24"/>
        </w:rPr>
        <w:t xml:space="preserve">9.9............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79</w:t>
      </w:r>
    </w:p>
    <w:p>
      <w:pPr>
        <w:pStyle w:val="TextBody"/>
        <w:spacing w:lineRule="auto" w:line="268" w:before="0" w:after="0"/>
        <w:ind w:left="0" w:right="0" w:firstLine="720"/>
        <w:rPr/>
      </w:pPr>
      <w:r>
        <w:rPr>
          <w:rFonts w:ascii="Times New Roman;sans-serif" w:hAnsi="Times New Roman;sans-serif"/>
          <w:b w:val="false"/>
          <w:color w:val="000000"/>
          <w:sz w:val="24"/>
        </w:rPr>
        <w:t xml:space="preserve">9.10.......... </w:t>
      </w:r>
      <w:r>
        <w:rPr>
          <w:rFonts w:ascii="Times New Roman;sans-serif" w:hAnsi="Times New Roman;sans-serif"/>
          <w:b w:val="false"/>
          <w:color w:val="000000"/>
          <w:sz w:val="24"/>
          <w:u w:val="single"/>
        </w:rPr>
        <w:t>Nonliability of Lenders</w:t>
      </w:r>
      <w:r>
        <w:rPr>
          <w:rFonts w:ascii="Times New Roman;sans-serif" w:hAnsi="Times New Roman;sans-serif"/>
          <w:b w:val="false"/>
          <w:color w:val="000000"/>
          <w:sz w:val="24"/>
        </w:rPr>
        <w:t>...................................................... 79</w:t>
      </w:r>
    </w:p>
    <w:p>
      <w:pPr>
        <w:pStyle w:val="TextBody"/>
        <w:spacing w:lineRule="auto" w:line="268" w:before="0" w:after="0"/>
        <w:ind w:left="0" w:right="0" w:firstLine="720"/>
        <w:rPr/>
      </w:pPr>
      <w:r>
        <w:rPr>
          <w:rFonts w:ascii="Times New Roman;sans-serif" w:hAnsi="Times New Roman;sans-serif"/>
          <w:b w:val="false"/>
          <w:color w:val="000000"/>
          <w:sz w:val="24"/>
        </w:rPr>
        <w:t xml:space="preserve">9.11..........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79</w:t>
      </w:r>
    </w:p>
    <w:p>
      <w:pPr>
        <w:pStyle w:val="TextBody"/>
        <w:spacing w:lineRule="auto" w:line="268" w:before="0" w:after="0"/>
        <w:ind w:left="0" w:right="0" w:firstLine="720"/>
        <w:rPr/>
      </w:pPr>
      <w:r>
        <w:rPr>
          <w:rFonts w:ascii="Times New Roman;sans-serif" w:hAnsi="Times New Roman;sans-serif"/>
          <w:b w:val="false"/>
          <w:color w:val="000000"/>
          <w:sz w:val="24"/>
        </w:rPr>
        <w:t xml:space="preserve">9.12.......... </w:t>
      </w:r>
      <w:r>
        <w:rPr>
          <w:rFonts w:ascii="Times New Roman;sans-serif" w:hAnsi="Times New Roman;sans-serif"/>
          <w:b w:val="false"/>
          <w:color w:val="000000"/>
          <w:sz w:val="24"/>
          <w:u w:val="single"/>
        </w:rPr>
        <w:t>Non-reliance</w:t>
      </w:r>
      <w:r>
        <w:rPr>
          <w:rFonts w:ascii="Times New Roman;sans-serif" w:hAnsi="Times New Roman;sans-serif"/>
          <w:b w:val="false"/>
          <w:color w:val="000000"/>
          <w:sz w:val="24"/>
        </w:rPr>
        <w:t>....................................................................... 80</w:t>
      </w:r>
    </w:p>
    <w:p>
      <w:pPr>
        <w:pStyle w:val="TextBody"/>
        <w:spacing w:lineRule="auto" w:line="268" w:before="0" w:after="0"/>
        <w:ind w:left="0" w:right="0" w:firstLine="720"/>
        <w:rPr/>
      </w:pPr>
      <w:r>
        <w:rPr>
          <w:rFonts w:ascii="Times New Roman;sans-serif" w:hAnsi="Times New Roman;sans-serif"/>
          <w:b w:val="false"/>
          <w:color w:val="000000"/>
          <w:sz w:val="24"/>
        </w:rPr>
        <w:t xml:space="preserve">9.13.......... </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80</w:t>
      </w:r>
    </w:p>
    <w:p>
      <w:pPr>
        <w:pStyle w:val="TextBody"/>
        <w:spacing w:lineRule="auto" w:line="268" w:before="0" w:after="0"/>
        <w:ind w:left="0" w:right="0" w:firstLine="720"/>
        <w:rPr/>
      </w:pPr>
      <w:r>
        <w:rPr>
          <w:rFonts w:ascii="Times New Roman;sans-serif" w:hAnsi="Times New Roman;sans-serif"/>
          <w:b w:val="false"/>
          <w:color w:val="000000"/>
          <w:sz w:val="24"/>
        </w:rPr>
        <w:t xml:space="preserve">9.14.......... </w:t>
      </w:r>
      <w:r>
        <w:rPr>
          <w:rFonts w:ascii="Times New Roman;sans-serif" w:hAnsi="Times New Roman;sans-serif"/>
          <w:b w:val="false"/>
          <w:color w:val="000000"/>
          <w:sz w:val="24"/>
          <w:u w:val="single"/>
        </w:rPr>
        <w:t>USA PATRIOT ACT NOTIFICATION</w:t>
      </w:r>
      <w:r>
        <w:rPr>
          <w:rFonts w:ascii="Times New Roman;sans-serif" w:hAnsi="Times New Roman;sans-serif"/>
          <w:b w:val="false"/>
          <w:color w:val="000000"/>
          <w:sz w:val="24"/>
        </w:rPr>
        <w:t>........................... 80</w:t>
      </w:r>
    </w:p>
    <w:p>
      <w:pPr>
        <w:pStyle w:val="TextBody"/>
        <w:spacing w:lineRule="auto" w:line="268" w:before="0" w:after="0"/>
        <w:ind w:left="0" w:right="0" w:firstLine="720"/>
        <w:rPr/>
      </w:pPr>
      <w:r>
        <w:rPr>
          <w:rFonts w:ascii="Times New Roman;sans-serif" w:hAnsi="Times New Roman;sans-serif"/>
          <w:b w:val="false"/>
          <w:color w:val="000000"/>
          <w:sz w:val="24"/>
        </w:rPr>
        <w:t xml:space="preserve">9.15.......... </w:t>
      </w:r>
      <w:r>
        <w:rPr>
          <w:rFonts w:ascii="Times New Roman;sans-serif" w:hAnsi="Times New Roman;sans-serif"/>
          <w:b w:val="false"/>
          <w:color w:val="000000"/>
          <w:sz w:val="24"/>
          <w:u w:val="single"/>
        </w:rPr>
        <w:t>Acknowledgement and Consent to Bail-In of EEA Financial Institutions</w:t>
      </w:r>
      <w:r>
        <w:rPr>
          <w:rFonts w:ascii="Times New Roman;sans-serif" w:hAnsi="Times New Roman;sans-serif"/>
          <w:b w:val="false"/>
          <w:color w:val="000000"/>
          <w:sz w:val="24"/>
        </w:rPr>
        <w:t>.......................................................... 80</w:t>
      </w:r>
    </w:p>
    <w:p>
      <w:pPr>
        <w:pStyle w:val="TextBody"/>
        <w:spacing w:lineRule="auto" w:line="268" w:before="0" w:after="0"/>
        <w:rPr/>
      </w:pPr>
      <w:r>
        <w:rPr>
          <w:rFonts w:ascii="Times New Roman;sans-serif" w:hAnsi="Times New Roman;sans-serif"/>
          <w:b w:val="false"/>
          <w:color w:val="000000"/>
          <w:sz w:val="24"/>
        </w:rPr>
        <w:t>ARTICLE X</w:t>
      </w:r>
      <w:r>
        <w:rPr>
          <w:color w:val="000000"/>
          <w:u w:val="single"/>
        </w:rPr>
        <w:t xml:space="preserve"> </w:t>
      </w:r>
      <w:r>
        <w:rPr>
          <w:rFonts w:ascii="Times New Roman;sans-serif" w:hAnsi="Times New Roman;sans-serif"/>
          <w:b w:val="false"/>
          <w:color w:val="000000"/>
          <w:sz w:val="24"/>
          <w:u w:val="single"/>
        </w:rPr>
        <w:t>THE ADMINISTRATIVE AGENT</w:t>
      </w:r>
      <w:r>
        <w:rPr>
          <w:rFonts w:ascii="Times New Roman;sans-serif" w:hAnsi="Times New Roman;sans-serif"/>
          <w:b w:val="false"/>
          <w:color w:val="000000"/>
          <w:sz w:val="24"/>
        </w:rPr>
        <w:t>...................................... 81</w:t>
      </w:r>
    </w:p>
    <w:p>
      <w:pPr>
        <w:pStyle w:val="TextBody"/>
        <w:spacing w:lineRule="auto" w:line="268" w:before="0" w:after="0"/>
        <w:ind w:left="0" w:right="0" w:firstLine="720"/>
        <w:rPr/>
      </w:pPr>
      <w:r>
        <w:rPr>
          <w:rFonts w:ascii="Times New Roman;sans-serif" w:hAnsi="Times New Roman;sans-serif"/>
          <w:b w:val="false"/>
          <w:color w:val="000000"/>
          <w:sz w:val="24"/>
        </w:rPr>
        <w:t xml:space="preserve">10.1.......... </w:t>
      </w:r>
      <w:r>
        <w:rPr>
          <w:rFonts w:ascii="Times New Roman;sans-serif" w:hAnsi="Times New Roman;sans-serif"/>
          <w:b w:val="false"/>
          <w:color w:val="000000"/>
          <w:sz w:val="24"/>
          <w:u w:val="single"/>
        </w:rPr>
        <w:t>Appointment; Nature of Relationship</w:t>
      </w:r>
      <w:r>
        <w:rPr>
          <w:rFonts w:ascii="Times New Roman;sans-serif" w:hAnsi="Times New Roman;sans-serif"/>
          <w:b w:val="false"/>
          <w:color w:val="000000"/>
          <w:sz w:val="24"/>
        </w:rPr>
        <w:t>................................ 81</w:t>
      </w:r>
    </w:p>
    <w:p>
      <w:pPr>
        <w:pStyle w:val="TextBody"/>
        <w:spacing w:lineRule="auto" w:line="268" w:before="0" w:after="0"/>
        <w:ind w:left="0" w:right="0" w:firstLine="720"/>
        <w:rPr/>
      </w:pPr>
      <w:r>
        <w:rPr>
          <w:rFonts w:ascii="Times New Roman;sans-serif" w:hAnsi="Times New Roman;sans-serif"/>
          <w:b w:val="false"/>
          <w:color w:val="000000"/>
          <w:sz w:val="24"/>
        </w:rPr>
        <w:t xml:space="preserve">10.2.......... </w:t>
      </w:r>
      <w:r>
        <w:rPr>
          <w:rFonts w:ascii="Times New Roman;sans-serif" w:hAnsi="Times New Roman;sans-serif"/>
          <w:b w:val="false"/>
          <w:color w:val="000000"/>
          <w:sz w:val="24"/>
          <w:u w:val="single"/>
        </w:rPr>
        <w:t>Powers</w:t>
      </w:r>
      <w:r>
        <w:rPr>
          <w:rFonts w:ascii="Times New Roman;sans-serif" w:hAnsi="Times New Roman;sans-serif"/>
          <w:b w:val="false"/>
          <w:color w:val="000000"/>
          <w:sz w:val="24"/>
        </w:rPr>
        <w:t>................................................................................ 81</w:t>
      </w:r>
    </w:p>
    <w:p>
      <w:pPr>
        <w:pStyle w:val="TextBody"/>
        <w:spacing w:lineRule="auto" w:line="268" w:before="0" w:after="0"/>
        <w:ind w:left="0" w:right="0" w:firstLine="720"/>
        <w:rPr/>
      </w:pPr>
      <w:r>
        <w:rPr>
          <w:rFonts w:ascii="Times New Roman;sans-serif" w:hAnsi="Times New Roman;sans-serif"/>
          <w:b w:val="false"/>
          <w:color w:val="000000"/>
          <w:sz w:val="24"/>
        </w:rPr>
        <w:t xml:space="preserve">10.3.......... </w:t>
      </w:r>
      <w:r>
        <w:rPr>
          <w:rFonts w:ascii="Times New Roman;sans-serif" w:hAnsi="Times New Roman;sans-serif"/>
          <w:b w:val="false"/>
          <w:color w:val="000000"/>
          <w:sz w:val="24"/>
          <w:u w:val="single"/>
        </w:rPr>
        <w:t>General Immunity</w:t>
      </w:r>
      <w:r>
        <w:rPr>
          <w:rFonts w:ascii="Times New Roman;sans-serif" w:hAnsi="Times New Roman;sans-serif"/>
          <w:b w:val="false"/>
          <w:color w:val="000000"/>
          <w:sz w:val="24"/>
        </w:rPr>
        <w:t>.............................................................. 81</w:t>
      </w:r>
    </w:p>
    <w:p>
      <w:pPr>
        <w:pStyle w:val="TextBody"/>
        <w:spacing w:lineRule="auto" w:line="268" w:before="0" w:after="0"/>
        <w:ind w:left="0" w:right="0" w:firstLine="720"/>
        <w:rPr/>
      </w:pPr>
      <w:r>
        <w:rPr>
          <w:rFonts w:ascii="Times New Roman;sans-serif" w:hAnsi="Times New Roman;sans-serif"/>
          <w:b w:val="false"/>
          <w:color w:val="000000"/>
          <w:sz w:val="24"/>
        </w:rPr>
        <w:t xml:space="preserve">10.4.......... </w:t>
      </w:r>
      <w:r>
        <w:rPr>
          <w:rFonts w:ascii="Times New Roman;sans-serif" w:hAnsi="Times New Roman;sans-serif"/>
          <w:b w:val="false"/>
          <w:color w:val="000000"/>
          <w:sz w:val="24"/>
          <w:u w:val="single"/>
        </w:rPr>
        <w:t>No Responsibility for Loans, Recitals, etc</w:t>
      </w:r>
      <w:r>
        <w:rPr>
          <w:rFonts w:ascii="Times New Roman;sans-serif" w:hAnsi="Times New Roman;sans-serif"/>
          <w:b w:val="false"/>
          <w:color w:val="000000"/>
          <w:sz w:val="24"/>
        </w:rPr>
        <w:t>......................... 82</w:t>
      </w:r>
    </w:p>
    <w:p>
      <w:pPr>
        <w:pStyle w:val="TextBody"/>
        <w:spacing w:lineRule="auto" w:line="268" w:before="0" w:after="0"/>
        <w:ind w:left="0" w:right="0" w:firstLine="720"/>
        <w:rPr/>
      </w:pPr>
      <w:r>
        <w:rPr>
          <w:rFonts w:ascii="Times New Roman;sans-serif" w:hAnsi="Times New Roman;sans-serif"/>
          <w:b w:val="false"/>
          <w:color w:val="000000"/>
          <w:sz w:val="24"/>
        </w:rPr>
        <w:t xml:space="preserve">10.5.......... </w:t>
      </w:r>
      <w:r>
        <w:rPr>
          <w:rFonts w:ascii="Times New Roman;sans-serif" w:hAnsi="Times New Roman;sans-serif"/>
          <w:b w:val="false"/>
          <w:color w:val="000000"/>
          <w:sz w:val="24"/>
          <w:u w:val="single"/>
        </w:rPr>
        <w:t>Action on Instructions of Lenders</w:t>
      </w:r>
      <w:r>
        <w:rPr>
          <w:rFonts w:ascii="Times New Roman;sans-serif" w:hAnsi="Times New Roman;sans-serif"/>
          <w:b w:val="false"/>
          <w:color w:val="000000"/>
          <w:sz w:val="24"/>
        </w:rPr>
        <w:t>...................................... 82</w:t>
      </w:r>
    </w:p>
    <w:p>
      <w:pPr>
        <w:pStyle w:val="TextBody"/>
        <w:spacing w:lineRule="auto" w:line="268" w:before="0" w:after="0"/>
        <w:ind w:left="0" w:right="0" w:firstLine="720"/>
        <w:rPr/>
      </w:pPr>
      <w:r>
        <w:rPr>
          <w:rFonts w:ascii="Times New Roman;sans-serif" w:hAnsi="Times New Roman;sans-serif"/>
          <w:b w:val="false"/>
          <w:color w:val="000000"/>
          <w:sz w:val="24"/>
        </w:rPr>
        <w:t xml:space="preserve">10.6.......... </w:t>
      </w:r>
      <w:r>
        <w:rPr>
          <w:rFonts w:ascii="Times New Roman;sans-serif" w:hAnsi="Times New Roman;sans-serif"/>
          <w:b w:val="false"/>
          <w:color w:val="000000"/>
          <w:sz w:val="24"/>
          <w:u w:val="single"/>
        </w:rPr>
        <w:t>Employment of Administrative Agents and Counsel</w:t>
      </w:r>
      <w:r>
        <w:rPr>
          <w:rFonts w:ascii="Times New Roman;sans-serif" w:hAnsi="Times New Roman;sans-serif"/>
          <w:b w:val="false"/>
          <w:color w:val="000000"/>
          <w:sz w:val="24"/>
        </w:rPr>
        <w:t>........ 82</w:t>
      </w:r>
    </w:p>
    <w:p>
      <w:pPr>
        <w:pStyle w:val="TextBody"/>
        <w:spacing w:lineRule="auto" w:line="268" w:before="0" w:after="0"/>
        <w:ind w:left="0" w:right="0" w:firstLine="720"/>
        <w:rPr/>
      </w:pPr>
      <w:r>
        <w:rPr>
          <w:rFonts w:ascii="Times New Roman;sans-serif" w:hAnsi="Times New Roman;sans-serif"/>
          <w:b w:val="false"/>
          <w:color w:val="000000"/>
          <w:sz w:val="24"/>
        </w:rPr>
        <w:t xml:space="preserve">10.7.......... </w:t>
      </w:r>
      <w:r>
        <w:rPr>
          <w:rFonts w:ascii="Times New Roman;sans-serif" w:hAnsi="Times New Roman;sans-serif"/>
          <w:b w:val="false"/>
          <w:color w:val="000000"/>
          <w:sz w:val="24"/>
          <w:u w:val="single"/>
        </w:rPr>
        <w:t>Reliance on Documents; Counsel</w:t>
      </w:r>
      <w:r>
        <w:rPr>
          <w:rFonts w:ascii="Times New Roman;sans-serif" w:hAnsi="Times New Roman;sans-serif"/>
          <w:b w:val="false"/>
          <w:color w:val="000000"/>
          <w:sz w:val="24"/>
        </w:rPr>
        <w:t>...................................... 82</w:t>
      </w:r>
    </w:p>
    <w:p>
      <w:pPr>
        <w:pStyle w:val="TextBody"/>
        <w:spacing w:lineRule="auto" w:line="268" w:before="0" w:after="0"/>
        <w:ind w:left="0" w:right="0" w:firstLine="720"/>
        <w:rPr/>
      </w:pPr>
      <w:r>
        <w:rPr>
          <w:rFonts w:ascii="Times New Roman;sans-serif" w:hAnsi="Times New Roman;sans-serif"/>
          <w:b w:val="false"/>
          <w:color w:val="000000"/>
          <w:sz w:val="24"/>
        </w:rPr>
        <w:t xml:space="preserve">10.8.......... </w:t>
      </w:r>
      <w:r>
        <w:rPr>
          <w:rFonts w:ascii="Times New Roman;sans-serif" w:hAnsi="Times New Roman;sans-serif"/>
          <w:b w:val="false"/>
          <w:color w:val="000000"/>
          <w:sz w:val="24"/>
          <w:u w:val="single"/>
        </w:rPr>
        <w:t>Administrative Agent’s Reimbursement and Indemnification</w:t>
      </w:r>
      <w:r>
        <w:rPr>
          <w:rFonts w:ascii="Times New Roman;sans-serif" w:hAnsi="Times New Roman;sans-serif"/>
          <w:b w:val="false"/>
          <w:color w:val="000000"/>
          <w:sz w:val="24"/>
        </w:rPr>
        <w:t>.................................................................. 83</w:t>
      </w:r>
    </w:p>
    <w:p>
      <w:pPr>
        <w:pStyle w:val="TextBody"/>
        <w:spacing w:lineRule="auto" w:line="268" w:before="0" w:after="0"/>
        <w:ind w:left="0" w:right="0" w:firstLine="720"/>
        <w:rPr/>
      </w:pPr>
      <w:r>
        <w:rPr>
          <w:rFonts w:ascii="Times New Roman;sans-serif" w:hAnsi="Times New Roman;sans-serif"/>
          <w:b w:val="false"/>
          <w:color w:val="000000"/>
          <w:sz w:val="24"/>
        </w:rPr>
        <w:t xml:space="preserve">10.9.......... </w:t>
      </w:r>
      <w:r>
        <w:rPr>
          <w:rFonts w:ascii="Times New Roman;sans-serif" w:hAnsi="Times New Roman;sans-serif"/>
          <w:b w:val="false"/>
          <w:color w:val="000000"/>
          <w:sz w:val="24"/>
          <w:u w:val="single"/>
        </w:rPr>
        <w:t>Notice of Event of Default</w:t>
      </w:r>
      <w:r>
        <w:rPr>
          <w:rFonts w:ascii="Times New Roman;sans-serif" w:hAnsi="Times New Roman;sans-serif"/>
          <w:b w:val="false"/>
          <w:color w:val="000000"/>
          <w:sz w:val="24"/>
        </w:rPr>
        <w:t>................................................. 83</w:t>
      </w:r>
    </w:p>
    <w:p>
      <w:pPr>
        <w:pStyle w:val="TextBody"/>
        <w:spacing w:lineRule="auto" w:line="268" w:before="0" w:after="0"/>
        <w:ind w:left="0" w:right="0" w:firstLine="720"/>
        <w:rPr/>
      </w:pPr>
      <w:r>
        <w:rPr>
          <w:rFonts w:ascii="Times New Roman;sans-serif" w:hAnsi="Times New Roman;sans-serif"/>
          <w:b w:val="false"/>
          <w:color w:val="000000"/>
          <w:sz w:val="24"/>
        </w:rPr>
        <w:t xml:space="preserve">10.10........ </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 83</w:t>
      </w:r>
    </w:p>
    <w:p>
      <w:pPr>
        <w:pStyle w:val="TextBody"/>
        <w:spacing w:lineRule="auto" w:line="268" w:before="0" w:after="0"/>
        <w:ind w:left="0" w:right="0" w:firstLine="720"/>
        <w:rPr/>
      </w:pPr>
      <w:r>
        <w:rPr>
          <w:rFonts w:ascii="Times New Roman;sans-serif" w:hAnsi="Times New Roman;sans-serif"/>
          <w:b w:val="false"/>
          <w:color w:val="000000"/>
          <w:sz w:val="24"/>
        </w:rPr>
        <w:t xml:space="preserve">10.11........ </w:t>
      </w:r>
      <w:r>
        <w:rPr>
          <w:rFonts w:ascii="Times New Roman;sans-serif" w:hAnsi="Times New Roman;sans-serif"/>
          <w:b w:val="false"/>
          <w:color w:val="000000"/>
          <w:sz w:val="24"/>
          <w:u w:val="single"/>
        </w:rPr>
        <w:t>Lender Credit Decision, Legal Representation</w:t>
      </w:r>
      <w:r>
        <w:rPr>
          <w:rFonts w:ascii="Times New Roman;sans-serif" w:hAnsi="Times New Roman;sans-serif"/>
          <w:b w:val="false"/>
          <w:color w:val="000000"/>
          <w:sz w:val="24"/>
        </w:rPr>
        <w:t>.................. 84</w:t>
      </w:r>
    </w:p>
    <w:p>
      <w:pPr>
        <w:pStyle w:val="TextBody"/>
        <w:spacing w:lineRule="auto" w:line="268" w:before="0" w:after="0"/>
        <w:ind w:left="0" w:right="0" w:firstLine="720"/>
        <w:rPr/>
      </w:pPr>
      <w:r>
        <w:rPr>
          <w:rFonts w:ascii="Times New Roman;sans-serif" w:hAnsi="Times New Roman;sans-serif"/>
          <w:b w:val="false"/>
          <w:color w:val="000000"/>
          <w:sz w:val="24"/>
        </w:rPr>
        <w:t xml:space="preserve">10.12........ </w:t>
      </w:r>
      <w:r>
        <w:rPr>
          <w:rFonts w:ascii="Times New Roman;sans-serif" w:hAnsi="Times New Roman;sans-serif"/>
          <w:b w:val="false"/>
          <w:color w:val="000000"/>
          <w:sz w:val="24"/>
          <w:u w:val="single"/>
        </w:rPr>
        <w:t>Successor Administrative Agent</w:t>
      </w:r>
      <w:r>
        <w:rPr>
          <w:rFonts w:ascii="Times New Roman;sans-serif" w:hAnsi="Times New Roman;sans-serif"/>
          <w:b w:val="false"/>
          <w:color w:val="000000"/>
          <w:sz w:val="24"/>
        </w:rPr>
        <w:t>........................................ 84</w:t>
      </w:r>
    </w:p>
    <w:p>
      <w:pPr>
        <w:pStyle w:val="TextBody"/>
        <w:spacing w:lineRule="auto" w:line="268" w:before="0" w:after="0"/>
        <w:ind w:left="0" w:right="0" w:firstLine="720"/>
        <w:rPr/>
      </w:pPr>
      <w:r>
        <w:rPr>
          <w:rFonts w:ascii="Times New Roman;sans-serif" w:hAnsi="Times New Roman;sans-serif"/>
          <w:b w:val="false"/>
          <w:color w:val="000000"/>
          <w:sz w:val="24"/>
        </w:rPr>
        <w:t xml:space="preserve">10.13........ </w:t>
      </w:r>
      <w:r>
        <w:rPr>
          <w:rFonts w:ascii="Times New Roman;sans-serif" w:hAnsi="Times New Roman;sans-serif"/>
          <w:b w:val="false"/>
          <w:color w:val="000000"/>
          <w:sz w:val="24"/>
          <w:u w:val="single"/>
        </w:rPr>
        <w:t>Administrative Agent Fees</w:t>
      </w:r>
      <w:r>
        <w:rPr>
          <w:rFonts w:ascii="Times New Roman;sans-serif" w:hAnsi="Times New Roman;sans-serif"/>
          <w:b w:val="false"/>
          <w:color w:val="000000"/>
          <w:sz w:val="24"/>
        </w:rPr>
        <w:t>................................................ 85</w:t>
      </w:r>
    </w:p>
    <w:p>
      <w:pPr>
        <w:pStyle w:val="TextBody"/>
        <w:spacing w:lineRule="auto" w:line="268"/>
        <w:ind w:left="0" w:right="0" w:firstLine="720"/>
        <w:rPr/>
      </w:pPr>
      <w:r>
        <w:rPr>
          <w:rFonts w:ascii="Times New Roman;sans-serif" w:hAnsi="Times New Roman;sans-serif"/>
          <w:b w:val="false"/>
          <w:color w:val="000000"/>
          <w:sz w:val="24"/>
        </w:rPr>
        <w:t xml:space="preserve">10.14........ </w:t>
      </w:r>
      <w:r>
        <w:rPr>
          <w:rFonts w:ascii="Times New Roman;sans-serif" w:hAnsi="Times New Roman;sans-serif"/>
          <w:b w:val="false"/>
          <w:color w:val="000000"/>
          <w:sz w:val="24"/>
          <w:u w:val="single"/>
        </w:rPr>
        <w:t>Delegation to Affiliates</w:t>
      </w:r>
      <w:r>
        <w:rPr>
          <w:rFonts w:ascii="Times New Roman;sans-serif" w:hAnsi="Times New Roman;sans-serif"/>
          <w:b w:val="false"/>
          <w:color w:val="000000"/>
          <w:sz w:val="24"/>
        </w:rPr>
        <w:t>...................................................... 85</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48" name="Frame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rPr/>
      </w:pPr>
      <w:r>
        <w:rPr>
          <w:rFonts w:ascii="Times New Roman;sans-serif" w:hAnsi="Times New Roman;sans-serif"/>
          <w:b w:val="false"/>
          <w:color w:val="000000"/>
          <w:sz w:val="24"/>
        </w:rPr>
        <w:t xml:space="preserve">10.15........ </w:t>
      </w:r>
      <w:r>
        <w:rPr>
          <w:rFonts w:ascii="Times New Roman;sans-serif" w:hAnsi="Times New Roman;sans-serif"/>
          <w:b w:val="false"/>
          <w:color w:val="000000"/>
          <w:sz w:val="24"/>
          <w:u w:val="single"/>
        </w:rPr>
        <w:t>Execution of Collateral Documents</w:t>
      </w:r>
      <w:r>
        <w:rPr>
          <w:rFonts w:ascii="Times New Roman;sans-serif" w:hAnsi="Times New Roman;sans-serif"/>
          <w:b w:val="false"/>
          <w:color w:val="000000"/>
          <w:sz w:val="24"/>
        </w:rPr>
        <w:t>................................... 85</w:t>
      </w:r>
    </w:p>
    <w:p>
      <w:pPr>
        <w:pStyle w:val="TextBody"/>
        <w:spacing w:lineRule="auto" w:line="268" w:before="0" w:after="0"/>
        <w:ind w:left="0" w:right="0" w:firstLine="720"/>
        <w:rPr/>
      </w:pPr>
      <w:r>
        <w:rPr>
          <w:rFonts w:ascii="Times New Roman;sans-serif" w:hAnsi="Times New Roman;sans-serif"/>
          <w:b w:val="false"/>
          <w:color w:val="000000"/>
          <w:sz w:val="24"/>
        </w:rPr>
        <w:t xml:space="preserve">10.16........ </w:t>
      </w:r>
      <w:r>
        <w:rPr>
          <w:rFonts w:ascii="Times New Roman;sans-serif" w:hAnsi="Times New Roman;sans-serif"/>
          <w:b w:val="false"/>
          <w:color w:val="000000"/>
          <w:sz w:val="24"/>
          <w:u w:val="single"/>
        </w:rPr>
        <w:t>Collateral Releases and Subordination</w:t>
      </w:r>
      <w:r>
        <w:rPr>
          <w:rFonts w:ascii="Times New Roman;sans-serif" w:hAnsi="Times New Roman;sans-serif"/>
          <w:b w:val="false"/>
          <w:color w:val="000000"/>
          <w:sz w:val="24"/>
        </w:rPr>
        <w:t>.............................. 85</w:t>
      </w:r>
    </w:p>
    <w:p>
      <w:pPr>
        <w:pStyle w:val="TextBody"/>
        <w:spacing w:lineRule="auto" w:line="268" w:before="0" w:after="0"/>
        <w:ind w:left="0" w:right="0" w:firstLine="720"/>
        <w:rPr/>
      </w:pPr>
      <w:r>
        <w:rPr>
          <w:rFonts w:ascii="Times New Roman;sans-serif" w:hAnsi="Times New Roman;sans-serif"/>
          <w:b w:val="false"/>
          <w:color w:val="000000"/>
          <w:sz w:val="24"/>
        </w:rPr>
        <w:t xml:space="preserve">10.17........ </w:t>
      </w:r>
      <w:r>
        <w:rPr>
          <w:rFonts w:ascii="Times New Roman;sans-serif" w:hAnsi="Times New Roman;sans-serif"/>
          <w:b w:val="false"/>
          <w:color w:val="000000"/>
          <w:sz w:val="24"/>
          <w:u w:val="single"/>
        </w:rPr>
        <w:t>No Advisory or Fiduciary Responsibility</w:t>
      </w:r>
      <w:r>
        <w:rPr>
          <w:rFonts w:ascii="Times New Roman;sans-serif" w:hAnsi="Times New Roman;sans-serif"/>
          <w:b w:val="false"/>
          <w:color w:val="000000"/>
          <w:sz w:val="24"/>
        </w:rPr>
        <w:t>.......................... 86</w:t>
      </w:r>
    </w:p>
    <w:p>
      <w:pPr>
        <w:pStyle w:val="TextBody"/>
        <w:spacing w:lineRule="auto" w:line="268" w:before="0" w:after="0"/>
        <w:rPr/>
      </w:pPr>
      <w:r>
        <w:rPr>
          <w:rFonts w:ascii="Times New Roman;sans-serif" w:hAnsi="Times New Roman;sans-serif"/>
          <w:b w:val="false"/>
          <w:color w:val="000000"/>
          <w:sz w:val="24"/>
        </w:rPr>
        <w:t>ARTICLE XI</w:t>
      </w:r>
      <w:r>
        <w:rPr>
          <w:color w:val="000000"/>
          <w:u w:val="single"/>
        </w:rPr>
        <w:t xml:space="preserve"> </w:t>
      </w:r>
      <w:r>
        <w:rPr>
          <w:rFonts w:ascii="Times New Roman;sans-serif" w:hAnsi="Times New Roman;sans-serif"/>
          <w:b w:val="false"/>
          <w:color w:val="000000"/>
          <w:sz w:val="24"/>
          <w:u w:val="single"/>
        </w:rPr>
        <w:t>SETOFF; RATABLE PAYMENTS</w:t>
      </w:r>
      <w:r>
        <w:rPr>
          <w:rFonts w:ascii="Times New Roman;sans-serif" w:hAnsi="Times New Roman;sans-serif"/>
          <w:b w:val="false"/>
          <w:color w:val="000000"/>
          <w:sz w:val="24"/>
        </w:rPr>
        <w:t>.................................... 86</w:t>
      </w:r>
    </w:p>
    <w:p>
      <w:pPr>
        <w:pStyle w:val="TextBody"/>
        <w:spacing w:lineRule="auto" w:line="268" w:before="0" w:after="0"/>
        <w:ind w:left="0" w:right="0" w:firstLine="720"/>
        <w:rPr/>
      </w:pPr>
      <w:r>
        <w:rPr>
          <w:rFonts w:ascii="Times New Roman;sans-serif" w:hAnsi="Times New Roman;sans-serif"/>
          <w:b w:val="false"/>
          <w:color w:val="000000"/>
          <w:sz w:val="24"/>
        </w:rPr>
        <w:t xml:space="preserve">11.1.......... </w:t>
      </w:r>
      <w:r>
        <w:rPr>
          <w:rFonts w:ascii="Times New Roman;sans-serif" w:hAnsi="Times New Roman;sans-serif"/>
          <w:b w:val="false"/>
          <w:color w:val="000000"/>
          <w:sz w:val="24"/>
          <w:u w:val="single"/>
        </w:rPr>
        <w:t>Setoff</w:t>
      </w:r>
      <w:r>
        <w:rPr>
          <w:rFonts w:ascii="Times New Roman;sans-serif" w:hAnsi="Times New Roman;sans-serif"/>
          <w:b w:val="false"/>
          <w:color w:val="000000"/>
          <w:sz w:val="24"/>
        </w:rPr>
        <w:t>.................................................................................. 86</w:t>
      </w:r>
    </w:p>
    <w:p>
      <w:pPr>
        <w:pStyle w:val="TextBody"/>
        <w:spacing w:lineRule="auto" w:line="268" w:before="0" w:after="0"/>
        <w:ind w:left="0" w:right="0" w:firstLine="720"/>
        <w:rPr/>
      </w:pPr>
      <w:r>
        <w:rPr>
          <w:rFonts w:ascii="Times New Roman;sans-serif" w:hAnsi="Times New Roman;sans-serif"/>
          <w:b w:val="false"/>
          <w:color w:val="000000"/>
          <w:sz w:val="24"/>
        </w:rPr>
        <w:t xml:space="preserve">11.2.......... </w:t>
      </w:r>
      <w:r>
        <w:rPr>
          <w:rFonts w:ascii="Times New Roman;sans-serif" w:hAnsi="Times New Roman;sans-serif"/>
          <w:b w:val="false"/>
          <w:color w:val="000000"/>
          <w:sz w:val="24"/>
          <w:u w:val="single"/>
        </w:rPr>
        <w:t>Ratable Payments</w:t>
      </w:r>
      <w:r>
        <w:rPr>
          <w:rFonts w:ascii="Times New Roman;sans-serif" w:hAnsi="Times New Roman;sans-serif"/>
          <w:b w:val="false"/>
          <w:color w:val="000000"/>
          <w:sz w:val="24"/>
        </w:rPr>
        <w:t>............................................................... 87</w:t>
      </w:r>
    </w:p>
    <w:p>
      <w:pPr>
        <w:pStyle w:val="TextBody"/>
        <w:spacing w:lineRule="auto" w:line="268" w:before="0" w:after="0"/>
        <w:rPr/>
      </w:pPr>
      <w:r>
        <w:rPr>
          <w:rFonts w:ascii="Times New Roman;sans-serif" w:hAnsi="Times New Roman;sans-serif"/>
          <w:b w:val="false"/>
          <w:color w:val="000000"/>
          <w:sz w:val="24"/>
        </w:rPr>
        <w:t>ARTICLE XII</w:t>
      </w:r>
      <w:r>
        <w:rPr>
          <w:color w:val="000000"/>
          <w:u w:val="single"/>
        </w:rPr>
        <w:t xml:space="preserve"> </w:t>
      </w:r>
      <w:r>
        <w:rPr>
          <w:rFonts w:ascii="Times New Roman;sans-serif" w:hAnsi="Times New Roman;sans-serif"/>
          <w:b w:val="false"/>
          <w:color w:val="000000"/>
          <w:sz w:val="24"/>
          <w:u w:val="single"/>
        </w:rPr>
        <w:t>BENEFIT OF AGREEMENT; ASSIGNMENTS; PARTICIPATIONS</w:t>
      </w:r>
      <w:r>
        <w:rPr>
          <w:rFonts w:ascii="Times New Roman;sans-serif" w:hAnsi="Times New Roman;sans-serif"/>
          <w:b w:val="false"/>
          <w:color w:val="000000"/>
          <w:sz w:val="24"/>
        </w:rPr>
        <w:t>........................................................................... 87</w:t>
      </w:r>
    </w:p>
    <w:p>
      <w:pPr>
        <w:pStyle w:val="TextBody"/>
        <w:spacing w:lineRule="auto" w:line="268" w:before="0" w:after="0"/>
        <w:ind w:left="0" w:right="0" w:firstLine="720"/>
        <w:rPr/>
      </w:pPr>
      <w:r>
        <w:rPr>
          <w:rFonts w:ascii="Times New Roman;sans-serif" w:hAnsi="Times New Roman;sans-serif"/>
          <w:b w:val="false"/>
          <w:color w:val="000000"/>
          <w:sz w:val="24"/>
        </w:rPr>
        <w:t xml:space="preserve">12.1..........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87</w:t>
      </w:r>
    </w:p>
    <w:p>
      <w:pPr>
        <w:pStyle w:val="TextBody"/>
        <w:spacing w:lineRule="auto" w:line="268" w:before="0" w:after="0"/>
        <w:ind w:left="0" w:right="0" w:firstLine="720"/>
        <w:rPr/>
      </w:pPr>
      <w:r>
        <w:rPr>
          <w:rFonts w:ascii="Times New Roman;sans-serif" w:hAnsi="Times New Roman;sans-serif"/>
          <w:b w:val="false"/>
          <w:color w:val="000000"/>
          <w:sz w:val="24"/>
        </w:rPr>
        <w:t xml:space="preserve">12.2.......... </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88</w:t>
      </w:r>
    </w:p>
    <w:p>
      <w:pPr>
        <w:pStyle w:val="TextBody"/>
        <w:spacing w:lineRule="auto" w:line="268" w:before="0" w:after="0"/>
        <w:ind w:left="0" w:right="0" w:firstLine="720"/>
        <w:rPr/>
      </w:pPr>
      <w:r>
        <w:rPr>
          <w:rFonts w:ascii="Times New Roman;sans-serif" w:hAnsi="Times New Roman;sans-serif"/>
          <w:b w:val="false"/>
          <w:color w:val="000000"/>
          <w:sz w:val="24"/>
        </w:rPr>
        <w:t xml:space="preserve">12.3.......... </w:t>
      </w:r>
      <w:r>
        <w:rPr>
          <w:rFonts w:ascii="Times New Roman;sans-serif" w:hAnsi="Times New Roman;sans-serif"/>
          <w:b w:val="false"/>
          <w:color w:val="000000"/>
          <w:sz w:val="24"/>
          <w:u w:val="single"/>
        </w:rPr>
        <w:t>Assignments</w:t>
      </w:r>
      <w:r>
        <w:rPr>
          <w:rFonts w:ascii="Times New Roman;sans-serif" w:hAnsi="Times New Roman;sans-serif"/>
          <w:b w:val="false"/>
          <w:color w:val="000000"/>
          <w:sz w:val="24"/>
        </w:rPr>
        <w:t>....................................................................... 89</w:t>
      </w:r>
    </w:p>
    <w:p>
      <w:pPr>
        <w:pStyle w:val="TextBody"/>
        <w:spacing w:lineRule="auto" w:line="268" w:before="0" w:after="0"/>
        <w:rPr/>
      </w:pPr>
      <w:r>
        <w:rPr>
          <w:rFonts w:ascii="Times New Roman;sans-serif" w:hAnsi="Times New Roman;sans-serif"/>
          <w:b w:val="false"/>
          <w:color w:val="000000"/>
          <w:sz w:val="24"/>
        </w:rPr>
        <w:t>ARTICLE XIII</w:t>
      </w:r>
      <w:r>
        <w:rPr>
          <w:color w:val="000000"/>
          <w:u w:val="single"/>
        </w:rPr>
        <w:t xml:space="preserve">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91</w:t>
      </w:r>
    </w:p>
    <w:p>
      <w:pPr>
        <w:pStyle w:val="TextBody"/>
        <w:spacing w:lineRule="auto" w:line="268" w:before="0" w:after="0"/>
        <w:ind w:left="0" w:right="0" w:firstLine="720"/>
        <w:rPr/>
      </w:pPr>
      <w:r>
        <w:rPr>
          <w:rFonts w:ascii="Times New Roman;sans-serif" w:hAnsi="Times New Roman;sans-serif"/>
          <w:b w:val="false"/>
          <w:color w:val="000000"/>
          <w:sz w:val="24"/>
        </w:rPr>
        <w:t xml:space="preserve">13.1.......... </w:t>
      </w:r>
      <w:r>
        <w:rPr>
          <w:rFonts w:ascii="Times New Roman;sans-serif" w:hAnsi="Times New Roman;sans-serif"/>
          <w:b w:val="false"/>
          <w:color w:val="000000"/>
          <w:sz w:val="24"/>
          <w:u w:val="single"/>
        </w:rPr>
        <w:t>Notices; Effectiveness; Electronic Communication.</w:t>
      </w:r>
      <w:r>
        <w:rPr>
          <w:rFonts w:ascii="Times New Roman;sans-serif" w:hAnsi="Times New Roman;sans-serif"/>
          <w:b w:val="false"/>
          <w:color w:val="000000"/>
          <w:sz w:val="24"/>
        </w:rPr>
        <w:t>......... 91</w:t>
      </w:r>
    </w:p>
    <w:p>
      <w:pPr>
        <w:pStyle w:val="TextBody"/>
        <w:spacing w:lineRule="auto" w:line="268" w:before="0" w:after="0"/>
        <w:rPr/>
      </w:pPr>
      <w:r>
        <w:rPr>
          <w:rFonts w:ascii="Times New Roman;sans-serif" w:hAnsi="Times New Roman;sans-serif"/>
          <w:b w:val="false"/>
          <w:color w:val="000000"/>
          <w:sz w:val="24"/>
        </w:rPr>
        <w:t>ARTICLE XIV</w:t>
      </w:r>
      <w:r>
        <w:rPr>
          <w:color w:val="000000"/>
          <w:u w:val="single"/>
        </w:rPr>
        <w:t xml:space="preserve"> </w:t>
      </w:r>
      <w:r>
        <w:rPr>
          <w:rFonts w:ascii="Times New Roman;sans-serif" w:hAnsi="Times New Roman;sans-serif"/>
          <w:b w:val="false"/>
          <w:color w:val="000000"/>
          <w:sz w:val="24"/>
          <w:u w:val="single"/>
        </w:rPr>
        <w:t>COUNTERPARTS; INTEGRATION; EFFECTIVENESS; ELECTRONIC EXECUTION; ELECTRONIC RECORDS</w:t>
      </w:r>
      <w:r>
        <w:rPr>
          <w:rFonts w:ascii="Times New Roman;sans-serif" w:hAnsi="Times New Roman;sans-serif"/>
          <w:b w:val="false"/>
          <w:color w:val="000000"/>
          <w:sz w:val="24"/>
        </w:rPr>
        <w:t>.............................................................. 92</w:t>
      </w:r>
    </w:p>
    <w:p>
      <w:pPr>
        <w:pStyle w:val="TextBody"/>
        <w:spacing w:lineRule="auto" w:line="268" w:before="0" w:after="0"/>
        <w:ind w:left="0" w:right="0" w:firstLine="720"/>
        <w:rPr/>
      </w:pPr>
      <w:r>
        <w:rPr>
          <w:rFonts w:ascii="Times New Roman;sans-serif" w:hAnsi="Times New Roman;sans-serif"/>
          <w:b w:val="false"/>
          <w:color w:val="000000"/>
          <w:sz w:val="24"/>
        </w:rPr>
        <w:t xml:space="preserve">14.1.......... </w:t>
      </w:r>
      <w:r>
        <w:rPr>
          <w:rFonts w:ascii="Times New Roman;sans-serif" w:hAnsi="Times New Roman;sans-serif"/>
          <w:b w:val="false"/>
          <w:color w:val="000000"/>
          <w:sz w:val="24"/>
          <w:u w:val="single"/>
        </w:rPr>
        <w:t>Counterparts; Effectiveness</w:t>
      </w:r>
      <w:r>
        <w:rPr>
          <w:rFonts w:ascii="Times New Roman;sans-serif" w:hAnsi="Times New Roman;sans-serif"/>
          <w:b w:val="false"/>
          <w:color w:val="000000"/>
          <w:sz w:val="24"/>
        </w:rPr>
        <w:t>............................................... 92</w:t>
      </w:r>
    </w:p>
    <w:p>
      <w:pPr>
        <w:pStyle w:val="TextBody"/>
        <w:spacing w:lineRule="auto" w:line="268" w:before="0" w:after="0"/>
        <w:ind w:left="0" w:right="0" w:firstLine="720"/>
        <w:rPr/>
      </w:pPr>
      <w:r>
        <w:rPr>
          <w:rFonts w:ascii="Times New Roman;sans-serif" w:hAnsi="Times New Roman;sans-serif"/>
          <w:b w:val="false"/>
          <w:color w:val="000000"/>
          <w:sz w:val="24"/>
        </w:rPr>
        <w:t xml:space="preserve">14.2.......... </w:t>
      </w:r>
      <w:r>
        <w:rPr>
          <w:rFonts w:ascii="Times New Roman;sans-serif" w:hAnsi="Times New Roman;sans-serif"/>
          <w:b w:val="false"/>
          <w:color w:val="000000"/>
          <w:sz w:val="24"/>
          <w:u w:val="single"/>
        </w:rPr>
        <w:t>Electronic Execution of Assignments</w:t>
      </w:r>
      <w:r>
        <w:rPr>
          <w:rFonts w:ascii="Times New Roman;sans-serif" w:hAnsi="Times New Roman;sans-serif"/>
          <w:b w:val="false"/>
          <w:color w:val="000000"/>
          <w:sz w:val="24"/>
        </w:rPr>
        <w:t>................................ 93</w:t>
      </w:r>
    </w:p>
    <w:p>
      <w:pPr>
        <w:pStyle w:val="TextBody"/>
        <w:spacing w:lineRule="auto" w:line="268" w:before="0" w:after="0"/>
        <w:ind w:left="0" w:right="0" w:firstLine="720"/>
        <w:rPr/>
      </w:pPr>
      <w:r>
        <w:rPr>
          <w:rFonts w:ascii="Times New Roman;sans-serif" w:hAnsi="Times New Roman;sans-serif"/>
          <w:b w:val="false"/>
          <w:color w:val="000000"/>
          <w:sz w:val="24"/>
        </w:rPr>
        <w:t xml:space="preserve">14.3.......... </w:t>
      </w:r>
      <w:r>
        <w:rPr>
          <w:rFonts w:ascii="Times New Roman;sans-serif" w:hAnsi="Times New Roman;sans-serif"/>
          <w:b w:val="false"/>
          <w:color w:val="000000"/>
          <w:sz w:val="24"/>
          <w:u w:val="single"/>
        </w:rPr>
        <w:t>Electronic Records</w:t>
      </w:r>
      <w:r>
        <w:rPr>
          <w:rFonts w:ascii="Times New Roman;sans-serif" w:hAnsi="Times New Roman;sans-serif"/>
          <w:b w:val="false"/>
          <w:color w:val="000000"/>
          <w:sz w:val="24"/>
        </w:rPr>
        <w:t>............................................................. 93</w:t>
      </w:r>
    </w:p>
    <w:p>
      <w:pPr>
        <w:pStyle w:val="TextBody"/>
        <w:spacing w:lineRule="auto" w:line="268" w:before="0" w:after="0"/>
        <w:rPr/>
      </w:pPr>
      <w:r>
        <w:rPr>
          <w:rFonts w:ascii="Times New Roman;sans-serif" w:hAnsi="Times New Roman;sans-serif"/>
          <w:b w:val="false"/>
          <w:color w:val="000000"/>
          <w:sz w:val="24"/>
        </w:rPr>
        <w:t>ARTICLE XV</w:t>
      </w:r>
      <w:r>
        <w:rPr>
          <w:color w:val="000000"/>
          <w:u w:val="single"/>
        </w:rPr>
        <w:t xml:space="preserve"> </w:t>
      </w:r>
      <w:r>
        <w:rPr>
          <w:rFonts w:ascii="Times New Roman;sans-serif" w:hAnsi="Times New Roman;sans-serif"/>
          <w:b w:val="false"/>
          <w:color w:val="000000"/>
          <w:sz w:val="24"/>
          <w:u w:val="single"/>
        </w:rPr>
        <w:t>CHOICE OF LAW; CONSENT TO JURISDICTION; WAIVER OF JURY TRIAL</w:t>
      </w:r>
      <w:r>
        <w:rPr>
          <w:rFonts w:ascii="Times New Roman;sans-serif" w:hAnsi="Times New Roman;sans-serif"/>
          <w:b w:val="false"/>
          <w:color w:val="000000"/>
          <w:sz w:val="24"/>
        </w:rPr>
        <w:t>............................................................. 93</w:t>
      </w:r>
    </w:p>
    <w:p>
      <w:pPr>
        <w:pStyle w:val="TextBody"/>
        <w:spacing w:lineRule="auto" w:line="268" w:before="0" w:after="0"/>
        <w:ind w:left="0" w:right="0" w:firstLine="720"/>
        <w:rPr/>
      </w:pPr>
      <w:r>
        <w:rPr>
          <w:rFonts w:ascii="Times New Roman;sans-serif" w:hAnsi="Times New Roman;sans-serif"/>
          <w:b w:val="false"/>
          <w:color w:val="000000"/>
          <w:sz w:val="24"/>
        </w:rPr>
        <w:t xml:space="preserve">15.1.......... </w:t>
      </w:r>
      <w:r>
        <w:rPr>
          <w:rFonts w:ascii="Times New Roman;sans-serif" w:hAnsi="Times New Roman;sans-serif"/>
          <w:b/>
          <w:color w:val="000000"/>
          <w:sz w:val="24"/>
          <w:u w:val="single"/>
        </w:rPr>
        <w:t>CHOICE OF LAW</w:t>
      </w:r>
      <w:r>
        <w:rPr>
          <w:rFonts w:ascii="Times New Roman;sans-serif" w:hAnsi="Times New Roman;sans-serif"/>
          <w:b/>
          <w:color w:val="000000"/>
          <w:sz w:val="24"/>
        </w:rPr>
        <w:t>.</w:t>
      </w:r>
      <w:r>
        <w:rPr>
          <w:rFonts w:ascii="Times New Roman;sans-serif" w:hAnsi="Times New Roman;sans-serif"/>
          <w:b w:val="false"/>
          <w:color w:val="000000"/>
          <w:sz w:val="24"/>
        </w:rPr>
        <w:t>......................................................... 93</w:t>
      </w:r>
    </w:p>
    <w:p>
      <w:pPr>
        <w:pStyle w:val="TextBody"/>
        <w:spacing w:lineRule="auto" w:line="268" w:before="0" w:after="0"/>
        <w:ind w:left="0" w:right="0" w:firstLine="720"/>
        <w:rPr/>
      </w:pPr>
      <w:r>
        <w:rPr>
          <w:rFonts w:ascii="Times New Roman;sans-serif" w:hAnsi="Times New Roman;sans-serif"/>
          <w:b w:val="false"/>
          <w:color w:val="000000"/>
          <w:sz w:val="24"/>
        </w:rPr>
        <w:t xml:space="preserve">15.2.......... </w:t>
      </w:r>
      <w:r>
        <w:rPr>
          <w:rFonts w:ascii="Times New Roman;sans-serif" w:hAnsi="Times New Roman;sans-serif"/>
          <w:b/>
          <w:color w:val="000000"/>
          <w:sz w:val="24"/>
          <w:u w:val="single"/>
        </w:rPr>
        <w:t>CONSENT TO JURISDICTION</w:t>
      </w:r>
      <w:r>
        <w:rPr>
          <w:rFonts w:ascii="Times New Roman;sans-serif" w:hAnsi="Times New Roman;sans-serif"/>
          <w:b/>
          <w:color w:val="000000"/>
          <w:sz w:val="24"/>
        </w:rPr>
        <w:t>.</w:t>
      </w:r>
      <w:r>
        <w:rPr>
          <w:rFonts w:ascii="Times New Roman;sans-serif" w:hAnsi="Times New Roman;sans-serif"/>
          <w:b w:val="false"/>
          <w:color w:val="000000"/>
          <w:sz w:val="24"/>
        </w:rPr>
        <w:t>.................................. 93</w:t>
      </w:r>
    </w:p>
    <w:p>
      <w:pPr>
        <w:pStyle w:val="TextBody"/>
        <w:spacing w:lineRule="auto" w:line="268" w:before="0" w:after="0"/>
        <w:ind w:left="0" w:right="0" w:firstLine="720"/>
        <w:rPr/>
      </w:pPr>
      <w:r>
        <w:rPr>
          <w:rFonts w:ascii="Times New Roman;sans-serif" w:hAnsi="Times New Roman;sans-serif"/>
          <w:b w:val="false"/>
          <w:color w:val="000000"/>
          <w:sz w:val="24"/>
        </w:rPr>
        <w:t xml:space="preserve">15.3.......... </w:t>
      </w:r>
      <w:r>
        <w:rPr>
          <w:rFonts w:ascii="Times New Roman;sans-serif" w:hAnsi="Times New Roman;sans-serif"/>
          <w:b/>
          <w:color w:val="000000"/>
          <w:sz w:val="24"/>
          <w:u w:val="single"/>
        </w:rPr>
        <w:t>WAIVER OF JURY TRIAL</w:t>
      </w:r>
      <w:r>
        <w:rPr>
          <w:rFonts w:ascii="Times New Roman;sans-serif" w:hAnsi="Times New Roman;sans-serif"/>
          <w:b/>
          <w:color w:val="000000"/>
          <w:sz w:val="24"/>
        </w:rPr>
        <w:t>.</w:t>
      </w:r>
      <w:r>
        <w:rPr>
          <w:rFonts w:ascii="Times New Roman;sans-serif" w:hAnsi="Times New Roman;sans-serif"/>
          <w:b w:val="false"/>
          <w:color w:val="000000"/>
          <w:sz w:val="24"/>
        </w:rPr>
        <w:t>.......................................... 94</w:t>
      </w:r>
    </w:p>
    <w:p>
      <w:pPr>
        <w:pStyle w:val="TextBody"/>
        <w:spacing w:lineRule="auto" w:line="268" w:before="0" w:after="0"/>
        <w:ind w:left="0" w:right="0" w:firstLine="720"/>
        <w:rPr/>
      </w:pPr>
      <w:r>
        <w:rPr>
          <w:rFonts w:ascii="Times New Roman;sans-serif" w:hAnsi="Times New Roman;sans-serif"/>
          <w:b w:val="false"/>
          <w:color w:val="000000"/>
          <w:sz w:val="24"/>
        </w:rPr>
        <w:t xml:space="preserve">15.4.......... </w:t>
      </w:r>
      <w:r>
        <w:rPr>
          <w:rFonts w:ascii="Times New Roman;sans-serif" w:hAnsi="Times New Roman;sans-serif"/>
          <w:b w:val="false"/>
          <w:color w:val="000000"/>
          <w:sz w:val="24"/>
          <w:u w:val="single"/>
        </w:rPr>
        <w:t>Judicial Reference Agreement</w:t>
      </w:r>
      <w:r>
        <w:rPr>
          <w:rFonts w:ascii="Times New Roman;sans-serif" w:hAnsi="Times New Roman;sans-serif"/>
          <w:b w:val="false"/>
          <w:color w:val="000000"/>
          <w:sz w:val="24"/>
        </w:rPr>
        <w:t>........................................... 94</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49"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SCHEDULES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1 – Pricing Schedule</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2 – Revolving Commitments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5.12 – Properties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5.24 – Subsidiaries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6.11 – Indebtedness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6.14 – Investments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SCHEDULE 6.16 - Liens</w:t>
      </w:r>
    </w:p>
    <w:p>
      <w:pPr>
        <w:pStyle w:val="TextBody"/>
        <w:spacing w:before="0" w:after="0"/>
        <w:rPr/>
      </w:pPr>
      <w:r>
        <w:rPr/>
      </w:r>
    </w:p>
    <w:p>
      <w:pPr>
        <w:pStyle w:val="TextBody"/>
        <w:spacing w:before="0" w:after="0"/>
        <w:rPr/>
      </w:pPr>
      <w:r>
        <w:rPr/>
      </w:r>
    </w:p>
    <w:p>
      <w:pPr>
        <w:pStyle w:val="TextBody"/>
        <w:spacing w:lineRule="auto" w:line="268" w:before="0" w:after="0"/>
        <w:rPr>
          <w:rFonts w:ascii="Times New Roman;sans-serif" w:hAnsi="Times New Roman;sans-serif"/>
          <w:b/>
          <w:color w:val="000000"/>
          <w:sz w:val="24"/>
          <w:u w:val="single"/>
        </w:rPr>
      </w:pPr>
      <w:r>
        <w:rPr>
          <w:rFonts w:ascii="Times New Roman;sans-serif" w:hAnsi="Times New Roman;sans-serif"/>
          <w:b/>
          <w:color w:val="000000"/>
          <w:sz w:val="24"/>
          <w:u w:val="single"/>
        </w:rPr>
        <w:t>EXHIBITS</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A – Form of Opinion</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B – Form of Compliance Certificate</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C – Form of Assignment and Assumption Agreement</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D-1 – Form of Borrowing Notice</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D-2 – Form of Conversion/Continuation Notice</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E – Form of Note</w:t>
      </w:r>
    </w:p>
    <w:p>
      <w:pPr>
        <w:pStyle w:val="TextBody"/>
        <w:spacing w:before="0" w:after="0"/>
        <w:rPr/>
      </w:pPr>
      <w:r>
        <w:rPr/>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EXHIBIT F – List of Closing Documents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75260"/>
                <wp:effectExtent l="0" t="0" r="0" b="0"/>
                <wp:wrapNone/>
                <wp:docPr id="50" name="Frame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AGREEMENT</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Second Amended and Restated Credit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dated as of October 27, 2017, is by and among Universal Electronics Inc., a corporation organized under the laws of the State of Delaware, the Lenders from time to time party hereto, and U.S. Bank National Association, a national banking association, as Administrative Agent, Sole Lead Arranger and Sole Book Runner. </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 The Borrower and U.S. Bank National Association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the Fifth Amendment to Amended and Restated Credit Agreement dated as of September 19, 2016, the Sixth Amendment to Amended and Restated Credit Agreement dated as of January 18, 2017, the Seventh Amendment to Amended and Restated Credit Agreement dated as of April 14, 2017, the Eighth Amendment to Amended and Restated Credit Agreement dated as of May 5, 2017 and the Ninth Amendment to Amended and Restated Credit Agreement dated as of June 20, 2017 (collectively, as amended, restated, supplemented, or otherwise modified prior to the date hereof, the “</w:t>
      </w:r>
      <w:r>
        <w:rPr>
          <w:rFonts w:ascii="Times New Roman;sans-serif" w:hAnsi="Times New Roman;sans-serif"/>
          <w:b w:val="false"/>
          <w:color w:val="000000"/>
          <w:sz w:val="24"/>
          <w:u w:val="single"/>
        </w:rPr>
        <w:t>Prior Credit Agreement</w:t>
      </w:r>
      <w:r>
        <w:rPr>
          <w:color w:val="000000"/>
        </w:rPr>
        <w:t>”</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Borrower and U.S. Bank National Association have agreed to amend and restate the Prior Credit Agreement in its entirety with this Agreement on the terms and subject to the conditions set forth herein.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herein set forth and for other good and valuable consideration, the he parties hereto agree as follows:</w:t>
      </w:r>
    </w:p>
    <w:p>
      <w:pPr>
        <w:pStyle w:val="TextBody"/>
        <w:spacing w:before="0" w:after="0"/>
        <w:ind w:left="0" w:right="0" w:firstLine="720"/>
        <w:jc w:val="both"/>
        <w:rPr/>
      </w:pPr>
      <w:r>
        <w:rPr/>
      </w:r>
    </w:p>
    <w:p>
      <w:pPr>
        <w:pStyle w:val="TextBody"/>
        <w:spacing w:lineRule="auto" w:line="268" w:before="0" w:after="0"/>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ARTICLE 1</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DEFINITIONS</w: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1.1. </w:t>
      </w:r>
      <w:r>
        <w:rPr>
          <w:rFonts w:ascii="Times New Roman;sans-serif" w:hAnsi="Times New Roman;sans-serif"/>
          <w:b/>
          <w:color w:val="000000"/>
          <w:sz w:val="24"/>
          <w:u w:val="single"/>
        </w:rPr>
        <w:t>Definitions</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used in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Acquisition” means any transaction, or any series of related transactions, consummated on or after the date of this Agreement,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75260"/>
                <wp:effectExtent l="0" t="0" r="0" b="0"/>
                <wp:wrapNone/>
                <wp:docPr id="51" name="Frame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Administrative Agent” means U.S. Bank in its capacity as contractual representative of the Lenders pursuant to Article X, and not in its individual capacity as a Lender, and any successor Administrative Agent appointed pursuant to Article X.</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Affected Lender” is defined in Section 2.20.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Affiliate”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Equity Interests of the controlled Person or possesses, directly or indirectly, the power to direct or cause the direction of the management or policies of the controlled Person, whether through ownership of Equity Interests, by contract or otherwise.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Aggregate Revolving Commitment” means, at any time, the aggregate of the Revolving Commitments of all the Lenders.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Aggregate Revolving Exposure” means, at any time, the aggregate of the Revolving Exposure of all the Lenders.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Agreement” means this Second Amended and Restated Credit Agreement, as it may be amended or modified and in effect from time to time.</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Alternate Base Rate” means, for any day, a rate of interest per annum equal to the highest of (a) zero, (b) the Prime Rate for such day, (c) the sum of the Federal Funds Effective Rate for such day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0.50% per annum and (d) SOFR in effect on such day (taking into account any SOFR floor set forth in the definition of “Daily Simple SOFR”)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1.00%. Any change in the Alternate Base Rate due to a change in the Prime Rate, the Federal Funds Effective Rate or SOFR shall be effective from the effective date of such change. If the Alternate Base Rate is being used when SOFR Borrowings are unavailable pursuant to Section 2.11 or 3.3, then the Alternate Base Rate shall be the highest of clauses (a), (b) and (c) above, without reference to clause (d) above.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Anti-Corruption Laws” means all laws, rules, and regulations of any jurisdiction applicable to the Borrower or its Subsidiaries from time to time concerning or relating to bribery or corruption.</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Applicable Margin” means, with respect to Borrowings of any Type at any time, the percentage rate per annum which is applicable at such time with respect to Borrowings of such Type as set forth in the Pricing Schedule attached hereto as </w:t>
      </w:r>
      <w:r>
        <w:rPr>
          <w:rFonts w:ascii="Times New Roman;sans-serif" w:hAnsi="Times New Roman;sans-serif"/>
          <w:b w:val="false"/>
          <w:color w:val="000000"/>
          <w:sz w:val="24"/>
          <w:u w:val="single"/>
        </w:rPr>
        <w:t>Schedule 1</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Approved Fund” means any Fund that is administered or managed by (a) a Lender, (b) an Affiliate of a Lender or (c) an entity or an Affiliate of an entity that administers or manages a Lender.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Arranger” means U.S. Bank, and its successors, in its capacity as Sole Lead Arranger and Sole Book Runner.</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52"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Article” means an article of this Agreement unless another document is specifically referenced.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Authorized Officer” means either the Chief Executive Officer or Chief Financial Officer of the Borrower, acting singly.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Available Aggregate Revolving Commitment” means, at any time, the Revolving Commitments then in effect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Revolving Exposures at such time.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or any frequency of making payments of interest calculated with reference to such Benchmark pursuant to this Agreement as of such date and not including, for the avoidance of doubt, any tenor for such Benchmark that is then-removed pursuant to clause (iv) of Section 3.3(b).</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Bail-In Action” means the exercise of any Write-Down and Conversion Powers by the applicable EEA Resolution Authority in respect of any liability of an EEA Financial Institution.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Bail-In Legislation”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Base Rate” means, for any day, a rate per annum equal to (a) the Alternate Base Rate for such day plus (b) the Applicable Margin for such day, in each case changing when and as the Alternate Base Rate or the Applicable Margin changes.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Base Rate Borrowing” means a Borrowing that, except as otherwise provided in Section 2.11, bears interest at the Base Rate.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Base Rate Loan” means a Loan which, except as otherwise provided in Section 2.11, bears interest at the Base Rate.</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Benchmark” means, initially, Daily Simple SOFR;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replacement of the Benchmark has occurred pursuant to Section 3.3(b), then “Benchmark” means the applicable Benchmark Replacement, to the extent that such Benchmark Replacement has become effective pursuant to Section 3.3(b).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Replacement” means, for any Available Tenor, the first alternative set forth in the order below that can be determined by the Administrative Agent for the applicable Benchmark Replacement Date:</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Daily Simple SOFR; or</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provided that if the Benchmark Replacement as so determined would be less than the Floor, the Benchmark Replacement will be deemed to be the Floor for the purposes of this Agreement and the other Loan Documents.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Replacement Adjustment” means, with respect to any replacement of the then-current Benchmark with a Benchmark Replacement for any setting of such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Replacement Conforming Changes” means, with respect to any Benchmark Replacement, any technical, administrative or operational changes (including changes to the definition of “Borrowing” and “SOFR Borrowing,” the definition of “Alternate Base Rate,” the definition of “Business Day,” the definition of “SOFR Loan”,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Replacement Date” means the earlier to occur of the following events with respect to the then-current Benchmark:</w:t>
      </w:r>
    </w:p>
    <w:p>
      <w:pPr>
        <w:pStyle w:val="TextBody"/>
        <w:spacing w:before="0" w:after="0"/>
        <w:ind w:left="0" w:right="0" w:firstLine="720"/>
        <w:jc w:val="both"/>
        <w:rPr/>
      </w:pPr>
      <w:r>
        <w:rPr/>
      </w:r>
    </w:p>
    <w:p>
      <w:pPr>
        <w:pStyle w:val="TextBody"/>
        <w:spacing w:lineRule="auto" w:line="26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in the case of clause (1) or (2) of the definition of “Benchmark Transition Event,” the later of (a) the date of the public statement or publication of information referenced therein and (b) the date on which the administrator of such Benchmark (or the published </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75260"/>
                <wp:effectExtent l="0" t="0" r="0" b="0"/>
                <wp:wrapNone/>
                <wp:docPr id="54" name="Frame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component used in the calculation thereof) permanently or indefinitely ceases to provide all Available Tenors of such Benchmark (or such component thereof); or</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w:t>
      </w:r>
    </w:p>
    <w:p>
      <w:pPr>
        <w:pStyle w:val="TextBody"/>
        <w:spacing w:before="0" w:after="0"/>
        <w:ind w:left="0" w:right="0" w:firstLine="144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with respect to any Benchmark upon the occurrence of the applicable event or events set forth therein with respect to all then-current Available Tenors of such Benchmark (or the published component used in the calculation thereof).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Transition Event” means the occurrence of one or more of the following events with respect to the then-current Benchmark:</w:t>
      </w:r>
    </w:p>
    <w:p>
      <w:pPr>
        <w:pStyle w:val="TextBody"/>
        <w:spacing w:before="0" w:after="0"/>
        <w:ind w:left="0" w:right="0" w:firstLine="72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any of the entities referenced in clause (2) above announcing that all Available Tenors of such Benchmark (or such component thereof) are no longer, or as of a specified future date will no longer be, representative.</w:t>
      </w:r>
    </w:p>
    <w:p>
      <w:pPr>
        <w:pStyle w:val="TextBody"/>
        <w:spacing w:before="0" w:after="0"/>
        <w:ind w:left="0" w:right="0" w:firstLine="144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avoidance of doubt, a “Benchmark Transition Event” will be deemed to have occurred with respect to any Benchmark if a public statement or publication of information set </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75260"/>
                <wp:effectExtent l="0" t="0" r="0" b="0"/>
                <wp:wrapNone/>
                <wp:docPr id="55" name="Frame5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forth above has occurred with respect to each then-current Available Tenor of such Benchmark (or the published component used in the calculation thereof).</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Benchmark Unavailability Period” means the period (if any) (x) beginning at the time that a Benchmark Replacement Date has occurred if, at such time, no Benchmark Replacement has replaced the then-current Benchmark in accordance with Section 3.3(b), and (y) ending at the time that a Benchmark Replacement has replaced the then-current Benchmark in accordance with Section 3.3(b).</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Borrower” means Universal Electronics Inc., a corporation organized under the laws of the state of Delaware, and its successors and assigns.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Borrowing” means a borrowing hereunder, (i) made by some or all of the Lenders on the same Borrowing Date, or (ii) converted or continued by the Lenders on the same date of conversion or continuation, consisting, in either case, of the aggregate amount of the several Loans of the same Type. The term “Borrowing” excludes Swing Line Loans unless otherwise expressly provided.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Borrowing Date” means a date on which a Borrowing is made or a Facility LC is issued hereunder.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Borrowing Notice” is defined in Section 2.8.</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Business Day” means a day (other than a Saturday or Sunday) on which banks generally are open in New York City, New York for the conduct of substantially all of their commercial lending activities and interbank wire transfers can be made on the Fedwire system; provided that, when used in connection with SOFR, the term “SOFR Business Day” shall apply.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Capital Expenditures” means, without duplication, any expenditures for any purchase or other acquisition of any asset which would be classified as a fixed or capital asset on a consolidated balance sheet of the Borrower and its Subsidiaries prepared in accordance with GAAP.</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Capitalized Lease” of a Person means any lease of Property by such Person as lessee which would be capitalized on a balance sheet of such Person prepared in accordance with GAAP.</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Capitalized Lease Obligations” of a Person means the amount of the obligations of such Person under Capitalized Leases which would be shown as a liability on a balance sheet of such Person prepared in accordance with GAAP.</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Cash Collateralize” means to deposit in the Facility LC Collateral Account or to pledge and deposit with or deliver to the Administrative Agent, for the benefit of one or more of the LC Issuer or Lenders, as collateral for LC Obligations or obligations of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56" name="Frame5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Agent and the LC Issuer. “Cash Collateral” shall have a meaning correlative to the foregoing and shall include the proceeds of such cash collateral and other credit support.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Cash Equivalent Investments” means (i) short-term obligations of, or fully guaranteed by, the United States of America, (ii) commercial paper rated A-1 or better by S&amp;P or P-1 or better by Moody’s, (iii) demand deposit accounts maintained in the ordinary course of business, and (iv) certificates of deposit issued by and time deposits with commercial banks (whether domestic or foreign) having capital and surplus in excess of $500,000,000; provided in each case that the same provides for payment of both principal and interest (and not principal alone or interest alone) and is not subject to any contingency regarding the payment of principal or interest.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Cash Management Services” means any banking services that are provided to the Borrower or any Subsidiary by the Administrative Agent, the LC Issuer or any other Lender or any Affiliate of any of the foregoing (at the time such banking service is entered into), including without limitation: (a) credit cards, (b) credit card processing services, (c) debit cards, (d) purchase cards, (e) stored value cards, (f) automated clearing house or wire transfer services, or (g) treasury management, including controlled disbursement, consolidated account, lockbox, overdraft, return items, sweep and interstate depository network services.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Change in Control” means (i) the acquisition by any Person, or two or more Persons acting in concert, of beneficial ownership (within the meaning of Rule 13d-3 of the U.S. Securities and Exchange Commission under the Securities Exchange Act of 1934) directly or indirectly of 30% or more of the outstanding shares of voting stock of the Borrower on a fully diluted basis; or (ii) within any twelve-month period, occupation of a majority of the seats (other than vacant seats) on the board of directors of the Borrower by Persons who were neither (x) nominated by the board of directors of the Borrower nor (y) appointed or approved by directors so nominated.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Change in Law” means the adoption of or change in any law, governmental or quasi-governmental rule, regulation, policy, guideline, interpretation, or directive (whether or not having the force of law) or in the interpretation, promulgation, implementation or administration thereof by any Governmental or quasi-Governmental Authority, central bank or comparable agency charged with the interpretation or administration thereof, including, notwithstanding the foregoing, all requests, rules, guidelines or directives (x) in connection with the Dodd-Frank Wall Street Reform and Consumer Protection Act or (y) promulgated by the Bank for International Settlements, the Basel Committee on Banking Supervision (or any successor or similar authority) or the United States financial regulatory authorities, in each case of clauses (x) and (y), regardless of the date enacted, adopted, issued, promulgated or implemented, or compliance by any Lender or applicable Lending Installation or the LC Issuer with any request or directive (whether or not having the force of law) of any such authority, central bank or comparable agency.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China Facility Divestment” means the sale by the Borrower or one of its Subsidiaries of 100% of the capital stock of Gemstar Technology (China) Co. Ltd. for consideration of at least $45,000,000 on or before February 26, 2019.</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Code” means the Internal Revenue Code of 1986.</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57" name="Frame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Collateral” means any and all Property in which a security interest or Lien is or is required to be granted to secure the Obligations, and any and all other Property now existing or hereafter acquired that may be or become subject to a security interest or Lien to secure the Obligations.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Collateral Documents” means, collectively, the Security Agreement, the Pledge Agreement and all other agreements, instruments and documents that are intended to create, perfect or evidence Liens upon the Collateral as security for payment of the Obligations, including without limitation, all other security agreements, pledge agreements, financing statements, mortgages, assignments and deeds of trust, whether heretofore, now, or hereafter executed by the Loan Parties or any of their Subsidiaries and delivered to the Administrative Agent.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Collateral Shortfall Amount” is defined in Section 8.1(a).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Commodity Exchange Act” means the Commodity Exchange Act (7 U.S.C. §1 et seq.).</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Compliance Certificate” is defined in Section 6.1(e).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Capital Expenditures” means, with reference to any period, the Capital Expenditures of the Borrower and its Subsidiaries calculated on a consolidated basis for such period.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Cash Flow Leverage Ratio” means, at any time, the ratio of (i) Consolidated Total Funded Debt, as of such date, to (ii) Consolidated EBITDA, as measured for the period of four fiscal quarters most recently ended on or before such date.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Consolidated EBITDA” means Consolidated Net Income plus, to the extent deducted from revenues in determining Consolidated Net Income and without duplication, (i) Consolidated Interest Expense, (ii) expense for taxes paid in cash or accrued, (iii) depreciation, (iv) amortization, (v) extraordinary expenses, charges or losses incurred other than in the ordinary course of business, (vi) non-cash expenses related to stock based compensation, (vii) the actual cash amount of severance payments made with respect to the Borrower’s China plant during fiscal year ending December 31, 2023 up to a maximum amount of $6,000,000, and (viii) solely during applicable portions of the Factory Transition Period on or before December 31, 2023, up to $6,000,000 per quarter of excess manufacturing overhead expenses relating to the transition of the Borrower’s manufacturing facility from China to Vietnam, minus, to the extent included in Consolidated Net Income, (1) extraordinary income or gains realized other than in the ordinary course of business, (2) income tax credits and refunds (to the extent not netted from tax expense), and (3) any cash payments made during such period in respect of items described in clauses (v) or (vi) above subsequent to the fiscal quarter in which the relevant non-cash expenses, charges or losses were incurred, all calculated for the Borrower and its Subsidiaries on a consolidated basis. </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Consolidated Fixed Charge Coverage Ratio” means the ratio, determined as of the end of each of its fiscal quarters, of (i) Consolidated EBITDA plus Consolidated Rentals minus Consolidated Maintenance Capital Expenditures minus Restricted Payments paid in cash and not </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58" name="Frame5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financed with the proceeds of the Revolving Loans, minus cash taxes to (ii) cash Consolidated Interest Expense, plus Consolidated Rentals, plus scheduled principal payments with respect to Consolidated Funded Indebtedness paid or payable in cash for such period, all calculated for the Borrower and its Subsidiaries on a consolidated basis.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Consolidated Funded Indebtedness” means at any time the aggregate amount of Consolidated Indebtedness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undrawn face amount of commercial Letters of Credit.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Indebtedness” means at any time the Indebtedness of the Borrower and its Subsidiaries calculated on a consolidated basis as of such time.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Interest Expense” means, with reference to any period, the interest expense of the Borrower and its Subsidiaries calculated on a consolidated basis for such period. For the purposes of calculating Consolidated Interest Expense for any reference period, (i) if at any time during such reference period the Borrower or any Subsidiary shall have made any Material Disposition, the Consolidated Interest Expense for such reference period shall be reduced by an amount equal to the Consolidated Interest Expense (if positive) attributable to the Property that is the subject of such Material Disposition for such reference period, and (ii) if during such reference period the Borrower or any Subsidiary shall have made a Material Acquisition, Consolidated Interest Expense for such reference period shall be calculated after giving pro forma effect thereto on a basis approved by the Administrative Agent in its reasonable credit judgment as if such Material Acquisition occurred on the first day of such reference period.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Liquidity” means, for any period of determination, the aggregate consolidated amount for the Borrower and its Restricted Subsidiaries, without duplication, of (a) cash and Cash Equivalent Investments, plus (b) the amount available to be borrowed as Revolving Loans under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Maintenance Capital Expenditures” means, for any period of determination, on a consolidated basis and without duplication, 50% of the consolidated equipment depreciation expense of the Borrower, determined in accordance with GAAP.</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Net Income” means, with reference to any period, the net income (or loss) of the Borrower and its Subsidiaries calculated on a consolidated basis for such period.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Consolidated Rentals” means, with reference to any period, the Rentals of the Borrower and its Subsidiaries calculated on a consolidated basis for such period.</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Consolidated Total Funded Debt” means, as of any date of determination, the consolidated principal amount of (i) all Indebtedness of the Borrower and its Subsidiaries described in clauses (a) through (g) of the definition of “Indebtedness” and (ii) any Contingent Obligations of the Borrower and its Subsidiaries related to clauses (a) through (g) of the definition of “Indebtedness”. Notwithstanding anything to the contrary in this Agreement, for purposes of calculating the Consolidated Cash Flow Leverage Ratio, Consolidated Total Funded Debt as it relates to clause (e) of the definition of “Indebtedness” shall exclude (i) intercompany trade payables; provided that any such intercompany trade payables that are past due for more than 120 days shall only be excluded in an amount not to exceed $3,000,000 at any time and (ii) the long-term portion of any deferred or contingent consideration incurred in connection with an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9" name="Frame5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Acquisition; provided; however; no amount of any such long-term deferred or contingent consideration shall be excluded under this clause in excess of an aggregate deferred or contingent consideration of $20,000,000 at any time (including for these purposes, for the avoidance of doubt, the short-term portion of any such deferred or contingent considerations).</w:t>
      </w:r>
    </w:p>
    <w:p>
      <w:pPr>
        <w:pStyle w:val="TextBody"/>
        <w:spacing w:before="0" w:after="0"/>
        <w:ind w:left="0" w:right="0" w:firstLine="720"/>
        <w:jc w:val="both"/>
        <w:rPr/>
      </w:pPr>
      <w:r>
        <w:rPr/>
      </w:r>
    </w:p>
    <w:p>
      <w:pPr>
        <w:pStyle w:val="TextBody"/>
        <w:spacing w:lineRule="auto" w:line="268" w:before="0" w:after="0"/>
        <w:ind w:left="0" w:right="0" w:firstLine="720"/>
        <w:rPr>
          <w:color w:val="000000"/>
        </w:rPr>
      </w:pPr>
      <w:r>
        <w:rPr>
          <w:color w:val="000000"/>
        </w:rPr>
        <w:t>“</w:t>
      </w:r>
      <w:r>
        <w:rPr>
          <w:rFonts w:ascii="Times New Roman;sans-serif" w:hAnsi="Times New Roman;sans-serif"/>
          <w:b w:val="false"/>
          <w:color w:val="000000"/>
          <w:sz w:val="24"/>
        </w:rPr>
        <w:t>Constituent Documents” means, with respect to any Person, as applicable, such Person’s certificate of incorporation, articles of incorporation, bylaws, certificate of formation, articles of organization, limited liability company agreement, management agreement, operating agreement, shareholder agreement, partnership agreement or similar document or agreement governing such Person’s existence, organization or management or concerning the disposition of Equity Interests of such Person or voting rights among such Person’s owners.</w:t>
      </w:r>
    </w:p>
    <w:p>
      <w:pPr>
        <w:pStyle w:val="TextBody"/>
        <w:spacing w:before="0" w:after="0"/>
        <w:ind w:left="0" w:right="0" w:firstLine="72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Contingent Obligation” of a Person means any agreement, undertaking or arrangement by which such Person assumes, guarantees, endorses, contingently agrees to purchase or provide funds for the payment of, or otherwise becomes or is contingently liable upon, the obligation or liability of any other Person,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 provided, that the term “Contingent Obligation” shall not include endorsements for collection or deposit, in each case in the ordinary course of business.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Conversion Notice” is defined in Section 2.9.</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Corresponding Tenor” with respect to any Available Tenor means, as applicable, either a tenor (including overnight) or an interest payment period having approximately the same length (disregarding business day adjustment) as such Available Tenor.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Credit Extension” means the making of a Borrowing or the issuance of a Facility LC hereunder.</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Daily Simple SOFR”</w:t>
      </w:r>
      <w:r>
        <w:rPr>
          <w:color w:val="000000"/>
        </w:rPr>
        <w:t xml:space="preserve"> </w:t>
      </w:r>
      <w:r>
        <w:rPr>
          <w:rFonts w:ascii="Times New Roman;sans-serif" w:hAnsi="Times New Roman;sans-serif"/>
          <w:b w:val="false"/>
          <w:color w:val="000000"/>
          <w:sz w:val="24"/>
        </w:rPr>
        <w:t xml:space="preserve">means, for any day, an interest rate per annum equal to the greater of (a) SOFR for the day that is five SOFR Business Days prior to (i) if such day is a SOFR Business Day, such day or (ii) if such day is not a SOFR Business Day, the SOFR Business Day immediately preceding such day, and (b) zero;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SOFR is not published on such SOFR Business Day due to a holiday or other circumstance that the Administrative Agent deems in its sole discretion to be temporary, the applicable SOFR rate shall be the SOFR rate last published prior to such SOFR Business Day. Any change in Daily Simple SOFR due to a change in SOFR shall be effective from and including the effective date of such change in SOFR without notice to the Borrower. For purposes of determining any interest rate hereunder or under any Loan Document which is based on Daily Simple SOFR, such interest rate shall change as and when Daily Simple SOFR shall change.</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Daily Simple SOFR Rate” means for any day, a rate per annum equal to (a) Daily Simple SOFR for such day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(b) the Applicable Margin for such day, in each case changing when and as Daily Simple SOFR or the Applicable Margin changes.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60" name="Frame6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Default” means an event which but for the lapse of time or the giving of notice, or both, would constitute an Event of Default.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Defaulting Lender” means, subject to Section 2.22(b), any Lender that (a) has failed to (i) fund all or any portion of its Loans within two (2) Business Days after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waived, or (ii) pay to the Administrative Agent, the LC Issuer, the Swing Line Lender or any other Lender any other amount required to be paid by it hereunder (including in respect of its participation in Facility LCs or Swing Line Loans) within two (2) Business Days after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(other than an Undisclosed Administration), including the Federal Deposit Insurance Corporation or any other state or federal regulatory authority acting in such a capacity, or (iii) become the subject of a Bail-In Action;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2.22(b)) upon delivery of written notice of such determination to the Borrower, the LC Issuer, the Swing Line Lender and each Lender.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Deposits” is defined in Section 11.1.</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Dollar” and “$” means the lawful currency of the United States of America.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Domestic Subsidiary” means a Subsidiary of the Borrower incorporated or organized under the laws of the United States of America, any state thereof or the District of Columbia.</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61" name="Frame6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EEA Member Country” means any of the member states of the European Union, Iceland, Liechtenstein, and Norway.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EEA Resolution Authority” means any public administrative authority or any person entrusted with public administrative authority of any EEA Member Country (including any delegee) having responsibility for the resolution of any EEA Financial Institution.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Effective Date” means the date on which the conditions specified in Section 4.1 are satisfied.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Eligible Assignee” means (a) a Lender; (b) an Affiliate of a Lender; (c) an Approved Fund; and (d) any other Person except a natural Person (or holding company, investment vehicle or trust for, or owned and operated for the primary benefit of a natural Person), the Borrower, any of the Borrower’s Affiliates or Subsidiaries or any Defaulting Lender or any of its Subsidiaries, which has been approved by (i) Administrative Agent, and (ii) unless an Event of Default has occurred and is continuing, Borrower.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Environmental Laws”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personal injury or property damage relating to the release or discharge of Hazardous Materials,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pStyle w:val="TextBody"/>
        <w:spacing w:before="0" w:after="0"/>
        <w:ind w:left="0" w:right="0" w:firstLine="720"/>
        <w:jc w:val="both"/>
        <w:rPr/>
      </w:pPr>
      <w:r>
        <w:rPr/>
      </w:r>
    </w:p>
    <w:p>
      <w:pPr>
        <w:pStyle w:val="TextBody"/>
        <w:spacing w:lineRule="auto" w:line="268" w:before="0" w:after="0"/>
        <w:ind w:left="0" w:right="0" w:firstLine="720"/>
        <w:rPr>
          <w:color w:val="000000"/>
        </w:rPr>
      </w:pPr>
      <w:r>
        <w:rPr>
          <w:color w:val="000000"/>
        </w:rPr>
        <w:t>“</w:t>
      </w:r>
      <w:r>
        <w:rPr>
          <w:rFonts w:ascii="Times New Roman;sans-serif" w:hAnsi="Times New Roman;sans-serif"/>
          <w:b w:val="false"/>
          <w:color w:val="000000"/>
          <w:sz w:val="24"/>
        </w:rPr>
        <w:t>Equity Interests” means all shares, interests or other equivalents, however designated, of or in a corporation, limited liability company, or partnership, whether or not voting, including but not limited to common stock, member interests, partnership interests, warrants, preferred stock, convertible debentures, and all agreements, instruments and documents convertible, in whole or in part, into any one or more or all of the foregoing.</w:t>
      </w:r>
    </w:p>
    <w:p>
      <w:pPr>
        <w:pStyle w:val="TextBody"/>
        <w:spacing w:before="0" w:after="0"/>
        <w:ind w:left="0" w:right="0" w:firstLine="72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ERISA” means the Employee Retirement Income Security Act of 1974.</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ERISA Affiliate”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62" name="Frame6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ERISA Event” means (a) any “reportable event”, as defined in Section 4043 of ERISA or the regulations issued thereunder with respect to a Plan (other than an event for which the 30-day notice period is waived); (b) the failure with respect to any Plan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of the Borrower or any of its ERISA Affiliates from any Plan or Multiemployer Plan; or (g) the receipt by the Borrower or any ERISA Affiliate of any notice, or the receipt by any Multiemployer Plan from the Borrower or any ERISA Affiliate of any notice, concerning the imposition upon the Borrower or any of its ERISA Affiliates of withdrawal liability under Section 4201 of ERISA or a determination that a Multiemployer Plan is, or is expected to be, insolvent, within the meaning of Title IV of ERISA.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EU” means the European Union.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EU Bail-In Legislation Schedule” means the EU Bail-In Legislation Schedule published by the Loan Market Association (or any successor person), as in effect from time to time.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Event of Default” is defined in Article VII.</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Excluded Swap Obligation” means, with respect to any Guarantor, any Swap Obligation with respect to a Lender-Provided Swap if, and only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Excluded Taxes” means, in the case of each Lender or applicable Lending Installation, the LC Issuer, and the Administrative Agent, (i) Taxes imposed on its overall net income, franchise Taxes, gross receipts or revenue and branch profits Taxes imposed on it, by the respective jurisdiction under the laws of which such Lender, the LC Issuer or the Administrative Agent is incorporated or is organized or is doing business or in which its principal executive office is located or, in the case of a Lender, in which such Lender’s applicable Lending Installation is located or is doing business, (ii) in the case of a Non-U.S. Lender, any U.S. federal withholding Tax that is imposed on amounts payable to such Non-U.S. Lender pursuant to the laws in effect at the time such Non-U.S. Lender becomes a party to this Agreement or designates a new Lending Installation, except in each case to the extent that, pursuant to Section 3.5(a),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75260"/>
                <wp:effectExtent l="0" t="0" r="0" b="0"/>
                <wp:wrapNone/>
                <wp:docPr id="63" name="Frame6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amounts with respect to such Taxes were payable either to such Lender’s assignor immediately before such Lender became a party hereto or to such Lender immediately before it changed its Lending Installation, or is attributable to the Non-U.S. Lender’s failure to comply with Section 3.5(f), and (iii) any U.S. federal withholding Taxes imposed by FATCA.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Exhibit” refers to an exhibit to this Agreement, unless another document is specifically referenced.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Facility LC” is defined in Section 2.19(a)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Facility LC Application” is defined in Section 2.19(c).</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Facility LC Collateral Account” is defined in Section 2.19(k).</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Facility Termination Date” means April 30, 2024 or any earlier date on which the Aggregate Revolving Commitment is reduced to zero or otherwise terminated pursuant to the terms hereof. </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Factory Transition Period” means the period from and including the Sixth Amendment Date to and including the earlier of (i) March 31, 2024 and (ii) the last day or the Fiscal Quarter in which the Borrower has delivered written notice to the Administrative Agent that is elects to terminate the Factory Transition Period as of the end of such Fiscal Quarter;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any such notice from the Borrower to end the Factory Transition Period shall be irrevocable.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Federal Funds Effective Rate” means, for any day, the greater of (a) zero and (b)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or, if such rate is not so published for any day which is a Business Day, the average of the quotations at approximately 10:00 a.m. (Central time) on such day on such transactions received by the Administrative Agent from three federal funds brokers of recognized standing selected by the Administrative Agent in its sole discretion.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Fee Letter” is defined in Section 10.13.</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Foreign Currency Hedging Agreement” means Any foreign currency swap, exchange, cap, collar, floor, forward, future or option agreement, or any other similar hedging arrangement, between the Borrower or any Restricted Subsidiary, as the case may be, and the Administrative </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75260"/>
                <wp:effectExtent l="0" t="0" r="0" b="0"/>
                <wp:wrapNone/>
                <wp:docPr id="64" name="Frame6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Agent or any Lender, provided that such agreements are entered into by such Person in the ordinary course of its business and not for purposes of speculation.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Foreign Subsidiary” means any Subsidiary organized under the laws of a jurisdiction not located in the United States of America.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Fronting Exposure” means, at any time there is a Defaulting Lender, (a) with respect to the LC Issuer, such Defaulting Lender’s ratable share of the LC Obligations with respect to Facility LCs issued by the LC Issuer other than LC Obligations as to which such Defaulting Lender’s participation obligation has been reallocated to other Lenders or Cash Collateralized in accordance with the terms hereof, and (b) with respect to the Swing Line Lender, such Defaulting Lender’s ratable share of outstanding Swing Line Loans made by the Swing Line Lender other than Swing Line Loans as to which such Defaulting Lender’s participation obligation has been reallocated to other Lenders.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Fund” means any Person (other than a natural person) that is (or will be) engaged in making, purchasing, holding or otherwise investing in commercial loans and similar extensions of credit in the ordinary course of its business.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GAAP” means generally accepted accounting principles as in effect from time to time in the United States, applied in a manner consistent with that used in preparing the financial statements referred to in Section 5.5, subject at all times to Section 9.8.</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Supervisory Practices or any successor or similar authority to any of the foregoing).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Guaranty” means any guaranty executed by a Loan Party in favor of the Administrative Agent pursuant to Section 6.22, or otherwise.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Guarantor” means any Loan Party that executes a guaranty in favor of the Administrative Agent pursuant to Section 6.22, or otherwise.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Hazardous Material” means any explosive or radioactive substances or wastes, any hazardous or toxic substances, wastes or other pollutants, including petroleum or petroleum distillates, asbestos or asbestos containing materials, polychlorinated biphenyls, radon gas, infectious or medical wastes and any other substances or wastes of any nature regulated pursuant to any Environmental Law. </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Highest Lawful Rate” means, on any day, the maximum non-usurious rate of interest permitted for that day by applicable federal or state law stated as a rate per annum.</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75260"/>
                <wp:effectExtent l="0" t="0" r="0" b="0"/>
                <wp:wrapNone/>
                <wp:docPr id="65" name="Frame6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Indebtedness” means, with respect to any Person at the time of any determination, without duplication, all obligations of such Person that should be classified upon the balance sheet of such Person as liabilities, but in any event including: (a) all obligations of such Person for borrowed money (including non-recourse obligations and the Obligations under this Agreement and the other Loan Documents), (b) all obligations of such Person evidenced by bonds, debentures, notes, or other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(including any deferred or contingent consideration payable in connection with Acquisitions), but excluding trade payables incurred in the ordinary course of business that are not more than 120 days past due, (f) all obligations of others secured by any Lien on property owned or acquired by such Person, whether or not the obligations secured thereby have been assumed, (g) all Capitalized Lease Obligations of such Person, (h) for purposes of Section 6.11 only, all obligations of such Person in respect of interest rate swap agreements, cap or collar agreements, interest rate futures or option contracts, currency swap agreements, currency futures or option agreements, and other similar contracts, (i) all obligations of such Person, actual or contingent, as an account party in respect of letters of credit or bankers’ acceptances, (j) all obligations of any partnership or joint venture as to which such Person is or may become personally liable, (k) all obligations of such Person under any Equity Interests issued by such Person, and (l) all Contingent Obligations of such Person.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Indemnified Taxes” means Taxes imposed on or with respect to any payment made by or on account of any obligation of any Loan Party under any Loan Document, other than Excluded Taxes and Other Taxes.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means as to any SOFR Loan, the last Business Day of each calendar month and the Facility Termination Date; provided that if any such day is not a Business Day, the Interest Payment Date shall be the immediately succeeding Business Day unless such succeeding Business Day falls in a new calendar month, in which case, the Interest Payment Date shall be the immediately preceding Business Day.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Investment” of a Person means (a) any loan, advance (other than commission, travel and similar Borrowings to officers and employees made in the ordinary course of business), extension of credit (other than accounts receivable arising in the ordinary course of business on terms customary in the trade) or contribution of capital by such Person; (b) Equity Interests, bonds, mutual funds, notes, debentures or other securities (including warrants or options to purchase securities) owned by such Person; (c) any certificate of deposit owned by such Person; and (d) structured notes, derivative financial instruments and other similar instruments or contracts owned by such Person. The amount of any Investment shall be the original cost of such Investment plus the cost of all additions thereto, without any adjustments for increases or decreases in value or write-ups, write-downs, or write-offs with respect to such Investment.</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75260"/>
                <wp:effectExtent l="0" t="0" r="0" b="0"/>
                <wp:wrapNone/>
                <wp:docPr id="66" name="Frame6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from time to time by the International Swaps and Derivatives Association, Inc. or such successor thereto.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LC Fee” is defined in Section 2.19(d).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LC Issuer” means U.S. Bank (or any subsidiary or affiliate of U.S. Bank designated by U.S. Bank) in its capacity as issuer of Facility LCs hereunder.</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LC Obligations” means, at any time, the sum, without duplication, of (i) the aggregate undrawn stated amount under all Facility LCs outstanding at such time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(ii) the aggregate unpaid amount at such time of all Reimbursement Obligations.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LC Payment Date” is defined in Section 2.19(e).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Lender-Provided Swap” means a Swap which is provided to the Borrower or any Subsidiary by the Administrative Agent or any Lender to the extent that such Swap is in existence on the Effective Date or the counterparty is the Administrative Agent or a Lender at the time such Swap is entered into (whether or not such Person ceases to be a Lender).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Lenders” means the lending institutions listed on the signature pages of this Agreement and their respective successors and assigns. Unless otherwise specified, the term “Lenders” includes U.S. Bank in its capacity as Swing Line Lender.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Lending Installation”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2.17.</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Letter of Credit” means a letter of credit or similar instrument which is issued upon the application of a Person or upon which a Person is an account party or for which a Person is in any way liable.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LIBOR” means the London interbank offered rate.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Lien” means any lien (statutory or other), mortgage, pledge, hypothecation, assignment, encumbrance or other security agreement of any kind or nature whatsoever (including, without limitation, the interest of a vendor or lessor under any conditional sale, Capitalized Lease or other title retention agreement).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Loan” means a Revolving Loan or a Swing Line Loan.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Loan Documents” means this Agreement, the Facility LC Applications, the Collateral Documents, any guarantee, any Note or Notes executed by the Borrower in connection with this Agreement and payable to a Lender, and any other document or agreement, now or in the future, executed by the Borrower for the benefit of the Administrative Agent or any Lender in connection with this Agreement.</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75260"/>
                <wp:effectExtent l="0" t="0" r="0" b="0"/>
                <wp:wrapNone/>
                <wp:docPr id="67" name="Frame6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Loan Party” or “Loan Parties” means, individually or collectively, the Borrower and the Guarantors.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Material Acquisition” means any Permitted Acquisition that involves the payment of consideration by the Borrower and its Subsidiaries in excess of $10,000,000.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Material Adverse Effect” means a material adverse effect on (i) the financial condition or operations of the Borrower and its Subsidiaries taken as a whole, (ii) the ability of the Borrower or any Guarantor to perform its obligations under the Loan Documents to which it is a party, or (iii) the validity or enforceability of any of the Loan Documents or the rights or remedies of the Administrative Agent, the LC Issuer or the Lenders under the Loan Documents.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Material Disposition” means any sale, transfer or disposition of Property or series of related sales, transfers, or dispositions of Property (other than inventory in the ordinary course of business) that yields gross proceeds to the Borrower or any of its Subsidiaries in excess of 5% of the Borrower’s total consolidated assets; however, notwithstanding the foregoing, “Material Disposition” shall not include the China Facility Divestment.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Material Domestic Subsidiary” means each Domestic Subsidiary (i) which, as of the most recent fiscal quarter of the Borrower, for the period of four (4) consecutive fiscal quarters then ended, for which financial statements have been delivered pursuant to Section 6.1, contributed greater than 5.0% of the Borrower’s Consolidated EBITDA for such period or (ii) which had consolidated assets greater than 5.0% of the Borrower’s total consolidated assets as of such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at any time the aggregate amount contributed to the Consolidated EBITDA by all Subsidiaries that are not Material Domestic Subsidiaries exceeds 10.0% of the Borrower’s Consolidated EBITDA for any such period, or the aggregate total consolidated assets of all Subsidiaries that are not Material Domestic Subsidiaries exceeds 10.0%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Material Indebtedness” means Indebtedness of the Borrower or any Subsidiary in an outstanding principal amount of $1,000,000 or more in the aggregate (or the equivalent thereof in any currency other than Dollars).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Material Indebtedness Agreement” means any agreement under which any Material Indebtedness was created or is governed or which provides for the incurrence of Indebtedness in an amount which would constitute Material Indebtedness (whether or not an amount of Indebtedness constituting Material Indebtedness is outstanding thereunder).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Minimum Collateral Amount” means, with respect to a Defaulting Lender, at any time, (i) with respect to Cash Collateral consisting of cash or deposit account balances, an amount equal to 105% of the Fronting Exposure of the LC Issuer with respect to such Defaulting Lender for all Facility LCs issued and outstanding at such time and (ii) otherwise, an amount determined by the Administrative Agent and the LC Issuer in their sole discretion.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75260"/>
                <wp:effectExtent l="0" t="0" r="0" b="0"/>
                <wp:wrapNone/>
                <wp:docPr id="68" name="Frame6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Modify” and “Modification” are defined in Section 2.19(a).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Moody’s” means Moody’s Investors Service, Inc.</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Multiemployer Plan” means a Plan maintained pursuant to a collective bargaining agreement or any other arrangement to which the Borrower or any ERISA Affiliate is, or in the immediately preceding six years was, a party to which more than one employer is obligated to make contributions.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New York Banking Day” means any day (other than a Saturday or Sunday) on which commercial banks are open for business in New York, New York.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Non-Defaulting Lender” means, at any time, each Lender that is not a Defaulting Lender at such time.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Non-U.S. Lender” means a Lender that is not a United States person as defined in Section 7701(a)(30) of the Code.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Note” is defined in Section 2.13(d).</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Obligations” means all unpaid principal of and accrued and unpaid interest on the Loans, all LC Obligations, all obligations in connection with Cash Management Services, all obligations in connection with Lender-Provided Swaps, all accrued and unpaid fees, and all expenses, reimbursements, indemnities and other obligations of the Borrower to the Lenders or to any Lender, the Administrative Agent, the LC Issuer or any indemnified party arising under the Loan Documents (including interest and fees accruing during the pendency of any bankruptcy, insolvency, receivership or other similar proceeding, regardless of whether allowed or allowable in such proceeding);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“Obligations” shall exclude all Excluded Swap Obligations.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OFAC” means the U.S. Department of the Treasury’s Office of Foreign Assets Control, and any successor thereto.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Operating Lease” of a Person means any lease of Property (other than a Capitalized Lease) by such Person as lessee which has an original term (including any required renewals and any renewals effective at the option of the lessor) of one year or more.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Operating Lease Obligations” means, as at any date of determination, the amount obtained by aggregating the present values, determined in the case of each particular Operating Lease by applying a discount rate (which discount rate shall equal the discount rate which would be applied under GAAP if such Operating Lease were a Capitalized Lease) from the date on which each fixed lease payment is due under such Operating Lease to such date of determination, of all fixed lease payments due under all Operating Leases of the Borrower and its Subsidiaries.</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Other Taxes” means all present or future stamp, court or documentary, intangible, recording, filing or similar Taxes (other than Excluded Taxes) that arise from any payment made under, from the execution, delivery, performance, enforcement or registration of, from the receipt or perfection of a security interest under, or otherwise with respect to, any Loan Document.</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75260"/>
                <wp:effectExtent l="0" t="0" r="0" b="0"/>
                <wp:wrapNone/>
                <wp:docPr id="69" name="Frame6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Participant” is defined in Section 12.2(a).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Participant Register” is defined in Section 12.2(c).</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PATRIOT Act” means the USA PATRIOT Act (Title III of Pub. L. 107-56 (signed into law October 26, 2001)).</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Payment Date” means the first day of each January, April, July and October,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if such day is not a Business Day, the Payment Date shall be the immediately succeeding Business Day.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PBGC” means the Pension Benefit Guaranty Corporation, or any successor thereto.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Permitted Acquisition” means any Acquisition made by the Borrower or any of its Subsidiaries, provided that, (a) as of the date of the consummation of such Acquisition, no Default or Event of Default shall have occurred and be continuing or would result after giving effect to such Acquisition, and the representation and warranty contained in Section 5.10 shall be true both before and after giving effect to such Acquisition, (b) such Acquisition is consummated on a non-hostile basis pursuant to a negotiated acquisition agreement that has been (if required by the governing documents of the seller or entity to be acquired)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the same line of business as the Borrower’s or a line of business incidental thereto, (d) as of the date of the consummation of such Acquisition, all material approvals required in connection therewith shall have been obtained, (e) the Borrower shall have furnished to the Administrative Agent a certificate demonstrating in reasonable detail, assuming the Acquisition was made as of the date of the most recent Compliance Certificate delivered to the Administrative Agent, that (A) the Borrower would be in compliance at all times with all the terms, provisions, covenants and conditions contained in this Agreement and the other Loan Documents, which such other supporting documents and information as the Administrative Agent may reasonably require and (B) the Borrower’s pro forma compliance with Section 6.21(b) concerning the Consolidated Cash Flow Leverage Ratio is 0.25 less than the ratio required under 6.21(b), (f) after giving effect to such Acquisition, the business to be acquired in such Acquisition Target shall be owned directly by the Borrower or shall become a wholly-owned Subsidiary, directly or indirectly, of the Borrower and, to the extent required under Section 6.27, becomes a Restricted Subsidiary and (g) after giving effect to the Acquisition, Consolidated Liquidity shall be greater than or equal to $10,000,000.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Permitted Liens” means the Liens permitted pursuant to Section 6.16.</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Person” means any natural person, corporation, firm, joint venture, partnership, limited liability company, association, enterprise, trust or other entity or organization, or any government or political subdivision or any agency, department or instrumentality thereof.</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75260"/>
                <wp:effectExtent l="0" t="0" r="0" b="0"/>
                <wp:wrapNone/>
                <wp:docPr id="70" name="Frame7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Plan” means an employee pension benefit plan which is covered by Title IV of ERISA or subject to the minimum funding standards under Section 412 of the Code or Section 302 of ERISA as to which the Borrower or any ERISA Affiliate may have any liability.</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Pledge Agreement” means that certain Pledge Agreement dated as of November 1, 2010 dated as of November 1, 2010, given by the UEI Hong Kong Private Limited, a company organized under the laws of Hong Kong, as pledgor, and Enson Assets Limited, a company organized under the laws of the British Virgin Islands, as issuer, in favor of the Administrative Agent, as the same may be amended, restated, or otherwise modified from time to time, including that certain amendment dated as of the date hereof.</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Pricing Schedule” means the </w:t>
      </w:r>
      <w:r>
        <w:rPr>
          <w:rFonts w:ascii="Times New Roman;sans-serif" w:hAnsi="Times New Roman;sans-serif"/>
          <w:b w:val="false"/>
          <w:color w:val="000000"/>
          <w:sz w:val="24"/>
          <w:u w:val="single"/>
        </w:rPr>
        <w:t>Schedule 1</w:t>
      </w:r>
      <w:r>
        <w:rPr>
          <w:color w:val="000000"/>
        </w:rPr>
        <w:t xml:space="preserve"> </w:t>
      </w:r>
      <w:r>
        <w:rPr>
          <w:rFonts w:ascii="Times New Roman;sans-serif" w:hAnsi="Times New Roman;sans-serif"/>
          <w:b w:val="false"/>
          <w:color w:val="000000"/>
          <w:sz w:val="24"/>
        </w:rPr>
        <w:t>attached hereto identified as Pricing Schedule.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Prime Rate” means a rate per annum equal to the prime rate of interest announced from time to time by U.S. Bank or its parent (which is not necessarily the lowest rate charged to any customer), changing when and as such prime rate changes.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Property” of a Person means any and all property, whether real, personal, tangible, intangible, or mixed, of such Person, or other assets owned, leased or operated by such Person.</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Pro Rata Share” means, with respect to a Lender, a portion equal to a fraction the numerator of which is such Lender’s Revolving Commitment and the denominator of which is the Aggregate Revolving Commitment,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if all of the Revolving Commitments are terminated pursuant to the terms of this Agreement, then “Pro Rata Share” means the percentage obtained by dividing (a) such Lender’s Revolving Exposure at such time by (b) the Aggregate Revolving Exposure at such time;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when a Defaulting Lender shall exist, “Pro Rata Share” shall mean the percentage of the Aggregate Revolving Commitment (disregarding any Defaulting Lender’s Revolving Commitment) represented by such Lender’s Revolving Commitment (except that no Lender is required to fund or participate in Revolving Loans, Swing Line Loans or Facility LCs to the extent that, after giving effect thereto, the aggregate amount of its outstanding Revolving Loans and funded or unfunded participations in Swing Line Loans and Facility LCs would exceed the amount of its Revolving Commitment (determined as though no Defaulting Lender existed)).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Purchasers” is defined in Section 12.3(a).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Rate Protection Agreement” means any interest rate swap, cap, or option agreement, or other agreement pursuant to which the Borrower hedges interest rate risk with respect to a portion of the Obligations, entered into by the Borrower with the Administrative Agent, any Lender or any Affiliate of the Administrative Agent or any Lender.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Reference Time” with respect to any setting of the then-current Benchmark means (a) if such Benchmark is Daily Simple SOFR, then 3:00 p.m. (New York City time) four Business Days prior to such setting and (b) if such Benchmark is not Daily Simple SOFR, then the time determined by the Administrative Agent in its reasonable discretion.</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Register” is defined in Section 12.3(d).</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75260"/>
                <wp:effectExtent l="0" t="0" r="0" b="0"/>
                <wp:wrapNone/>
                <wp:docPr id="71" name="Frame7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Regulation D”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Regulation U”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Reimbursement Obligations” means, at any time, the aggregate of all obligations of the Borrower then outstanding under Section 2.19 to reimburse the LC Issuer for amounts paid by the LC Issuer in respect of any one or more drawings under Facility LCs.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Relevant Governmental Body”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Rentals” of a Person means the aggregate fixed amounts payable by such Person under any Operating Lease.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Reports” is defined in Section 9.6(a).</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Required Lenders” means at least two Lenders that, in the aggregate, have greater than 66.67% of the Aggregate Revolving Commitment or, if the Aggregate Revolving Commitment has been terminated, Lenders in the aggregate holding greater than 66.67% of the Aggregate Revolving Exposure. The Revolving Commitments and Revolving Exposure of any Defaulting Lender shall be disregarded in determining Required Lenders at any time.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Restricted Payment” means any dividend or other distribution (whether in cash, securities or other Property) with respect to any Equity Interest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Subsidiary thereof or any option, warrant or other right to acquire any such Equity Interest in the Borrower or any Subsidiary thereof.</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Restricted Subsidiary” means (a) Universal Electronics BV, (b) Enson Assets Limited, a company incorporated under the laws of the British Virgin Islands, (c) UEI Hong Kong Private Limited, a company organized under the Laws of Hong Kong, (d) C.G. Development Limited (Hong Kong), a Hong Kong company, (e) Gemstar Technology (China) Co. Ltd., a People’s Republic of China company, (f) Gemstar Technology (Yasngzhou) Co. Ltd., a People’s Republic of China company, and (g) each other Subsidiary designated in writing by the Borrower pursuant to Section 6.27.</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75260"/>
                <wp:effectExtent l="0" t="0" r="0" b="0"/>
                <wp:wrapNone/>
                <wp:docPr id="72" name="Frame7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Revolving Commitment” means, for each Lender, the obligation, if any, of such Lender to make Revolving Loans to, and participate in Facility LCs issued upon the application of and Swing Line Loans made to, the Borrower, expressed as an amount representing the maximum possible aggregate amount of such Lender’s Revolving Exposure hereunder. The initial amount of each Revolving Lender’s Revolving Commitment is set forth on Schedule 2, as it may be modified (i) as a result of any assignment that has become effective pursuant to Section 12.3, or (ii) otherwise from time to time pursuant to the terms hereof. As of the Sixth Amendment Date and continuing until the Facility Termination Date, the aggregate amount of the Revolving Lenders’ Revolving Commitments is $125,000,000.</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rPr>
        <w:t xml:space="preserve">Revolving Exposure” means, with respect to any Lender at any time, the sum of (i) the aggregate principal amount of such Lender’s Revolving Loans outstanding at such time,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(ii) an amount equal to its Pro Rata Share of the aggregate principal amount of Swing Line Loans outstanding at such time,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(iii) an amount equal to its Pro Rata Share of the LC Obligations at such time.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Revolving Lender” means, as of any date of determination, a Lender with a Revolving Commitment or, if the Revolving Commitments have terminated or expired, a Lender with Revolving Exposure.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Revolving Loan” means, with respect to a Lender, such Lender’s loan made pursuant to its commitment to lend set forth in Section 2.1 (or any conversion or continuation thereof).</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Risk-Based Capital Guidelines” means (i) the risk-based capital guidelines in effect in the United States on the date of this Agreement, including transition rules, and (ii) the corresponding capital regulations promulgated by regulatory authorities outside the United States, including transition rules, and, in each case, any amendments to such regulations.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S&amp;P” means Standard &amp; Poor’s Ratings Services, a Standard &amp; Poor’s Financial Services LLC business.</w:t>
      </w:r>
    </w:p>
    <w:p>
      <w:pPr>
        <w:pStyle w:val="TextBody"/>
        <w:spacing w:before="0" w:after="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Sale and Leaseback Transaction” means any sale or other transfer of Property by any Person with the intent to lease such Property as lessee.</w:t>
      </w:r>
    </w:p>
    <w:p>
      <w:pPr>
        <w:pStyle w:val="TextBody"/>
        <w:spacing w:before="0" w:after="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Sanctions” means sanctions administered or enforced from time to time by the U.S. government, including those administered by OFAC, the U.S. Department of State, the United Nations Security Council, the European Union, Her Majesty’s Treasury or other relevant sanctions authority.</w:t>
      </w:r>
    </w:p>
    <w:p>
      <w:pPr>
        <w:pStyle w:val="TextBody"/>
        <w:spacing w:before="0" w:after="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Schedule” refers to a specific schedule to this Agreement, unless another document is specifically referenced.</w:t>
      </w:r>
    </w:p>
    <w:p>
      <w:pPr>
        <w:pStyle w:val="TextBody"/>
        <w:spacing w:before="0" w:after="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Section” means a numbered section of this Agreement, unless another document is specifically referenced.</w:t>
      </w:r>
    </w:p>
    <w:p>
      <w:pPr>
        <w:pStyle w:val="TextBody"/>
        <w:spacing w:before="0" w:after="0"/>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Security Agreement” means that certain Security Agreement dated as of October 2, 2012 by and between the Borrower and the Administrative Agent, as amended by that certain Amendment to Security Agreement dated as of the date hereof.</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75260"/>
                <wp:effectExtent l="0" t="0" r="0" b="0"/>
                <wp:wrapNone/>
                <wp:docPr id="73" name="Frame7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Sixth Amendment Date” means May 3, 2023.</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means, with respect to any Business Day, a rate per annum equal to the secured overnight financing rate for such Business Day published by the SOFR Administrator on the SOFR Administrator’s Website.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Administrator” means the Federal Reserve Bank of New York (or a successor administrator of the secured overnight financing rate).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Administrator’s Website” means the website of the Federal Reserve Bank of New York, currently at http://www.newyorkfed.org, or any successor source for the secured overnight financing rate identified as such by the SOFR Administrator from time to time.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Borrowing” means a Borrowing that, except as otherwise provided in Section 2.11, bears interest at a rate based on Daily Simple SOFR.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Business Day” means any day (other than a Saturday or Sunday) on which banks generally are open in New York City, New York for the conduct of substantially all of their commercial lending activities and interbank wire transfers can be made on the Fedwire system except a day on which the Securities Industry and Financial Markets Association (SIFMA) recommends that the fixed income departments of its members be closed for the entire day for purposes of trading in United States government securities.</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SOFR Loan” means a Loan that, except as otherwise provided in Section 2.11, bears interest at a rate based on Daily Simple SOFR.</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SOFR Rate” means, as the context may require, the Daily Simple SOFR Rate or any other Benchmark based on or determined by reference to SOFR. </w:t>
      </w:r>
    </w:p>
    <w:p>
      <w:pPr>
        <w:pStyle w:val="TextBody"/>
        <w:spacing w:before="0" w:after="0"/>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Stated Rate” is defined in Section 2.21.</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Subsidiary”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pStyle w:val="TextBody"/>
        <w:spacing w:before="0" w:after="0"/>
        <w:ind w:left="0" w:right="0" w:firstLine="720"/>
        <w:jc w:val="both"/>
        <w:rPr/>
      </w:pPr>
      <w:r>
        <w:rPr/>
      </w:r>
    </w:p>
    <w:p>
      <w:pPr>
        <w:pStyle w:val="TextBody"/>
        <w:spacing w:lineRule="auto" w:line="268"/>
        <w:ind w:left="0" w:right="0" w:firstLine="720"/>
        <w:jc w:val="both"/>
        <w:rPr>
          <w:color w:val="000000"/>
        </w:rPr>
      </w:pPr>
      <w:r>
        <w:rPr>
          <w:color w:val="000000"/>
        </w:rPr>
        <w:t>“</w:t>
      </w:r>
      <w:r>
        <w:rPr>
          <w:rFonts w:ascii="Times New Roman;sans-serif" w:hAnsi="Times New Roman;sans-serif"/>
          <w:b w:val="false"/>
          <w:color w:val="000000"/>
          <w:sz w:val="24"/>
        </w:rPr>
        <w:t xml:space="preserve">Substantial Portion” means, with respect to the Property of the Borrower and its Subsidiaries, Property which represents more than 10% of the consolidated assets of the Borrower and its Subsidiaries taken as a whole or Property which is responsible for more than 10% of the Consolidated Net Income of the Borrower and its Subsidiaries taken as a whole, in each case, as would be shown in the consolidated financial statements of the Borrower and its Subsidiaries as at the beginning of the twelve-month period ending with the month in which such determination is made (or if financial statements have not been delivered hereunder for that </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75260"/>
                <wp:effectExtent l="0" t="0" r="0" b="0"/>
                <wp:wrapNone/>
                <wp:docPr id="74" name="Frame7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month which begins the twelve-month period, then the financial statements delivered hereunder for the quarter ending immediately prior to that month).</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Swap” means any agreement, contract or transaction that constitutes a “swap” within the meaning of section 1a(47) of the Commodity Exchange Act.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Swap Obligation” means, with respect to any Person, any and all obligations, whether absolute or contingent and howsoever and whensoever created, arising, evidenced or acquired (including all renewals, extensions and modifications thereof and substitutions therefor), under (i) any and all Swaps, and (ii) any and all cancellations, buy backs, reversals, terminations or assignments of any Swap.</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Swing Line Borrowing Notice” is defined in Section 2.4(b).</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Swing Line Lender” means U.S. Bank or such other Lender which may succeed to its rights and obligations as Swing Line Lender pursuant to the terms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Swing Line Loan” means a Loan made available to the Borrower by the Swing Line Lender pursuant to Section 2.4.</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Swing Line Sublimit” means $0.</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TARGET” means Trans-European Automated Real-time Gross Settlement Express Transfer payment system.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TARGET Day” means any day on which TARGET is open for settlement of payments in euro.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Taxes” means any and all present or future taxes, duties, levies, imposts, deductions, fees, assessments, charges or withholdings, and any and all liabilities with respect to the foregoing, including interest, additions to tax and penalties applicable thereto.</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Transferee” is defined in Section 12.3(e).</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Type” means, with respect to any Borrowing, its nature as a Base Rate Borrowing or a SOFR Borrowing and with respect to a Loan, its nature as a Base Rate Loan or a SOFR Loan.</w: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Unadjusted Benchmark Replacement” means the applicable Benchmark Replacement excluding the related Benchmark Replacement Adjustment.</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Undisclosed Administration”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 </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U.S. Bank” means U.S. Bank National Association, a national banking association, in its individual capacity, and its successors.</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75260"/>
                <wp:effectExtent l="0" t="0" r="0" b="0"/>
                <wp:wrapNone/>
                <wp:docPr id="75" name="Frame7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Wholly-Owned Subsidiary” of a Person means (i) any Subsidiary of which 100% of the beneficial ownership interests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of which 100% of the beneficial ownership interests shall at the time be so owned or controlled.</w:t>
      </w:r>
    </w:p>
    <w:p>
      <w:pPr>
        <w:pStyle w:val="TextBody"/>
        <w:spacing w:before="0" w:after="0"/>
        <w:ind w:left="0" w:right="0" w:firstLine="720"/>
        <w:jc w:val="both"/>
        <w:rPr/>
      </w:pPr>
      <w:r>
        <w:rPr/>
      </w:r>
    </w:p>
    <w:p>
      <w:pPr>
        <w:pStyle w:val="TextBody"/>
        <w:spacing w:lineRule="auto" w:line="268" w:before="0" w:after="0"/>
        <w:ind w:left="0" w:right="0" w:firstLine="720"/>
        <w:jc w:val="both"/>
        <w:rPr>
          <w:color w:val="000000"/>
        </w:rPr>
      </w:pPr>
      <w:r>
        <w:rPr>
          <w:color w:val="000000"/>
        </w:rPr>
        <w:t>“</w:t>
      </w:r>
      <w:r>
        <w:rPr>
          <w:rFonts w:ascii="Times New Roman;sans-serif" w:hAnsi="Times New Roman;sans-serif"/>
          <w:b w:val="false"/>
          <w:color w:val="000000"/>
          <w:sz w:val="24"/>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foregoing definitions shall be equally applicable to both the singular and plural forms of the defined terms.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Loan Classes</w:t>
      </w:r>
      <w:r>
        <w:rPr>
          <w:rFonts w:ascii="Times New Roman;sans-serif" w:hAnsi="Times New Roman;sans-serif"/>
          <w:b w:val="false"/>
          <w:color w:val="000000"/>
          <w:sz w:val="24"/>
        </w:rPr>
        <w:t>. For purposes of this Agreement, Loans may be classified and referred to by Class (e.g., a “Revolving Loan”) or by Type (e.g., a “SOFR Loan”) or by Class and Type (e.g., a “SOFR Revolving Loan”). Borrowings also may be classified and referred to by Class (e.g., a “Revolving Borrowing”) or by Type (e.g., a “SOFR Borrowing”) or by Class and Type (e.g., a “SOFR Revolving Borrowing”).</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Computation of Time Periods</w:t>
      </w:r>
      <w:r>
        <w:rPr>
          <w:rFonts w:ascii="Times New Roman;sans-serif" w:hAnsi="Times New Roman;sans-serif"/>
          <w:b w:val="false"/>
          <w:color w:val="000000"/>
          <w:sz w:val="24"/>
        </w:rPr>
        <w:t>. In this Agreement, in the computation of a period of time from a specified date to a later specified date, unless otherwise stated the word “from” means “from and including” and the word “to” or “until” each means “to but excluding”.</w:t>
      </w:r>
    </w:p>
    <w:p>
      <w:pPr>
        <w:pStyle w:val="TextBody"/>
        <w:spacing w:before="0" w:after="0"/>
        <w:ind w:left="0" w:right="0" w:firstLine="72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Other Definitional Terms; Interpretative Provisions</w:t>
      </w:r>
      <w:r>
        <w:rPr>
          <w:rFonts w:ascii="Times New Roman;sans-serif" w:hAnsi="Times New Roman;sans-serif"/>
          <w:b w:val="false"/>
          <w:color w:val="000000"/>
          <w:sz w:val="24"/>
        </w:rPr>
        <w:t xml:space="preserve">. The words “hereof,” “herein” and “hereunder” and words of similar import when used in this Agreement shall refer to this Agreement as a whole and not to any particular provision of this Agreement. References to Sections, Exhibits, schedules and like references are to this Agreement unless otherwise expressly provided. The words “include,” “includes” and “including” shall be deemed to be followed by the phrase “without limitation.” The term “shall” shall have the same meaning as the term “will”. Unless the context in which used herein otherwise clearly requires, “or” has the inclusive meaning represented by the phrase “and/or.” All incorporation by reference of covenants, terms, definitions or other provisions from other agreements are incorporated into this Agreement as if such provisions were fully set forth herein, and such incorporation shall include all necessary definitions and related provisions from such other agreements but including only amendments thereto agreed to by the Lenders, and shall survive any termination of such other agreements until the Obligations under this Agreement and the other Loan Documents are irrevocably paid in full (other than inchoate indemnity obligations and Obligations that have been Cash Collateralized), all Facility LCs have expired without renewal or been returned to LC Issuer, and the commitments of the Lenders to advance funds to the Borrower are terminated. Any reference to any law shall include all statutory and regulatory provisions consolidating, amending, replacing or interpreting such law and any reference to any law or regulation shall, unless otherwise specified, refer to such law or regulation as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75260"/>
                <wp:effectExtent l="0" t="0" r="0" b="0"/>
                <wp:wrapNone/>
                <wp:docPr id="76" name="Frame7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amended, modified or supplemented from time to time and any successor law or regulation. references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1.5. </w:t>
      </w:r>
      <w:r>
        <w:rPr>
          <w:rFonts w:ascii="Times New Roman;sans-serif" w:hAnsi="Times New Roman;sans-serif"/>
          <w:b w:val="false"/>
          <w:color w:val="000000"/>
          <w:sz w:val="24"/>
          <w:u w:val="single"/>
        </w:rPr>
        <w:t>Rates</w:t>
      </w:r>
      <w:r>
        <w:rPr>
          <w:rFonts w:ascii="Times New Roman;sans-serif" w:hAnsi="Times New Roman;sans-serif"/>
          <w:b w:val="false"/>
          <w:color w:val="000000"/>
          <w:sz w:val="24"/>
        </w:rPr>
        <w:t>. The Daily Simple SOFR Rate is determined by reference to Daily Simple SOFR, which is derived from SOFR. Section 3.3 provides a mechanism for (a) determining an alternative rate of interest if SOFR is no longer available or in the other circumstances set forth in Section 3.3 and (b) modifying this Agreement to give effect to such alternative rate of interest. The Administrative Agent does not warrant or accept any responsibility for, and shall not have any liability with respect to, the administration, submission, or any other matter related to SOFR or other rates in the definition of “Daily Simple SOFR” or with respect to any alternative or successor rate thereto, or replacement rate thereof (including any Benchmark Replacement), including without limitation whether any such alternative, successor, or replacement reference rate (including any Benchmark Replacement), as it may or may not be adjusted pursuant to Section 3.3(b), will have the same value as, or be economically equivalent to, Daily Simple SOFR. The Administrative Agent and its affiliates or other related entities may engage in transactions that affect the calculation of Alternate Base Rate, SOFR, Daily Simple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Daily Simple SOFR,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THE CREDITS</w:t>
      </w:r>
    </w:p>
    <w:p>
      <w:pPr>
        <w:pStyle w:val="TextBody"/>
        <w:spacing w:before="0" w:after="0"/>
        <w:jc w:val="center"/>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2.1. </w:t>
      </w:r>
      <w:r>
        <w:rPr>
          <w:rFonts w:ascii="Times New Roman;sans-serif" w:hAnsi="Times New Roman;sans-serif"/>
          <w:b w:val="false"/>
          <w:color w:val="000000"/>
          <w:sz w:val="24"/>
          <w:u w:val="single"/>
        </w:rPr>
        <w:t>Revolving Loan Commitment</w:t>
      </w:r>
      <w:r>
        <w:rPr>
          <w:rFonts w:ascii="Times New Roman;sans-serif" w:hAnsi="Times New Roman;sans-serif"/>
          <w:b w:val="false"/>
          <w:color w:val="000000"/>
          <w:sz w:val="24"/>
        </w:rPr>
        <w:t xml:space="preserve">. From and including the date of this Agreement and prior to the Facility Termination Date, each Lender severally agrees, on the terms and conditions set forth in this Agreement, to make Revolving Loans to the Borrower in Dollars and participate in Facility LCs issued upon the request of the Borrower, provided that, after giving effect to the making of each such Loan and the issuance of each such Facility LC, the amount of such Lender’s Revolving Exposure shall not exceed its Revolving Commitment. All Loans shall be made in Dollars. Subject to the terms of this Agreement, the Borrower may borrow, repay and reborrow the Revolving Loans at any </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75260"/>
                <wp:effectExtent l="0" t="0" r="0" b="0"/>
                <wp:wrapNone/>
                <wp:docPr id="77" name="Frame7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time prior to the Facility Termination Date. Unless previously terminated, the Revolving Commitment shall terminate on the Facility Termination Date. The LC Issuer will issue Facility LCs hereunder on the terms and conditions set forth in Section 2.19.</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2.2. </w:t>
      </w:r>
      <w:r>
        <w:rPr>
          <w:rFonts w:ascii="Times New Roman;sans-serif" w:hAnsi="Times New Roman;sans-serif"/>
          <w:b w:val="false"/>
          <w:color w:val="000000"/>
          <w:sz w:val="24"/>
          <w:u w:val="single"/>
        </w:rPr>
        <w:t>Determination of Amounts</w:t>
      </w:r>
      <w:r>
        <w:rPr>
          <w:rFonts w:ascii="Times New Roman;sans-serif" w:hAnsi="Times New Roman;sans-serif"/>
          <w:b w:val="false"/>
          <w:color w:val="000000"/>
          <w:sz w:val="24"/>
        </w:rPr>
        <w:t>; Required Payments; Termination. The Administrative Agent will determine the amount of: (a) each Borrowing as of the date two (2) Business Days prior to the Borrowing Date or, if applicable, date of conversion/continuation of such Borrowing, and (b) all outstanding Borrowings on and as of the last Business Day of each quarter and on any other Business Day elected by the Administrative Agent in its discretion or upon instruction by the Required Lenders. Each day upon or as of which the Administrative Agent determines amounts as described in the preceding clauses (a) and (b) is herein described as a “Computation Date” with respect to each Borrowing for which the amount is determined on or as of such day. If at any time the amount of the Aggregate Revolving Exposures exceeds the Aggregate Revolving Commitments, the Borrower shall immediately make a payment on the Loans or Cash Collateralize LC Obligations in an account with the Administrative Agent pursuant to Section 2.19(k) sufficient to eliminate such excess. The Aggregate Revolving Exposure and all other unpaid Obligations under this Agreement and the other Loan Documents shall be paid in full by the Borrower on the Facility Termination Date.</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2.3. </w:t>
      </w:r>
      <w:r>
        <w:rPr>
          <w:rFonts w:ascii="Times New Roman;sans-serif" w:hAnsi="Times New Roman;sans-serif"/>
          <w:b w:val="false"/>
          <w:color w:val="000000"/>
          <w:sz w:val="24"/>
          <w:u w:val="single"/>
        </w:rPr>
        <w:t>Ratable Loans</w:t>
      </w:r>
      <w:r>
        <w:rPr>
          <w:rFonts w:ascii="Times New Roman;sans-serif" w:hAnsi="Times New Roman;sans-serif"/>
          <w:b w:val="false"/>
          <w:color w:val="000000"/>
          <w:sz w:val="24"/>
        </w:rPr>
        <w:t xml:space="preserve">; Types of Borrowings. Each Borrowing hereunder (other than any Swing Line Loan) shall consist of Revolving Loans made from the several Lenders ratably according to their Pro Rata Shares. The Borrowings may be Base Rate Borrowings, SOFR Borrowings, or a combination thereof, selected by the Borrower in accordance with Sections 2.8 and 2.9, or Swing Line Loans selected by the Borrower in accordance with Section 2.4.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2.4. </w:t>
      </w:r>
      <w:r>
        <w:rPr>
          <w:rFonts w:ascii="Times New Roman;sans-serif" w:hAnsi="Times New Roman;sans-serif"/>
          <w:b w:val="false"/>
          <w:color w:val="000000"/>
          <w:sz w:val="24"/>
          <w:u w:val="single"/>
        </w:rPr>
        <w:t>Swing Line Loans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Amount of Swing Line Loans; Interest Rate</w:t>
      </w:r>
      <w:r>
        <w:rPr>
          <w:rFonts w:ascii="Times New Roman;sans-serif" w:hAnsi="Times New Roman;sans-serif"/>
          <w:b w:val="false"/>
          <w:color w:val="000000"/>
          <w:sz w:val="24"/>
        </w:rPr>
        <w:t xml:space="preserve">. Upon the satisfaction of the conditions precedent set forth in Section 4.2 and, if such Swing Line Loan is to be made on the date of the initial Borrowing hereunder, the satisfaction of the conditions precedent set forth in Section 4.1 as well, from and including the date of this Agreement and prior to the Facility Termination Date, the Swing Line Lender may, at its option, on the terms and conditions set forth in this Agreement, make Swing Line Loans in Dollars to the Borrower from time to time in an aggregate principal amount not to exceed the Swing Line Sublimit,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Aggregate Revolving Exposure shall not at any time exceed the Aggregate Revolving Commitment, and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i/>
          <w:color w:val="000000"/>
          <w:sz w:val="24"/>
        </w:rPr>
        <w:t>further</w:t>
      </w:r>
      <w:r>
        <w:rPr>
          <w:color w:val="000000"/>
        </w:rPr>
        <w:t xml:space="preserve"> </w:t>
      </w:r>
      <w:r>
        <w:rPr>
          <w:rFonts w:ascii="Times New Roman;sans-serif" w:hAnsi="Times New Roman;sans-serif"/>
          <w:b w:val="false"/>
          <w:color w:val="000000"/>
          <w:sz w:val="24"/>
        </w:rPr>
        <w:t xml:space="preserve">that at no time shall the sum of (i) the Swing Line Loans,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 the outstanding Revolving Loans made by the Swing Line Lender pursuant to Section 2.1,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(iii) the Swing Line Lender’s Pro Rata Share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 Swing Line Loans shall accrue interest at the Base Rate and shall be subject to the other conditions and limitations set forth in this Article II.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75260"/>
                <wp:effectExtent l="0" t="0" r="0" b="0"/>
                <wp:wrapNone/>
                <wp:docPr id="78" name="Frame7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Borrowing Notice</w:t>
      </w:r>
      <w:r>
        <w:rPr>
          <w:rFonts w:ascii="Times New Roman;sans-serif" w:hAnsi="Times New Roman;sans-serif"/>
          <w:b w:val="false"/>
          <w:color w:val="000000"/>
          <w:sz w:val="24"/>
        </w:rPr>
        <w:t>. In order to borrow a Swing Line Loan, the Borrower shall deliver to the Administrative Agent and the Swing Line Lender irrevocable notice (a “</w:t>
      </w:r>
      <w:r>
        <w:rPr>
          <w:rFonts w:ascii="Times New Roman;sans-serif" w:hAnsi="Times New Roman;sans-serif"/>
          <w:b w:val="false"/>
          <w:color w:val="000000"/>
          <w:sz w:val="24"/>
          <w:u w:val="single"/>
        </w:rPr>
        <w:t>Swing Line Borrowing Notice</w:t>
      </w:r>
      <w:r>
        <w:rPr>
          <w:color w:val="000000"/>
        </w:rPr>
        <w:t>”</w:t>
      </w:r>
      <w:r>
        <w:rPr>
          <w:rFonts w:ascii="Times New Roman;sans-serif" w:hAnsi="Times New Roman;sans-serif"/>
          <w:b w:val="false"/>
          <w:color w:val="000000"/>
          <w:sz w:val="24"/>
        </w:rPr>
        <w:t>) not later than noon (Pacific Standard Time) on the Borrowing Date of each Swing Line Loan, specifying (i) the applicable Borrowing Date (which date shall be a Business Day), and (ii) the aggregate amount of the requested Swing Line Loan.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Making of Swing Line Loans; Participations</w:t>
      </w:r>
      <w:r>
        <w:rPr>
          <w:rFonts w:ascii="Times New Roman;sans-serif" w:hAnsi="Times New Roman;sans-serif"/>
          <w:b w:val="false"/>
          <w:color w:val="000000"/>
          <w:sz w:val="24"/>
        </w:rPr>
        <w:t>. Not later than 2:00 p.m. (Pacific Standard Time) on the applicable Borrowing Date, the Swing Line Lender shall make available the Swing Line Loan, in funds immediately available, to the Administrative Agent at its address specified pursuant to Article XIII. The Administrative Agent will promptly make the funds so received from the Swing Line Lender available to the Borrower on the Borrowing Date at the Administrative Agent’s aforesaid address. Each Swing Line Loan shall be refinanced into a Revolving Loan within 10 Business Days and, upon such refinance,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Revolving Loan in proportion to its Pro Rata Share. Swing Line Loans may not be refinanced by the Swing Line Lender into other Swing Line Loans.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Repayment of Swing Line Loans</w:t>
      </w:r>
      <w:r>
        <w:rPr>
          <w:rFonts w:ascii="Times New Roman;sans-serif" w:hAnsi="Times New Roman;sans-serif"/>
          <w:b w:val="false"/>
          <w:color w:val="000000"/>
          <w:sz w:val="24"/>
        </w:rPr>
        <w:t xml:space="preserve">. Each Swing Line Loan (including, without limitation, any interest accrued and unpaid thereon) shall be paid in full by the Borrower on the date selected by the Administrative Agent. In addition, the Swing Line Lender may at any time in its sole discretion with respect to any outstanding Swing Line Loan, require each Lender to fund the participation acquired by such Lender pursuant to Section 2.4(c) or require each Lender (including the Swing Line Lender) to make a Revolving Loan in the amount of such Lender’s Pro Rata Share of such Swing Line Loan (including, without limitation, any interest accrued and unpaid thereon), for the purpose of repaying such Swing Line Loan. Not later than 1:00 p.m. (Pacific Standard Time) on the date of any notice received pursuant to this Section 2.4(d), each Lender shall make available its required Revolving Loan, in funds immediately available to the Administrative Agent at its address specified pursuant to Article XIII. Unless a Lender shall have notified the Swing Line Lender, prior to the Swing Line Lender’s making any Swing Line Loan, that any applicable condition precedent set forth in Sections 4.1 or 4.2 had not then been satisfied, such Lender’s obligation to make Revolving Loans pursuant to this Section 2.4(d) to repay Swing Line Loans or to fund the participation acquired pursuant to Section 2.4(c) shall be unconditional, continuing, irrevocable and absolute and shall not be affected by any circumstances, including, without limitation, (a) any set-off, counterclaim, recoupment, defense or other right which such Lender may have against the Borrower, the Administrative Agent, the Swing Line Lender or any other Person, (b) the occurrence or continuance of a 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2.4(d),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75260"/>
                <wp:effectExtent l="0" t="0" r="0" b="0"/>
                <wp:wrapNone/>
                <wp:docPr id="79" name="Frame7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receives such payment from such Lender or such obligation is otherwise fully satisfied. On the Facility Termination Date, the Borrower shall repay in full the outstanding principal balance of the Swing Line Loans, including any accrued and unpaid interest thereon.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2.5. </w:t>
      </w:r>
      <w:r>
        <w:rPr>
          <w:rFonts w:ascii="Times New Roman;sans-serif" w:hAnsi="Times New Roman;sans-serif"/>
          <w:b w:val="false"/>
          <w:color w:val="000000"/>
          <w:sz w:val="24"/>
          <w:u w:val="single"/>
        </w:rPr>
        <w:t xml:space="preserve">Other Fees. Reserved.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2.6. </w:t>
      </w:r>
      <w:r>
        <w:rPr>
          <w:rFonts w:ascii="Times New Roman;sans-serif" w:hAnsi="Times New Roman;sans-serif"/>
          <w:b w:val="false"/>
          <w:color w:val="000000"/>
          <w:sz w:val="24"/>
          <w:u w:val="single"/>
        </w:rPr>
        <w:t>Minimum Amount of Each SOFR Borrowing.</w:t>
      </w:r>
      <w:r>
        <w:rPr>
          <w:color w:val="000000"/>
        </w:rPr>
        <w:t xml:space="preserve"> </w:t>
      </w:r>
      <w:r>
        <w:rPr>
          <w:rFonts w:ascii="Times New Roman;sans-serif" w:hAnsi="Times New Roman;sans-serif"/>
          <w:b w:val="false"/>
          <w:color w:val="000000"/>
          <w:sz w:val="24"/>
        </w:rPr>
        <w:t xml:space="preserve">Each SOFR Borrowing shall be in the minimum amount of $500,000;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SOFR Borrowing may be in the amount of the Available Aggregate Revolving Commitment.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2.7. </w:t>
      </w:r>
      <w:r>
        <w:rPr>
          <w:rFonts w:ascii="Times New Roman;sans-serif" w:hAnsi="Times New Roman;sans-serif"/>
          <w:b w:val="false"/>
          <w:color w:val="000000"/>
          <w:sz w:val="24"/>
          <w:u w:val="single"/>
        </w:rPr>
        <w:t>Optional Principal Payments.</w:t>
      </w:r>
      <w:r>
        <w:rPr>
          <w:color w:val="000000"/>
        </w:rPr>
        <w:t xml:space="preserve"> </w:t>
      </w:r>
      <w:r>
        <w:rPr>
          <w:rFonts w:ascii="Times New Roman;sans-serif" w:hAnsi="Times New Roman;sans-serif"/>
          <w:b w:val="false"/>
          <w:color w:val="000000"/>
          <w:sz w:val="24"/>
        </w:rPr>
        <w:t xml:space="preserve">The Borrower may from time to time pay, without penalty or premium, all outstanding Base Rate Borrowings (other than Swing Line Loans), or, in a minimum aggregate amount of $100,000 and incremental amounts in integral multiples of $100,000 (or the aggregate amount of the outstanding Revolving Loans at such time), any portion of the aggregate outstanding Base Rate Borrowings (other than Swing Line Loans) upon same day notice by 10:00 a.m. (Pacific Standard Time) to the Administrative Agent. The Borrower may at any time pay, without penalty or premium, all outstanding Swing Line Loans, or any portion of the outstanding Swing Line Loans, with notice to the Administrative Agent and the Swing Line Lender by 10:00 a.m. (Pacific Standard Time) on the date of repayment. The Borrower may from time to time pay, without penalty or premium, all outstanding SOFR Loans (other than Swing Line Loans), or, in a minimum aggregate amount of $100,000 and incremental amounts in integral multiples of $100,000 (or the aggregate amount of the outstanding SOFR Loans at such time), any portion of the aggregate outstanding SOFR Loans (other than Swing Line Loans) upon same day notice by 10:00 a.m. (Pacific Standard Time) to the Administrative Agent. </w:t>
      </w:r>
    </w:p>
    <w:p>
      <w:pPr>
        <w:pStyle w:val="TextBody"/>
        <w:spacing w:before="0" w:after="0"/>
        <w:ind w:left="0" w:right="0" w:hanging="36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2.8. </w:t>
      </w:r>
      <w:r>
        <w:rPr>
          <w:rFonts w:ascii="Times New Roman;sans-serif" w:hAnsi="Times New Roman;sans-serif"/>
          <w:b w:val="false"/>
          <w:color w:val="000000"/>
          <w:sz w:val="24"/>
          <w:u w:val="single"/>
        </w:rPr>
        <w:t>Method of Selecting Types and Interest Periods for New Revolving Borrowings</w:t>
      </w:r>
      <w:r>
        <w:rPr>
          <w:rFonts w:ascii="Times New Roman;sans-serif" w:hAnsi="Times New Roman;sans-serif"/>
          <w:b w:val="false"/>
          <w:color w:val="000000"/>
          <w:sz w:val="24"/>
        </w:rPr>
        <w:t>. The Borrower shall select the Type of Borrowing applicable thereto from time to time. The Borrower shall give the Administrative Agent irrevocable notice in the form of Exhibit D (a “Borrowing Notice”) not later than 10:00 a.m. (Pacific Standard Time) on the Borrowing Date of each Base Rate Revolving Borrowing (other than a Swing Line Loan) and each SOFR Loan: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Borrowing Date, which shall be a Business Day, of such Borrowing,</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aggregate amount of such Borrowing, and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Type of Borrowing selected.</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 later than 1:00 p.m. (Pacific Standard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Borrower at the Administrative Agent’s aforesaid address.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80"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2.9. </w:t>
      </w:r>
      <w:r>
        <w:rPr>
          <w:rFonts w:ascii="Times New Roman;sans-serif" w:hAnsi="Times New Roman;sans-serif"/>
          <w:b w:val="false"/>
          <w:color w:val="000000"/>
          <w:sz w:val="24"/>
          <w:u w:val="single"/>
        </w:rPr>
        <w:t>Conversion and Continuation of Outstanding Borrowings; Maximum Number of Interest Periods</w:t>
      </w:r>
      <w:r>
        <w:rPr>
          <w:rFonts w:ascii="Times New Roman;sans-serif" w:hAnsi="Times New Roman;sans-serif"/>
          <w:b w:val="false"/>
          <w:color w:val="000000"/>
          <w:sz w:val="24"/>
        </w:rPr>
        <w:t>. Base Rate Borrowings and SOFR Borrowings shall continue as Base Rate Borrowings and SOFR Borrowings, respectively, unless and until such Borrowings are converted pursuant to this Section 2.9 or are repaid in accordance with Section 2.7. Subject to the terms of Section 2.6, the Borrower may elect from time to time to convert all or any part of a Base Rate Borrowing into a SOFR Borrowing or a SOFR Borrowing into a Base Rate Borrowing. The Borrower shall give the Administrative Agent irrevocable notice in the form of Exhibit D-2 (a “Conversion Notice”) of each conversion of a Base Rate Borrowing into a SOFR Borrowing or conversion of a SOFR Borrowing to a Base Rate Borrowing not later than 10:00 a.m. (Pacific Standard Time) at least two (2) Business Days prior to the date of the requested conversion or continuation, specifying:</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requested date, which shall be a Business Day, of such conversion,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Type of the Borrowing which is to be converted, and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amount of such Borrowing which is to be converted.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any Lender may exchange, continue or roll 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2.10. </w:t>
      </w:r>
      <w:r>
        <w:rPr>
          <w:rFonts w:ascii="Times New Roman;sans-serif" w:hAnsi="Times New Roman;sans-serif"/>
          <w:b w:val="false"/>
          <w:color w:val="000000"/>
          <w:sz w:val="24"/>
          <w:u w:val="single"/>
        </w:rPr>
        <w:t>Interest Rates.</w:t>
      </w:r>
      <w:r>
        <w:rPr>
          <w:color w:val="000000"/>
        </w:rPr>
        <w:t xml:space="preserve"> </w:t>
      </w:r>
      <w:r>
        <w:rPr>
          <w:rFonts w:ascii="Times New Roman;sans-serif" w:hAnsi="Times New Roman;sans-serif"/>
          <w:b w:val="false"/>
          <w:color w:val="000000"/>
          <w:sz w:val="24"/>
        </w:rPr>
        <w:t>Each Base Rate Loan shall bear interest on the outstanding principal amount thereof, for each day from the date such Loan is made or is automatically converted into a Base Rate Loan pursuant to Section 2.9, to the date it is paid or is converted into a SOFR Loan pursuant to Section 2.9, at a rate per annum equal to the Base Rate for such day. Each Swingline Loan shall bear interest on the outstanding principal amount thereof, for each day from the day such Swingline Loan is made to the date it is paid, at a rate per annum equal to the Base Rate for such day. Changes in the rate of interest on each Base Rate Borrowing will take effect simultaneously with each change in the Alternate Base Rate. Each SOFR Loan shall bear interest on the outstanding principal amount thereof from the day such SOFR Loan is made to the date it is paid at the interest rate determined by the Administrative Agent as applicable to such SOFR Loan based upon the Borrower’s selections under Sections 2.8 and 2.9 and the Applicable Margin.</w:t>
      </w:r>
    </w:p>
    <w:p>
      <w:pPr>
        <w:pStyle w:val="TextBody"/>
        <w:spacing w:before="0" w:after="0"/>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2.11. </w:t>
      </w:r>
      <w:r>
        <w:rPr>
          <w:rFonts w:ascii="Times New Roman;sans-serif" w:hAnsi="Times New Roman;sans-serif"/>
          <w:b w:val="false"/>
          <w:color w:val="000000"/>
          <w:sz w:val="24"/>
          <w:u w:val="single"/>
        </w:rPr>
        <w:t>Rates Applicable After Event of Default.</w:t>
      </w:r>
      <w:r>
        <w:rPr>
          <w:color w:val="000000"/>
        </w:rPr>
        <w:t xml:space="preserve"> </w:t>
      </w:r>
      <w:r>
        <w:rPr>
          <w:rFonts w:ascii="Times New Roman;sans-serif" w:hAnsi="Times New Roman;sans-serif"/>
          <w:b w:val="false"/>
          <w:color w:val="000000"/>
          <w:sz w:val="24"/>
        </w:rPr>
        <w:t xml:space="preserve">Notwithstanding anything to the contrary contained in Sections 2.8, 2.9, or 2.10, during the continuance of a Default or Event of Default the Required Lenders may, at their option, by notice from the Administrative Agent to the Borrower (which notice may be revoked at the option of the Required Lenders notwithstanding any provision of Section 8.3 requiring unanimous consent of the Lenders to changes in interest rates), declare that no Borrowing may be made as, converted into or continued as a SOFR Borrowing. During the continuance of an Event of Default the Required Lenders may, at their option, by notice from the Administrative Agent to the Borrower (which notice may be revoked at the option of the </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75260"/>
                <wp:effectExtent l="0" t="0" r="0" b="0"/>
                <wp:wrapNone/>
                <wp:docPr id="81"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 xml:space="preserve">Required Lenders notwithstanding any provision of Section 8.3 requiring unanimous consent of the Lenders to changes in interest rates), declare that (i) each SOFR Borrowing shall bear interest at the rate otherwise applicable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2.00% per annum, (ii) each Base Rate Borrowing shall bear interest at a rate per annum equal to the Base Rate in effect from time to time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2.00% per annum, and (ii) the LC Fee shall be increased by 2.00% per annum, provided that, during the continuance of an Event of Default under Sections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waived, the interest rate applicable to Borrowings and the LC Fee shall revert to the rates applicable prior to the occurrence of an Event of Default.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2.12. </w:t>
      </w:r>
      <w:r>
        <w:rPr>
          <w:rFonts w:ascii="Times New Roman;sans-serif" w:hAnsi="Times New Roman;sans-serif"/>
          <w:b w:val="false"/>
          <w:color w:val="000000"/>
          <w:sz w:val="24"/>
          <w:u w:val="single"/>
        </w:rPr>
        <w:t>Method of Payment</w:t>
      </w:r>
      <w:r>
        <w:rPr>
          <w:rFonts w:ascii="Times New Roman;sans-serif" w:hAnsi="Times New Roman;sans-serif"/>
          <w:b w:val="false"/>
          <w:color w:val="000000"/>
          <w:sz w:val="24"/>
        </w:rPr>
        <w:t>.</w: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a.Each Loan shall be repaid, and each payment of interest thereon shall be paid, in the currency in which such Loan was made. All payments of the Obligations under this Agreement and the other Loan Documents shall be made, without setoff, deduction, or counterclaim, in immediately available funds to the Administrative Agent at its address specified pursuant to Article XIII, or at any other address specified in writing by the Administrative Agent to the Borrower, by noon (Pacific Standard time) on the date when due and shall (except (i) with respect to repayments of Swingline Loans, (ii) in the case of Reimbursement Obligations for which the Issuing Banks have not been fully indemnified by the Revolving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The Administrative Agent is hereby authorized to charge the account of the Borrower maintained with U.S. Bank for each payment of principal, interest, Reimbursement Obligations and fees as it becomes due hereunder. Each reference to the Administrative Agent in this Section 2.12(a) shall also be deemed to refer, and shall apply equally, to the Issuing Banks, in the case of payments required to be made by the Borrower to the Issuing Banks pursuant to Section 2.19(f).</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Borrower hereby unconditionally promises to pay to the Administrative Agent for the account of each Lender the then unpaid principal amount of each Revolving Loan on the Facility Termination Date.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2.13. </w:t>
      </w:r>
      <w:r>
        <w:rPr>
          <w:rFonts w:ascii="Times New Roman;sans-serif" w:hAnsi="Times New Roman;sans-serif"/>
          <w:b w:val="false"/>
          <w:color w:val="000000"/>
          <w:sz w:val="24"/>
          <w:u w:val="single"/>
        </w:rPr>
        <w:t>Noteless Agreement; Evidence of Indebtedness</w:t>
      </w:r>
      <w:r>
        <w:rPr>
          <w:rFonts w:ascii="Times New Roman;sans-serif" w:hAnsi="Times New Roman;sans-serif"/>
          <w:b w:val="false"/>
          <w:color w:val="000000"/>
          <w:sz w:val="24"/>
        </w:rPr>
        <w:t>.</w: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Administrative Agent shall also maintain accounts in which it will record (i) the amount of each Loan made hereunder and Type thereof and the Interest Period with respect thereto, (ii) the amount of any principal or interest due and payable or to become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due and payable from the Borrower to each Lender hereunder, (iii) the original stated amount of each Facility LC and the amount of LC Obligations outstanding at any time, and (iv) the amount of any sum received by the Administrative Agent hereunder from the Borrower and each Lender’s share thereof.</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entries maintained in the accounts maintained pursuant to paragraphs (a) and (b) above shall be prima facie evidence of the existence and amounts of the Obligations therein recorded; provided, however, that the failure of the Administrative Agent or any Lender to maintain such accounts or any error therein shall not in any manner affect the obligation of the Borrower to repay the Obligations in accordance with their terms.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d.Upon written request of a Lender, such Lender’s Loans (including the Swing Line Lender) will be evidenced by a promissory note representing its Revolving Loans, and Swing Line Loans, respectively, substantially in the form of Exhibit E (with appropriate changes for notes evidencing Swing Line Loans) (each a “Note”). In such event, the Borrower shall prepare, execute and deliver to each Lender such Note or Notes payable to the order of such Lender in a form supplied by the Administrative Agent. The Loans evidenced by such Notes and interest thereon shall at all times (prior to any assignment pursuant to Section 12.3) be represented by one or more Notes payable to the order of the payee named therein, except to the extent that any such Lender subsequently returns any such Note for cancellation and requests that such Loans once again be evidenced as described in clauses (b) (i) and (ii) above.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2.14. </w:t>
      </w:r>
      <w:r>
        <w:rPr>
          <w:rFonts w:ascii="Times New Roman;sans-serif" w:hAnsi="Times New Roman;sans-serif"/>
          <w:b w:val="false"/>
          <w:color w:val="000000"/>
          <w:sz w:val="24"/>
          <w:u w:val="single"/>
        </w:rPr>
        <w:t>Telephonic Notices</w:t>
      </w:r>
      <w:r>
        <w:rPr>
          <w:rFonts w:ascii="Times New Roman;sans-serif" w:hAnsi="Times New Roman;sans-serif"/>
          <w:b w:val="false"/>
          <w:color w:val="000000"/>
          <w:sz w:val="24"/>
        </w:rPr>
        <w:t>. The Borrower hereby authorizes the Lenders and the Administrative Agent to extend, convert or continue Borrowings, effect selections of Agreed Currencies and Types of Borrowings and to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include e-mail)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 The parties agree to prepare appropriate documentation to correct any such error within ten (10) days after discovery by any party to this Agreement.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2.15. </w:t>
      </w:r>
      <w:r>
        <w:rPr>
          <w:rFonts w:ascii="Times New Roman;sans-serif" w:hAnsi="Times New Roman;sans-serif"/>
          <w:b w:val="false"/>
          <w:color w:val="000000"/>
          <w:sz w:val="24"/>
          <w:u w:val="single"/>
        </w:rPr>
        <w:t>Interest Payment Dates; Interest and Fee Basis</w:t>
      </w:r>
      <w:r>
        <w:rPr>
          <w:rFonts w:ascii="Times New Roman;sans-serif" w:hAnsi="Times New Roman;sans-serif"/>
          <w:b w:val="false"/>
          <w:color w:val="000000"/>
          <w:sz w:val="24"/>
        </w:rPr>
        <w:t xml:space="preserve">. Interest accrued on each Base Rate Loan and each Swingline Loan shall be payable on each Payment Date, commencing with the first Payment Date to occur after the Closing Date, on the date of any prepayment of such Loan (whether or not as a result of acceleration) on the amount prepaid, and on the Facility Termination Date. Interest accrued on each SOFR Loan shall be payable on each Interest Payment Date, commencing with the first such Interest Payment Date to occur after the Closing Date, on the date of any prepayment of such Loan (whether or not as a result of acceleration) on the amount prepaid, and on the Facility Termination Date. Interest accrued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Section 2.11 is payable on demand. Interest and fees hereunder shall be calculated for actual days elapsed on the basis of a 360-day year, except that interest computed by reference to the Alternate Base Rate shall be calculated for actual days elapsed on the basis of a 365/366-day year. All interest hereunder on any Loan shall be computed on a daily basis based upon the outstanding principal amount of such Loan as of the applicable date of determination. Interest shall be payable for the day a Loan is made but not for the day of any payment on the amount paid if payment is received before noon (Pacific Standard time). If any payment of principal of or interest on a Loan becomes due on a day that is not a Business Day, such payment shall be made on the immediately succeeding Business Day unless such succeeding Business Day falls in a new calendar month, in which case such interest or principal shall be payable on the immediately preceding Business Day.</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2.16. </w:t>
      </w:r>
      <w:r>
        <w:rPr>
          <w:rFonts w:ascii="Times New Roman;sans-serif" w:hAnsi="Times New Roman;sans-serif"/>
          <w:b w:val="false"/>
          <w:color w:val="000000"/>
          <w:sz w:val="24"/>
          <w:u w:val="single"/>
        </w:rPr>
        <w:t>Notification of Borrowings, Interest Rates, Prepayments and Revolving Commitment Reductions</w:t>
      </w:r>
      <w:r>
        <w:rPr>
          <w:rFonts w:ascii="Times New Roman;sans-serif" w:hAnsi="Times New Roman;sans-serif"/>
          <w:b w:val="false"/>
          <w:color w:val="000000"/>
          <w:sz w:val="24"/>
        </w:rPr>
        <w:t>. Promptly after receipt thereof, the Administrative Agent will notify each Lender of the contents of each Borrowing Notice, Swing Line Borrowing Notice, Conversion/Continuation Notice, and repayment notice received by it hereunder. Promptly after notice from the LC Issuer, the Administrative Agent will notify each Lender of the contents of each request for issuance of a Facility LC hereunder. The Administrative Agent will notify each Lender of the interest rate applicable to each SOFR Borrowing promptly upon determination of such interest rate and will give each Lender prompt notice of each change in the Alternate Base Rate.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2.17. </w:t>
      </w:r>
      <w:r>
        <w:rPr>
          <w:rFonts w:ascii="Times New Roman;sans-serif" w:hAnsi="Times New Roman;sans-serif"/>
          <w:b w:val="false"/>
          <w:color w:val="000000"/>
          <w:sz w:val="24"/>
          <w:u w:val="single"/>
        </w:rPr>
        <w:t>Lending Installations</w:t>
      </w:r>
      <w:r>
        <w:rPr>
          <w:rFonts w:ascii="Times New Roman;sans-serif" w:hAnsi="Times New Roman;sans-serif"/>
          <w:b w:val="false"/>
          <w:color w:val="000000"/>
          <w:sz w:val="24"/>
        </w:rPr>
        <w:t>. Each Lender may book its Borrowings and its participation in any LC Obligations and the LC Issuer may book the Facility LCs at any Lending Installation selected by such Lender or the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LC Issuer, as the case may be, for the benefit of any such Lending Installation. Each Lender and the LC Issuer may, by written notice to the Administrative Agent and the Borrower in accordance with Article XIII, designate replacement or additional Lending Installations through which Loans will be made by it or Facility LCs will be issued by it and for whose account Loan payments or payments with respect to Facility LCs are to be made.</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2.18. </w:t>
      </w:r>
      <w:r>
        <w:rPr>
          <w:rFonts w:ascii="Times New Roman;sans-serif" w:hAnsi="Times New Roman;sans-serif"/>
          <w:b w:val="false"/>
          <w:color w:val="000000"/>
          <w:sz w:val="24"/>
          <w:u w:val="single"/>
        </w:rPr>
        <w:t>Non-Receipt of Funds by the Administrative Agent</w:t>
      </w:r>
      <w:r>
        <w:rPr>
          <w:rFonts w:ascii="Times New Roman;sans-serif" w:hAnsi="Times New Roman;sans-serif"/>
          <w:b w:val="false"/>
          <w:color w:val="000000"/>
          <w:sz w:val="24"/>
        </w:rPr>
        <w:t xml:space="preserve">.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the Federal Funds Effective Rate and a rate determined by the Administrative Agent in accordance with banking industry rules on interbank compensation or (y) in the case of payment by the Borrower, the interest rate applicable to the relevant Loan.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2.19. </w:t>
      </w:r>
      <w:r>
        <w:rPr>
          <w:rFonts w:ascii="Times New Roman;sans-serif" w:hAnsi="Times New Roman;sans-serif"/>
          <w:b w:val="false"/>
          <w:color w:val="000000"/>
          <w:sz w:val="24"/>
          <w:u w:val="single"/>
        </w:rPr>
        <w:t>Facility LCs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Issuance</w:t>
      </w:r>
      <w:r>
        <w:rPr>
          <w:rFonts w:ascii="Times New Roman;sans-serif" w:hAnsi="Times New Roman;sans-serif"/>
          <w:b w:val="false"/>
          <w:color w:val="000000"/>
          <w:sz w:val="24"/>
        </w:rPr>
        <w:t>. The LC Issuer hereby agrees, on the terms and conditions set forth in this Agreement, to issue standby Letters of Credit denominated in Dollars or other Agreed Currencies (each, a “Facility LC”) and to renew, extend, increase, decrease or otherwise modify each Facility LC (“Modify,” and each such action a “Modification”), from time to time from and including the date of this Agreement and prior to the Facility Termination Date upon the request of the Borrower; provided that immediately after each such Facility LC is issued or Modified, (i) the aggregate amount of the outstanding LC Obligations shall not exceed $4,500,000, (ii) the aggregate amount of the Revolving Exposures shall not exceed the aggregate Revolving Commitments, and (iii) the Aggregate Revolving Exposure shall not exceed the Aggregate Revolving Commitment. No Facility LC shall have an expiry date later than the earlier to occur of (x) the fifth Business Day prior to the Facility Termination Date and (y) one (1) year after its issuance.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Upon the issuance or Modification by the LC Issuer of a Facility LC, the LC Issuer shall be deemed, without further action by any party hereto, to have unconditionally and irrevocably sold to each Lender, and each Lender shall be deemed, without further action by any party hereto, to have unconditionally and irrevocably purchased from the LC Issuer, a participation in such Facility LC (and each Modification thereof) and the related LC Obligations in proportion to its Pro Rata Share.</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Subject to Section 2.19(a), the Borrower shall give the Administrative Agent notice prior to noon (Pacific Standard Time) at least three (3) Business Days prior to the proposed date of issuance or Modification of each Facility LC, specifying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LC Issuer and each Lender of the contents thereof and of the amount of such Lender’s participation in such proposed Facility LC. The issuance or Modification by the LC Issuer of any Facility LC shall, in addition to the conditions precedent set forth in Article IV, be subject to the conditions precedent that such Facility LC shall be satisfactory to the LC Issuer and that the Borrower shall have executed and delivered such application agreement and/or such other instruments and agreements relating to such Facility LC as the LC Issuer shall have reasonably requested (each, a “Facility LC Application”). The LC Issuer shall have no independent duty to ascertain whether the conditions set forth in Article IV have been satisfied;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LC Issuer shall not issue a Facility LC if, on or before the proposed date of issuance, the LC Issuer shall have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LC Fees</w:t>
      </w:r>
      <w:r>
        <w:rPr>
          <w:rFonts w:ascii="Times New Roman;sans-serif" w:hAnsi="Times New Roman;sans-serif"/>
          <w:b w:val="false"/>
          <w:color w:val="000000"/>
          <w:sz w:val="24"/>
        </w:rPr>
        <w:t>. The Borrower shall pay to the Administrative Agent, for the account of the Lenders ratably in accordance with their respective Pro Rata Shares, with respect to each Facility LC, a letter of credit fee at a per annum rate equal to the Applicable Margin for SOFR Loans in effect from time to time on the face amount of such Facility LC for the period from the date of issuance to the scheduled expiration date of such Facility LC, such fee to be payable in arrears on each Payment Date (the “LC Fee”). The Borrower shall also pay to the LC Issuer for its own account (x) a fronting fee in an amount equal to 0.125% per annum of the average daily undrawn stated amount under such Facility LC, such fee payable in arrears on each Payment Date and (y) on demand, all amendment, drawing and other fees regularly charged by the LC Issuer to its letter of credit customers and all out-of-pocket expenses incurred by the LC Issuer in connection with the issuance, Modification, administration or payment of any Facility LC.</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Administration; Reimbursement by Lenders</w:t>
      </w:r>
      <w:r>
        <w:rPr>
          <w:rFonts w:ascii="Times New Roman;sans-serif" w:hAnsi="Times New Roman;sans-serif"/>
          <w:b w:val="false"/>
          <w:color w:val="000000"/>
          <w:sz w:val="24"/>
        </w:rPr>
        <w:t xml:space="preserve">. Upon receipt of any demand for payment under any Facility LC from the beneficiary of such Facility LC, the LC Issuer shall notify the Administrative Agent and the Administrative Agent shall promptly notify the Borrower and each other Lender as to the amount to be paid by the LC Issuer as a result of such demand and the proposed payment date (the “LC Payment Date”). The responsibility of the LC Issuer to the Borrower and each Lender shall be only to determine that the documents (including each demand for payment) delivered under each Facility LC in connection with such presentment shall be in conformity in all material respects with such Facility LC. The LC Issuer shall endeavor to exercise the same care in the issuance and administration of the Facility LCs as it does with respect to letters of credit in which no participations are granted, it being understood that in the absence of any gross negligence, bad faith or willful misconduct by the LC Issuer, </w:t>
      </w:r>
      <w:r>
        <w:rPr>
          <w:rFonts w:ascii="Times New Roman;sans-serif" w:hAnsi="Times New Roman;sans-serif"/>
          <w:b w:val="false"/>
          <w:color w:val="000000"/>
          <w:sz w:val="24"/>
          <w:u w:val="single"/>
        </w:rPr>
        <w:t>each</w:t>
      </w:r>
      <w:r>
        <w:rPr>
          <w:color w:val="000000"/>
        </w:rPr>
        <w:t xml:space="preserve"> </w:t>
      </w:r>
      <w:r>
        <w:rPr>
          <w:rFonts w:ascii="Times New Roman;sans-serif" w:hAnsi="Times New Roman;sans-serif"/>
          <w:b w:val="false"/>
          <w:color w:val="000000"/>
          <w:sz w:val="24"/>
        </w:rPr>
        <w:t xml:space="preserve">Lender shall be unconditionally and irrevocably liable without regard to the occurrence of any Event of Default or any condition precedent whatsoever, to reimburse the LC Issuer on demand for (i) such Lender’s Pro Rata Share of the amount of each payment made by the LC Issuer under each Facility LC to the extent such amount is not reimbursed by the Borrower pursuant to Section 2.19(f) below and there are not funds available in the Facility LC Collateral Account to cover the same,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(ii) interest on the foregoing amount to be reimbursed by such Lender, for each day from the date of the LC Issuer’s demand for such reimbursement (or, if such demand is made after 10:00 a.m. (Pacific Standard Time) on such date, from the next succeeding Business Day) to the date on which such Lender pays the amount to be reimbursed by it at the greater of the Federal Funds Effective Rate and a rate determined by the Administrative Agent in accordance with banking industry rules on interbank compensation.</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Reimbursement by Borrower</w:t>
      </w:r>
      <w:r>
        <w:rPr>
          <w:rFonts w:ascii="Times New Roman;sans-serif" w:hAnsi="Times New Roman;sans-serif"/>
          <w:b w:val="false"/>
          <w:color w:val="000000"/>
          <w:sz w:val="24"/>
        </w:rPr>
        <w:t xml:space="preserve">. The Borrower shall be irrevocably and unconditionally obligated to reimburse the LC Issuer on or before the applicable LC Payment Date for any amounts to be paid by the LC Issuer upon any drawing under any Facility LC, without presentment, demand, protest or other formalities of any kind;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 xml:space="preserve">neither the Borrower nor any Lender shall hereby be precluded from asserting any claim for direct (but not consequential) damages suffered by the Borrower or such Lender to the extent, but only to the extent, caused by (i) the willful misconduct, bad faith or gross negligence of the LC Issuer in determining whether a request presented under any Facility LC issued by it complied with the terms of such Facility LC or (ii) the LC Issuer’s failure to pay under any Facility LC issued by it after the presentation to it of a request strictly complying with the terms and conditions of such Facility LC. All such amounts paid by the LC Issuer and remaining unpaid by the Borrower shall bear interest, payable on demand, for each day until paid at a rate per annum equal </w:t>
      </w:r>
      <w:r>
        <w:rPr>
          <w:rFonts w:ascii="Times New Roman;sans-serif" w:hAnsi="Times New Roman;sans-serif"/>
          <w:b w:val="false"/>
          <w:color w:val="000000"/>
          <w:sz w:val="24"/>
          <w:u w:val="single"/>
        </w:rPr>
        <w:t>to</w:t>
      </w:r>
      <w:r>
        <w:rPr>
          <w:color w:val="000000"/>
        </w:rPr>
        <w:t xml:space="preserve"> </w:t>
      </w:r>
      <w:r>
        <w:rPr>
          <w:rFonts w:ascii="Times New Roman;sans-serif" w:hAnsi="Times New Roman;sans-serif"/>
          <w:b w:val="false"/>
          <w:color w:val="000000"/>
          <w:sz w:val="24"/>
        </w:rPr>
        <w:t xml:space="preserve">(x) the rate applicable to Base Rate Borrowings for such day if such day falls on or before the applicable LC Payment Date and (y) the sum of 2.00% per annum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the rate applicable to Base Rate Borrowings for such day if such day falls after such LC Payment Date. The LC Issuer will pay to each Lender ratably in accordance with its Pro Rata Share all amounts received by it from the Borrower for application in payment, in whole or in part, of the Reimbursement Obligation in respect of any Facility LC issued by the LC Issuer, but only to the extent such Lender has made payment to the LC Issuer in respect of such Facility LC pursuant to Section 2.19(e). Subject to the terms and conditions of this Agreement (including without limitation the submission of a Borrowing Notice in compliance with Section 2.8 and the satisfaction of the applicable conditions precedent set forth in Article IV), the Borrower may request an Borrowing hereunder for the purpose of satisfying any Reimbursement Obligation.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Obligations Absolute</w:t>
      </w:r>
      <w:r>
        <w:rPr>
          <w:rFonts w:ascii="Times New Roman;sans-serif" w:hAnsi="Times New Roman;sans-serif"/>
          <w:b w:val="false"/>
          <w:color w:val="000000"/>
          <w:sz w:val="24"/>
        </w:rPr>
        <w:t>. The Borrower’s obligations under this Section 2.19 shall be absolute and unconditional under any and all circumstances and irrespective of any setoff, counterclaim or defense to payment which the Borrower may have or have had against the LC Issuer, any Lender or any beneficiary of a Facility LC. The Borrower further agrees with the LC Issuer and the Lenders that the LC Issuer and the Lenders shall not be responsible for, and the Borrower’s Reimbursement Obligation in respect of any Facility LC shall not be affected by, among other things, the validity or genuineness of documents or of any endorsements thereon, even if such documents should in fact prove to be in any or all respects invalid, fraudulent or forged, or any dispute between or among the Borrower, any of its Affiliates, the beneficiary of any Facility LC or any financing institution or other party to whom any Facility LC may be transferred or any claims or defenses whatsoever of the Borrower or of any of its Affiliates against the beneficiary of any Facility LC or any such transferee. The LC Issuer shall not be liable for any error, omission, interruption or delay in transmission, dispatch or delivery of any message or advice, however transmitted, in connection with any Facility LC. The Borrower agrees that any action taken or omitted by the LC Issuer or any Lender under or in connection with each Facility LC and the related drafts and documents, if done without gross negligence, bad faith or willful misconduct, shall be binding upon the Borrower and shall not put the LC Issuer or any Lender under any liability to the Borrower. Nothing in this Section 2.19(g) is intended to limit the right of the Borrower to make a claim against the LC Issuer for damages as contemplated by the proviso to the first sentence of Section 2.19(f).</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u w:val="single"/>
        </w:rPr>
        <w:t>h.Actions of LC Issuer.</w:t>
      </w:r>
      <w:r>
        <w:rPr>
          <w:color w:val="000000"/>
        </w:rPr>
        <w:t xml:space="preserve"> </w:t>
      </w:r>
      <w:r>
        <w:rPr>
          <w:rFonts w:ascii="Times New Roman;sans-serif" w:hAnsi="Times New Roman;sans-serif"/>
          <w:b w:val="false"/>
          <w:color w:val="000000"/>
          <w:sz w:val="24"/>
        </w:rPr>
        <w:t xml:space="preserve">The LC Issuer shall be entitled to rely, and shall be fully protected in relying, upon any Facility LC, draft, writing, resolution, notice, consent, certificate, affidavit, letter, cablegram, telegram, facsimile, telex, teletype or electronic mail </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message, statement, order or other document believed by it to be genuine and correct and to have been signed, sent or made by the proper Person or Persons, and upon advice and statements of legal counsel, independent accountants and other experts selected by the LC Issuer. The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Notwithstanding any other provision of this Section 2.19, the LC Issuer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Borrower hereby agrees to indemnify and hold harmless each Lender, the LC Issuer and the Administrative Agent, and their respective directors, officers, agents and employees from and against any and all claims and damages, losses, liabilities, costs or expenses (including reasonable counsel fees and disbursements) which such Lender, the LC Issuer or the Administrative Agent may incur (or which may be claimed against such Lender, the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(including reasonable counsel fees and disbursements) which the LC Issuer may incur (i) by reason of or in connection with the failure of any other Lender to fulfill or comply with its obligations to the LC Issuer hereunder (but nothing herein contained shall affect any rights the Borrower may have against any Defaulting Lender) or (ii) by reason of or on account of the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the LC Issuer, evidencing the appointment of such successor Beneficiary; provided that the Borrower shall not be required to indemnify any Lender, the LC Issuer or the Administrative Agent for any claims, damages, losses, liabilities, costs or expenses to the extent, but only to the extent, caused by (x) the willful misconduct, bad faith or gross negligence of the LC Issuer in determining whether a request presented under any Facility LC complied with the terms of such Facility LC or (y) the LC Issuer’s failure to pay under any Facility LC after the presentation to it of a request strictly complying with the terms and conditions of such Facility LC. Nothing in this Section 2.19(i) is intended to limit the obligations of the Borrower under any other provision of this Agreement.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Lenders’ Indemnification</w:t>
      </w:r>
      <w:r>
        <w:rPr>
          <w:rFonts w:ascii="Times New Roman;sans-serif" w:hAnsi="Times New Roman;sans-serif"/>
          <w:b w:val="false"/>
          <w:color w:val="000000"/>
          <w:sz w:val="24"/>
        </w:rPr>
        <w:t xml:space="preserve">. Each Lender shall, ratably in accordance with its Pro Rata Share, indemnify the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the LC Issuer’s failure to pay under any Facility LC after the presentation to it of a request strictly complying with the terms and conditions of the Facility LC) that </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such indemnitees may suffer or incur in connection with this Section 2.19 or any action taken or omitted by such indemnitees hereunder.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Facility LC Collateral Account</w:t>
      </w:r>
      <w:r>
        <w:rPr>
          <w:rFonts w:ascii="Times New Roman;sans-serif" w:hAnsi="Times New Roman;sans-serif"/>
          <w:b w:val="false"/>
          <w:color w:val="000000"/>
          <w:sz w:val="24"/>
        </w:rPr>
        <w:t xml:space="preserve">. The Borrower agrees that it will, upon the request of the Administrative Agent or the Required Lenders after the occurrence and during the continuance of an Event of Default and until the final expiration date of any Facility LC and thereafter as long as any amount is payable to the LC Issuer or the Lenders in respect of any Facility LC, maintain a special collateral account pursuant to arrangements satisfactory to the Administrative Agent (the “Facility LC Collateral Account”), in the name of such Borrower but under the sole dominion and control of the Administrative Agent, for the benefit of the Lenders and in which such Borrower shall have no interest other than as set forth in Section 8.1. The Borrower hereby pledges, assigns and grants to the Administrative Agent, on behalf of and for the ratable benefit of the Lenders and the LC Issuer, a security interest in all of the Borrower’s right, title and interest in and to all funds which may from time to time be on deposit in the Facility LC Collateral Account to secure the prompt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complete payment and performance of the Obligations. The Administrative Agent will invest any funds on deposit from time to time in the Facility LC Collateral Account in certificates of deposit of U.S. Bank having a maturity not exceeding thirty (30) days. Nothing in this Section 2.19(k) shall either obligate the Administrative Agent to require the Borrower to deposit any funds in the Facility LC Collateral Account or limit the right of the Administrative Agent to release any funds held in the Facility LC Collateral Account in each case other than as required by Section 2.22 or Section 8.1.</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 In its capacity as a Lender, the LC Issuer shall have the same rights and obligations as any other Lender.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Separate Reimbursement Agreement</w:t>
      </w:r>
      <w:r>
        <w:rPr>
          <w:rFonts w:ascii="Times New Roman;sans-serif" w:hAnsi="Times New Roman;sans-serif"/>
          <w:b w:val="false"/>
          <w:color w:val="000000"/>
          <w:sz w:val="24"/>
        </w:rPr>
        <w:t>. In the event the LC Issuer enters into a separate reimbursement agreement with the Borrower covering the Facility LCs and the terms of such reimbursement agreement conflict with or contradict the terms of this Agreement, the terms of this Agreement shall control.</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2.20. </w:t>
      </w:r>
      <w:r>
        <w:rPr>
          <w:rFonts w:ascii="Times New Roman;sans-serif" w:hAnsi="Times New Roman;sans-serif"/>
          <w:b w:val="false"/>
          <w:color w:val="000000"/>
          <w:sz w:val="24"/>
          <w:u w:val="single"/>
        </w:rPr>
        <w:t>Replacement of Lender</w:t>
      </w:r>
      <w:r>
        <w:rPr>
          <w:rFonts w:ascii="Times New Roman;sans-serif" w:hAnsi="Times New Roman;sans-serif"/>
          <w:b w:val="false"/>
          <w:color w:val="000000"/>
          <w:sz w:val="24"/>
        </w:rPr>
        <w:t xml:space="preserve">. If the Borrower is required pursuant to Sections 3.1, 3.2 or 3.5 to make any additional payment to any Lender, or if any Lender defaults in its obligation to make a Loan, reimburse the LC Issuer pursuant to Section 2.19(e) or the Swing Line Lender pursuant to Section 2.4(d) or declines to approve an amendment or waiver that is approved by the Required Lenders or otherwise becomes a Defaulting Lender (any Lender so affected an “Affected Lender”), the Borrower may elect, if such amounts continue to be charged or such suspension is still effective, to replace such Affected Lender as a Lender party to this Agreement, provided that no Default or Event of Default shall have occurred and be continuing at the time of such replacement, and provided further that, concurrently with such replacement, (i) another bank or other entity which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at par the Borrowings and other Obligations due to the Affected </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75260"/>
                <wp:effectExtent l="0" t="0" r="0" b="0"/>
                <wp:wrapNone/>
                <wp:docPr id="89" name="Frame8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Lender under this Agreement and the other Loan Documents pursuant to an assignment substantially in the form of Exhibit C and to become a Lender for all purposes under this Agreement and to assume all obligations of the Affected Lender to be terminated as of such date and to comply with the requirements of Section 12.3 applicable to assignments, and (ii) the Borrower shall pay to such Affected Lender in same day funds on the day of such replacement all interest, fees and other amounts then accrued but unpaid to such Affected Lender by the Borrower hereunder to and including the date of termination, including without limitation payments due to such Affected Lender under Sections 3.1, 3.2, and 3.5.</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2.21. </w:t>
      </w:r>
      <w:r>
        <w:rPr>
          <w:rFonts w:ascii="Times New Roman;sans-serif" w:hAnsi="Times New Roman;sans-serif"/>
          <w:b w:val="false"/>
          <w:color w:val="000000"/>
          <w:sz w:val="24"/>
          <w:u w:val="single"/>
        </w:rPr>
        <w:t>Limitation of Interest</w:t>
      </w:r>
      <w:r>
        <w:rPr>
          <w:rFonts w:ascii="Times New Roman;sans-serif" w:hAnsi="Times New Roman;sans-serif"/>
          <w:b w:val="false"/>
          <w:color w:val="000000"/>
          <w:sz w:val="24"/>
        </w:rPr>
        <w:t xml:space="preserve">. The Borrower, the Administrative Agent and the Lenders intend to strictly comply with all applicable laws, including applicable usury laws. Accordingly, the provisions of this Section 2.21 shall govern and control over every other provision of this Agreement or any other Loan Document which conflicts or is inconsistent with this Section 2.21, even if such provision declares that it controls. As used in this Section 2.21, the term “interest” includes the aggregate of all charges, fees, benefits or other compensation which constitute interest under applicable law, provided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this Agreement. In no event shall the Borrower or any other Person be obligated to pay, or any Lender have any right or privilege to reserve, receive or retain, (a) any interest in excess of the maximum amount of nonusurious interest permitted under the applicable laws (if any) of the United States or of any applicable state, or (b) total interest in excess of the amount which such Lender could lawfully have contracted for, reserved, received, retained or charged had the interest been calculated for the full term of this Agreement at the Highest Lawful Rate. On each day, if any, that the interest rate (the “Stated Rate”)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which would have accrued if there were no such ceiling rate as is imposed by this sentence. Thereafter, interest shall accrue at the Stated Rate unless and until the Stated Rate again exceeds the Highest Lawful Rate when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contained in this Agreement or in any other Loan Document which directly or indirectly relate to interest shall ever be construed without reference to this Section 2.21, or be construed to create a contract to pay for the use, forbearance or detention of money at an interest rate in excess of the Highest Lawful Rate. If the term of any Loan or any other Obligation outstanding hereunder or under the other Loan </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175260"/>
                <wp:effectExtent l="0" t="0" r="0" b="0"/>
                <wp:wrapNone/>
                <wp:docPr id="90" name="Frame9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Documents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which produces the excess, and, if such excess interest has been paid to such Lender, it shall be credited pro tanto against the then-outstanding principal balance of the Borrower’s Obligations to such Lender, effective as of the date or dates when the event occurs which causes it to be excess interest, until such excess is exhausted or all of such principal has been fully paid and satisfied, whichever occurs first, and any remaining balance of such excess shall be promptly refunded to its payor.</w: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2.22. </w:t>
      </w:r>
      <w:r>
        <w:rPr>
          <w:rFonts w:ascii="Times New Roman;sans-serif" w:hAnsi="Times New Roman;sans-serif"/>
          <w:b w:val="false"/>
          <w:color w:val="000000"/>
          <w:sz w:val="24"/>
          <w:u w:val="single"/>
        </w:rPr>
        <w:t>Defaulting Lenders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Defaulting Lender Adjustments</w:t>
      </w:r>
      <w:r>
        <w:rPr>
          <w:rFonts w:ascii="Times New Roman;sans-serif" w:hAnsi="Times New Roman;sans-serif"/>
          <w:b w:val="false"/>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spacing w:before="0" w:after="0"/>
        <w:jc w:val="both"/>
        <w:rPr/>
      </w:pPr>
      <w:r>
        <w:rPr/>
      </w:r>
    </w:p>
    <w:p>
      <w:pPr>
        <w:pStyle w:val="TextBody"/>
        <w:spacing w:lineRule="auto" w:line="268" w:before="0" w:after="0"/>
        <w:ind w:left="0" w:right="0" w:hanging="487"/>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Waivers and Amendments</w:t>
      </w:r>
      <w:r>
        <w:rPr>
          <w:rFonts w:ascii="Times New Roman;sans-serif" w:hAnsi="Times New Roman;sans-serif"/>
          <w:b w:val="false"/>
          <w:color w:val="000000"/>
          <w:sz w:val="24"/>
        </w:rPr>
        <w:t>. Such Defaulting Lender’s right to approve or disapprove any amendment, waiver or consent with respect to this Agreement shall be restricted as set forth in the definition of Required Lenders.</w:t>
      </w:r>
    </w:p>
    <w:p>
      <w:pPr>
        <w:pStyle w:val="TextBody"/>
        <w:spacing w:before="0" w:after="0"/>
        <w:jc w:val="both"/>
        <w:rPr/>
      </w:pPr>
      <w:r>
        <w:rPr/>
      </w:r>
    </w:p>
    <w:p>
      <w:pPr>
        <w:pStyle w:val="TextBody"/>
        <w:spacing w:lineRule="auto" w:line="268"/>
        <w:ind w:left="0" w:right="0" w:hanging="553"/>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Defaulting Lender Waterfall</w:t>
      </w:r>
      <w:r>
        <w:rPr>
          <w:rFonts w:ascii="Times New Roman;sans-serif" w:hAnsi="Times New Roman;sans-serif"/>
          <w:b w:val="false"/>
          <w:color w:val="000000"/>
          <w:sz w:val="24"/>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the payment on a pro rata basis of any amounts owing by such Defaulting Lender to the LC Issuer and Swing Line Lender hereunder;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Cash Collateralize the LC Issuer’s Fronting Exposure with respect to such Defaulting Lender in accordance with Section 2.22(d);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if so determined by the Administrative Agent and the Borrower, to be held in a deposit account (including the Facility LC Collateral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Facility LCs issued under this Agreement, in accordance with Section 2.22(d);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to the payment of any amounts owing to the Lenders, the LC Issuer or Swing Line Lender as a result of any judgment of a court of competent jurisdiction obtained by any Lender, the LC Issuer or Swing Line Lender against such Defaulting Lender as a result of such </w:t>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91" name="Frame9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 xml:space="preserve">Defaulting Lender’s breach of its obligations under this Agreement; </w:t>
      </w:r>
      <w:r>
        <w:rPr>
          <w:rFonts w:ascii="Times New Roman;sans-serif" w:hAnsi="Times New Roman;sans-serif"/>
          <w:b w:val="false"/>
          <w:i/>
          <w:color w:val="000000"/>
          <w:sz w:val="24"/>
        </w:rPr>
        <w:t>seventh</w:t>
      </w:r>
      <w:r>
        <w:rPr>
          <w:rFonts w:ascii="Times New Roman;sans-serif" w:hAnsi="Times New Roman;sans-serif"/>
          <w:b w:val="false"/>
          <w:color w:val="000000"/>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w:t>
      </w:r>
      <w:r>
        <w:rPr>
          <w:rFonts w:ascii="Times New Roman;sans-serif" w:hAnsi="Times New Roman;sans-serif"/>
          <w:b w:val="false"/>
          <w:i/>
          <w:color w:val="000000"/>
          <w:sz w:val="24"/>
        </w:rPr>
        <w:t>eighth</w:t>
      </w:r>
      <w:r>
        <w:rPr>
          <w:rFonts w:ascii="Times New Roman;sans-serif" w:hAnsi="Times New Roman;sans-serif"/>
          <w:b w:val="false"/>
          <w:color w:val="000000"/>
          <w:sz w:val="24"/>
        </w:rPr>
        <w:t xml:space="preserve">, if so determined by the Administrative Agent, distributed to the Lenders other than the Defaulting Lender until the ratio of the Revolving Exposure of such Lenders to the Aggregate Revolving Exposures of all Revolving Lenders equals such ratio immediately prior to the Defaulting Lender’s failure to fund any portion of any Loans or participations in Facility LCs or Swing Line Loans; and </w:t>
      </w:r>
      <w:r>
        <w:rPr>
          <w:rFonts w:ascii="Times New Roman;sans-serif" w:hAnsi="Times New Roman;sans-serif"/>
          <w:b w:val="false"/>
          <w:i/>
          <w:color w:val="000000"/>
          <w:sz w:val="24"/>
        </w:rPr>
        <w:t>ninth</w:t>
      </w:r>
      <w:r>
        <w:rPr>
          <w:rFonts w:ascii="Times New Roman;sans-serif" w:hAnsi="Times New Roman;sans-serif"/>
          <w:b w:val="false"/>
          <w:color w:val="000000"/>
          <w:sz w:val="24"/>
        </w:rPr>
        <w:t xml:space="preserve">, to such Defaulting Lender or as otherwise directed by a court of competent jurisdiction;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(x) such payment is a payment of the principal amount of any Loans or Facility LC issuances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Credit Extensions of all Non-Defaulting Lenders on a pro rata basis prior to being applied to the payment of any Credit Extensions of such Defaulting Lender until such time as all Loans and funded and unfunded participations in LC Obligations and Swing Line Loans are held by the Lenders pro rata in accordance with the Revolving Commitments without giving effect to Section 2.22(a)(iv). Any payments, prepayments or other amounts paid or payable to a Defaulting Lender that are applied (or held) to pay amounts owed by a Defaulting Lender or to post Cash Collateral pursuant to this Section 2.22(a)(ii) shall be deemed paid to and redirected by such Defaulting Lender, and each Lender irrevocably consents hereto.</w:t>
      </w:r>
    </w:p>
    <w:p>
      <w:pPr>
        <w:pStyle w:val="TextBody"/>
        <w:spacing w:before="0" w:after="0"/>
        <w:jc w:val="both"/>
        <w:rPr/>
      </w:pPr>
      <w:r>
        <w:rPr/>
      </w:r>
    </w:p>
    <w:p>
      <w:pPr>
        <w:pStyle w:val="TextBody"/>
        <w:spacing w:lineRule="auto" w:line="268" w:before="0" w:after="0"/>
        <w:ind w:left="0" w:right="0" w:hanging="6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Certain Fees</w:t>
      </w:r>
      <w:r>
        <w:rPr>
          <w:rFonts w:ascii="Times New Roman;sans-serif" w:hAnsi="Times New Roman;sans-serif"/>
          <w:b w:val="false"/>
          <w:color w:val="000000"/>
          <w:sz w:val="24"/>
        </w:rPr>
        <w:t>. Each Defaulting Lender shall be entitled to receive LC Fees for any period during which that Lender is a Defaulting Lender only to the extent allocable to its ratable share of the commitment to fund the stated amount of Facility LCs. LC Fees shall be reallocated among the Lenders to the extent that the Lenders’ commitment to fund the stated amount of Facility LCs is reallocated.</w:t>
      </w:r>
    </w:p>
    <w:p>
      <w:pPr>
        <w:pStyle w:val="TextBody"/>
        <w:spacing w:before="0" w:after="0"/>
        <w:jc w:val="both"/>
        <w:rPr/>
      </w:pPr>
      <w:r>
        <w:rPr/>
      </w:r>
    </w:p>
    <w:p>
      <w:pPr>
        <w:pStyle w:val="TextBody"/>
        <w:spacing w:lineRule="auto" w:line="268"/>
        <w:ind w:left="0" w:right="0" w:hanging="607"/>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Reallocation of Participations to Reduce Fronting Exposure</w:t>
      </w:r>
      <w:r>
        <w:rPr>
          <w:rFonts w:ascii="Times New Roman;sans-serif" w:hAnsi="Times New Roman;sans-serif"/>
          <w:b w:val="false"/>
          <w:color w:val="000000"/>
          <w:sz w:val="24"/>
        </w:rPr>
        <w:t xml:space="preserve">. All or any part of such Defaulting Lender’s participation in LC Obligations and Swing Line Loans shall be reallocated among the Non-Defaulting Lenders in accordance with their respective Pro Rata Shares (calculated without regard to such Defaulting Lender’s Revolving Commitment) but only to the extent that (x) the conditions set forth in Section 4.2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Exposure of any Non-Defaulting Lender to exceed such Non-Defaulting Lender’s Revolving Commitment. Subject to Section 9.15, no reallocation hereunder shall constitute a waiver or release of any claim of any party hereunder against a Defaulting Lender arising from that Lender having become a Defaulting Lender, including any claim of a Non-Defaulting Lender as </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175260"/>
                <wp:effectExtent l="0" t="0" r="0" b="0"/>
                <wp:wrapNone/>
                <wp:docPr id="92" name="Frame9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result of such Non-Defaulting Lender’s increased exposure following such reallocation.</w:t>
      </w:r>
    </w:p>
    <w:p>
      <w:pPr>
        <w:pStyle w:val="TextBody"/>
        <w:spacing w:before="0" w:after="0"/>
        <w:jc w:val="both"/>
        <w:rPr/>
      </w:pPr>
      <w:r>
        <w:rPr/>
      </w:r>
    </w:p>
    <w:p>
      <w:pPr>
        <w:pStyle w:val="TextBody"/>
        <w:spacing w:lineRule="auto" w:line="268" w:before="0" w:after="0"/>
        <w:ind w:left="0" w:right="0" w:hanging="5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Cash Collateral, Repayment of Swing Line Loans</w:t>
      </w:r>
      <w:r>
        <w:rPr>
          <w:rFonts w:ascii="Times New Roman;sans-serif" w:hAnsi="Times New Roman;sans-serif"/>
          <w:b w:val="false"/>
          <w:color w:val="000000"/>
          <w:sz w:val="24"/>
        </w:rPr>
        <w:t>. If the reallocation described in clause (iv) above cannot, or can only partially, be effected, the Borrower shall, without prejudice to any right or remedy available to it hereunder or under law, (x) first, prepay Swing Line Loans in an amount equal to the Swing Line Lender’s Fronting Exposure and (y) second, Cash Collateralize the LC Issuer’s Fronting Exposure in accordance with the procedures set forth in Section 2.22(d).</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Defaulting Lender Cure</w:t>
      </w:r>
      <w:r>
        <w:rPr>
          <w:rFonts w:ascii="Times New Roman;sans-serif" w:hAnsi="Times New Roman;sans-serif"/>
          <w:b w:val="false"/>
          <w:color w:val="000000"/>
          <w:sz w:val="24"/>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Revolving Commitments (without giving effect to Section 2.22(a)(iv)), whereupon such Lender will cease to be a Defaulting Lender;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New Swing Line Loans/Facility LCs</w:t>
      </w:r>
      <w:r>
        <w:rPr>
          <w:rFonts w:ascii="Times New Roman;sans-serif" w:hAnsi="Times New Roman;sans-serif"/>
          <w:b w:val="false"/>
          <w:color w:val="000000"/>
          <w:sz w:val="24"/>
        </w:rPr>
        <w:t>. So long as any Lender is a Defaulting Lender, (i) the Swing Line Lender shall not be required to fund any Swing Line Loans unless it is satisfied that it will have no Fronting Exposure after giving effect to such Swing Line Loan and (ii) the LC Issuer shall not be required to issue, extend, renew or increase any Facility LC unless it is satisfied that it will have no Fronting Exposure after giving effect thereto.</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Cash Collateral</w:t>
      </w:r>
      <w:r>
        <w:rPr>
          <w:rFonts w:ascii="Times New Roman;sans-serif" w:hAnsi="Times New Roman;sans-serif"/>
          <w:b w:val="false"/>
          <w:color w:val="000000"/>
          <w:sz w:val="24"/>
        </w:rPr>
        <w:t>. At any time that there shall exist a Defaulting Lender, within one (1) Business Day following the written request of the Administrative Agent or the LC Issuer (with a copy to the Administrative Agent) the Borrower shall Cash Collateralize the LC Issuer’s Fronting Exposure with respect to such Defaulting Lender (determined after giving effect to Section 2.22(a)(iv) and any Cash Collateral provided by such Defaulting Lender) in an amount not less than the Minimum Collateral Amount.</w:t>
      </w:r>
    </w:p>
    <w:p>
      <w:pPr>
        <w:pStyle w:val="TextBody"/>
        <w:spacing w:before="0" w:after="0"/>
        <w:jc w:val="both"/>
        <w:rPr/>
      </w:pPr>
      <w:r>
        <w:rPr/>
      </w:r>
    </w:p>
    <w:p>
      <w:pPr>
        <w:pStyle w:val="TextBody"/>
        <w:spacing w:lineRule="auto" w:line="268"/>
        <w:ind w:left="0" w:right="0" w:hanging="487"/>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Grant of Security Interest</w:t>
      </w:r>
      <w:r>
        <w:rPr>
          <w:rFonts w:ascii="Times New Roman;sans-serif" w:hAnsi="Times New Roman;sans-serif"/>
          <w:b w:val="false"/>
          <w:color w:val="000000"/>
          <w:sz w:val="24"/>
        </w:rPr>
        <w:t xml:space="preserve">. The Borrower, and to the extent provided by any Defaulting Lender, such Defaulting Lender, hereby grants to the Administrative Agent, for the benefit of the LC Issuer, and agrees to maintain, a first priority security interest in all such Cash Collateral as security for the Defaulting Lender’s obligation to fund participations in respect of LC Obligations, to be applied pursuant to clause (ii) below. If at any time the Administrative Agent determines that Cash Collateral is subject to any right or claim of any Person other than the </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175260"/>
                <wp:effectExtent l="0" t="0" r="0" b="0"/>
                <wp:wrapNone/>
                <wp:docPr id="93" name="Frame9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and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spacing w:before="0" w:after="0"/>
        <w:jc w:val="both"/>
        <w:rPr/>
      </w:pPr>
      <w:r>
        <w:rPr/>
      </w:r>
    </w:p>
    <w:p>
      <w:pPr>
        <w:pStyle w:val="TextBody"/>
        <w:spacing w:lineRule="auto" w:line="268" w:before="0" w:after="0"/>
        <w:ind w:left="0" w:right="0" w:hanging="553"/>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Application</w:t>
      </w:r>
      <w:r>
        <w:rPr>
          <w:rFonts w:ascii="Times New Roman;sans-serif" w:hAnsi="Times New Roman;sans-serif"/>
          <w:b w:val="false"/>
          <w:color w:val="000000"/>
          <w:sz w:val="24"/>
        </w:rPr>
        <w:t>. Notwithstanding anything to the contrary contained in this Agreement, Cash Collateral provided under this Section 2.22 in respect of Facility LCs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spacing w:before="0" w:after="0"/>
        <w:jc w:val="both"/>
        <w:rPr/>
      </w:pPr>
      <w:r>
        <w:rPr/>
      </w:r>
    </w:p>
    <w:p>
      <w:pPr>
        <w:pStyle w:val="TextBody"/>
        <w:spacing w:lineRule="auto" w:line="268" w:before="0" w:after="0"/>
        <w:ind w:left="0" w:right="0" w:hanging="6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Termination of Requirement</w:t>
      </w:r>
      <w:r>
        <w:rPr>
          <w:rFonts w:ascii="Times New Roman;sans-serif" w:hAnsi="Times New Roman;sans-serif"/>
          <w:b w:val="false"/>
          <w:color w:val="000000"/>
          <w:sz w:val="24"/>
        </w:rPr>
        <w:t xml:space="preserve">. Cash Collateral (or the appropriate portion thereof) provided to reduce the LC Issuer’s Fronting Exposure shall no longer be required to be held as Cash Collateral pursuant to this Section 2.22(d) following (i) the elimination of the applicable Fronting Exposure (including by the termination of Defaulting Lender status of the applicable Lender), or (ii) the determination by the Administrative Agent and the LC Issuer that there exists excess Cash Collateral;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subject to this Section 2.22 the Person providing Cash Collateral and the LC Issuer may agree that Cash Collateral shall be held to support future anticipated Fronting Exposure or other obligations and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that to the extent that such Cash Collateral was provided by the Borrower, such Cash Collateral shall remain subject to the security interest granted pursuant to the Loan Documents.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2.23. </w:t>
      </w:r>
      <w:r>
        <w:rPr>
          <w:rFonts w:ascii="Times New Roman;sans-serif" w:hAnsi="Times New Roman;sans-serif"/>
          <w:b w:val="false"/>
          <w:color w:val="000000"/>
          <w:sz w:val="24"/>
          <w:u w:val="single"/>
        </w:rPr>
        <w:t>Judgment Currency</w:t>
      </w:r>
      <w:r>
        <w:rPr>
          <w:rFonts w:ascii="Times New Roman;sans-serif" w:hAnsi="Times New Roman;sans-serif"/>
          <w:b w:val="false"/>
          <w:color w:val="000000"/>
          <w:sz w:val="24"/>
        </w:rPr>
        <w:t xml:space="preserve">. If for the purposes of obtaining judgment in any court it is necessary to convert a sum due from the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offices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175260"/>
                <wp:effectExtent l="0" t="0" r="0" b="0"/>
                <wp:wrapNone/>
                <wp:docPr id="94" name="Frame9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11.2, such Lender or the Administrative Agent, as the case may be, agrees to remit such excess to the Borrower.</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YIELD PROTECTION; TAXES</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Yield Protection</w:t>
      </w:r>
      <w:r>
        <w:rPr>
          <w:rFonts w:ascii="Times New Roman;sans-serif" w:hAnsi="Times New Roman;sans-serif"/>
          <w:b w:val="false"/>
          <w:color w:val="000000"/>
          <w:sz w:val="24"/>
        </w:rPr>
        <w:t>. If, on or after the date of this Agreement, there occurs any Change in Law which:</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a.subjects any Lender or any applicable Lending Installation, the LC Issuer, or the Administrative Agent to any Taxes (other than with respect to Indemnified Taxes, Excluded Taxes, and Other Taxes) on its loans, loan principal, letters of credit, commitments, or other obligations, or its deposits, reserves, other liabilities or capital attributable thereto, or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b.imposes or increases or deems applicable any reserve, assessment, insurance charge, special deposit or similar requirement against assets of, deposits with or for the account of, or credit extended by, any Lender or any applicable Lending Installation or the LC Issuer, or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c.imposes any other condition (other than Taxes) the result of which is to increase the cost to any Lender or any applicable Lending Installation or the LC Issuer of making, or of issuing or participating in Facility LCs, or reduces any amount receivable by any Lender or any applicable Lending Installation or the LC Issuer in connection with its Facility LCs or participations therein, or requires any Lender or any applicable Lending Installation or the LC Issuer to make any payment calculated by reference to the amount of Facility LCs or participations therein held or interest or LC Fees received by it, by an amount deemed material by such Lender or the LC Issuer as the case may be,</w:t>
      </w:r>
    </w:p>
    <w:p>
      <w:pPr>
        <w:pStyle w:val="TextBody"/>
        <w:spacing w:before="0" w:after="0"/>
        <w:jc w:val="both"/>
        <w:rPr/>
      </w:pPr>
      <w:r>
        <w:rPr/>
      </w:r>
    </w:p>
    <w:p>
      <w:pPr>
        <w:pStyle w:val="TextBody"/>
        <w:spacing w:lineRule="auto" w:line="268"/>
        <w:jc w:val="both"/>
        <w:rPr/>
      </w:pPr>
      <w:r>
        <w:rPr>
          <w:rFonts w:ascii="Times New Roman;sans-serif" w:hAnsi="Times New Roman;sans-serif"/>
          <w:b w:val="false"/>
          <w:color w:val="000000"/>
          <w:sz w:val="24"/>
        </w:rPr>
        <w:t xml:space="preserve">and the result of any of the foregoing is to increase the cost to such Person of making or maintaining its Loans or Revolving Commitment or of issuing or participating in Facility LCs or to reduce the amount received by such Person in connection with such Loans or Revolving Commitment, Facility LCs or participations therein, then, within fifteen (15) days after demand by such Person, the Borrower shall pay such Person, as the case may be, such additional amount or amounts as will compensate such Person for such increased cost or reduction in amount received. Failure or delay on the part of any such Person to demand compensation pursuant to this Section 3.1 shall not constitute a waiver of such Person’s right to demand such compensation;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Borrower shall not be required to compensate a Person pursuant to this Section 3.1 for any increased costs or reductions suffered more than 180 days prior to the date that such Person notifies the Borrower of the Change in Law giving rise to such increased costs or reductions and of such Person’s intention to claim compensation therefor;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if the Change in Law giving rise to such increased costs or reductions is retroactive, </w:t>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175260"/>
                <wp:effectExtent l="0" t="0" r="0" b="0"/>
                <wp:wrapNone/>
                <wp:docPr id="95" name="Frame9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180-day period referred to above shall be extended to include the period of retroactive effect thereof.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Changes in Capital Adequacy Regulations</w:t>
      </w:r>
      <w:r>
        <w:rPr>
          <w:rFonts w:ascii="Times New Roman;sans-serif" w:hAnsi="Times New Roman;sans-serif"/>
          <w:b w:val="false"/>
          <w:color w:val="000000"/>
          <w:sz w:val="24"/>
        </w:rPr>
        <w:t xml:space="preserve">. If a Lender or the LC Issuer determines that the amount of capital or liquidity required or expected to be maintained by such Lender or the LC Issuer, any Lending Installation of such Lender or the LC Issuer, or any corporation or holding company controlling such Lender or the LC Issuer is increased as a result of (i) a Change in Law or (ii) any change on or after the date of this Agreement in the Risk-Based Capital Guidelines, then, within fifteen (15) days after demand by such Lender or the LC Issuer, the Borrower shall pay such Lender or the LC Issuer the amount necessary to compensate for any shortfall in the rate of return on the portion of such increased capital or liquidity which such Lender or the LC Issuer determines is attributable to this Agreement, its Revolving Exposure or its Revolving Commitment to make Loans and issue or participate in Facility LCs, as the case may be, hereunder (after taking into account such Lender’s or the LC Issuer’s policies as to capital adequacy or liquidity), in each case that is attributable to such Change in Law or change in the Risk-Based Capital Guidelines, as applicable. Failure or delay on the part of such Lender or the LC Issuer to demand compensation pursuant to this Section 3.2 shall not constitute a waiver of such Lender’s or the LC Issuer’s right to demand such compensation;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Borrower shall not be required to compensate any Lender or the LC Issuer pursuant to this Section 3.2 for any shortfall suffered more than 180 days prior to the date that such Lender or the LC Issuer notifies the Borrower of the Change in Law or change in the Risk-Based Capital Guidelines giving rise to such shortfall and of such Lender’s or the LC Issuer’s intention to claim compensation therefor;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if the Change in Law or change in Risk-Based Capital Guidelines giving rise to such shortfall is retroactive, then the 180-day period referred to above shall be extended to include the period of retroactive effect thereof</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3.3. </w:t>
      </w:r>
      <w:r>
        <w:rPr>
          <w:rFonts w:ascii="Times New Roman;sans-serif" w:hAnsi="Times New Roman;sans-serif"/>
          <w:b w:val="false"/>
          <w:color w:val="000000"/>
          <w:sz w:val="24"/>
          <w:u w:val="single"/>
        </w:rPr>
        <w:t>Availability of Types of Borrowings; Adequacy of Interest Rate; Benchmark Replacement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Unavailability of SOFR. Notwithstanding anything to the contrary in this Agreement or any other Loan Document, but subject to Section 3.3(b), if the Administrative Agent determines (which determination shall be conclusive absent manifest error), or the Required Lenders notify the Administrative Agent that the Required Lenders have determined, that </w:t>
      </w:r>
    </w:p>
    <w:p>
      <w:pPr>
        <w:pStyle w:val="TextBody"/>
        <w:spacing w:before="0" w:after="0"/>
        <w:jc w:val="both"/>
        <w:rPr/>
      </w:pPr>
      <w:r>
        <w:rPr/>
      </w:r>
    </w:p>
    <w:p>
      <w:pPr>
        <w:pStyle w:val="TextBody"/>
        <w:spacing w:lineRule="auto" w:line="268" w:before="0" w:after="0"/>
        <w:ind w:left="0" w:right="0" w:hanging="487"/>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i.For any reason Daily Simple SOFR does not adequately and fairly reflect the cost to the Lenders of funding Loans, or </w:t>
      </w:r>
    </w:p>
    <w:p>
      <w:pPr>
        <w:pStyle w:val="TextBody"/>
        <w:spacing w:before="0" w:after="0"/>
        <w:jc w:val="both"/>
        <w:rPr/>
      </w:pPr>
      <w:r>
        <w:rPr/>
      </w:r>
    </w:p>
    <w:p>
      <w:pPr>
        <w:pStyle w:val="TextBody"/>
        <w:spacing w:lineRule="auto" w:line="268"/>
        <w:ind w:left="0" w:right="0" w:hanging="55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ii.Daily Simple SOFR is not ascertainable or available (including, without limitation, because the applicable screen (or any successor or substitute page on such screen) is unavailable) and such inability to ascertain or unavailability is not expected to be permanent, or does not adequately and fairly reflect the cost of making or maintaining Borrowings, </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175260"/>
                <wp:effectExtent l="0" t="0" r="0" b="0"/>
                <wp:wrapNone/>
                <wp:docPr id="96" name="Frame9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Administrative Agent shall suspend the availability of Borrowings at the Daily Simple SOFR Rate and require any affected Advances to be repaid or to bear interest at the Base Rate.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Benchmark Transition Event</w:t>
      </w:r>
      <w:r>
        <w:rPr>
          <w:rFonts w:ascii="Times New Roman;sans-serif" w:hAnsi="Times New Roman;sans-serif"/>
          <w:b w:val="false"/>
          <w:color w:val="000000"/>
          <w:sz w:val="24"/>
        </w:rPr>
        <w:t>.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Business Day after the date notice of such Benchmark Replacement is provided by the Administrative Agent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or, if applicable, any Lender (or group of Lenders) pursuant to this Section 3.3(b),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3.3(b).</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175260"/>
                <wp:effectExtent l="0" t="0" r="0" b="0"/>
                <wp:wrapNone/>
                <wp:docPr id="97" name="Frame9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Unavailability of Tenor of Benchmark</w:t>
      </w:r>
      <w:r>
        <w:rPr>
          <w:rFonts w:ascii="Times New Roman;sans-serif" w:hAnsi="Times New Roman;sans-serif"/>
          <w:b w:val="false"/>
          <w:color w:val="000000"/>
          <w:sz w:val="24"/>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any tenor of such Benchmark that is unavailable or non-representative for any Benchmark settings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notice to the Borrower by the Administrative Agent in accordance with Section 10.1 of the commencement of a Benchmark Unavailability Period and until a Benchmark Replacement is determined in accordance with this Section 3.3(b), the Borrower may revoke any request for a SOFR Borrowing, or any request for the conversion or continuation of a SOFR Borrowing to be made, converted or continued during any Benchmark Unavailability Period, and, failing that, the Borrower will be deemed to have converted any such request at the end of the applicable Interest Period into a request for a Base Rate Borrowing or conversion to a Base Rate Borrowing.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3.4.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3.5.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a.Any and all payments by or on account of any obligation of any Loan Party under any Loan Document shall be made without deduction or withholding for any Taxes, except as required by applicable law. If any applicable law requires the deduction or withholding of any Tax from any such payment, then the applicable Loan Party shall be entitled to make such deduction or withholding and shall timely pay the full amount deducted or withheld to the relevant Governmental Authority in accordance with applicable law and, if such Tax is an Indemnified Tax or Other Tax, then the sum payable by the applicable Loan Party shall be increased as necessary so that after such deduction or withholding has </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175260"/>
                <wp:effectExtent l="0" t="0" r="0" b="0"/>
                <wp:wrapNone/>
                <wp:docPr id="98" name="Frame9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been made (including such deductions and withholdings applicable to additional sums payable under this Section 3.5) the applicable Lender, the LC Issuer or the Administrative Agent receives an amount equal to the sum it would have received had no such deduction or withholding been made.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The Loan Parties shall timely pay to the relevant Governmental Authority in accordance with applicable law or at the option of the Administrative Agent timely reimburse it for the payment of, any Other Taxes.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Loan Parties shall indemnify the Lender, the LC Issuer or the Administrative Agent, within fifteen (15) days after demand therefor, for the full amount of any Indemnified Taxes and Other Taxes (including Indemnified Taxes and Other Taxes imposed or asserted on or attributable to amounts payable under this Section 3.5) payable or paid by such Lender, the LC Issuer or the Administrative Agent or required to be withheld or deducted from a payment to such Lender, the LC Issuer or the Administrative Agent and any reasonable expenses arising therefrom or with respect thereto, whether or not such Indemnified Taxes and Other Taxes were correctly or legally imposed or asserted by the relevant Governmental Authority. A certificate as to the amount of such payment or liability delivered to the Borrower by a Lender or LC Issuer (with a copy to the Administrative Agent), or by the Administrative Agent on its own behalf or on behalf of a Lender or LC Issuer, shall be conclusive absent manifest error.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d.Each Lender shall severally indemnify the Administrative Agent, within fifteen (15)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12.2(c)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e.As soon as practicable after any payment of Taxes by any Loan Party to a Governmental Authority pursuant to this Section 3.5,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 Any Lender that is entitled to an exemption from or reduction of withholding Tax with respect to payments made under any Loan Document shall deliver to the Borrower and the Administrative Agent, at the time or times reasonably requested by the Borrower or </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175260"/>
                <wp:effectExtent l="0" t="0" r="0" b="0"/>
                <wp:wrapNone/>
                <wp:docPr id="99" name="Frame9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spacing w:before="0" w:after="0"/>
        <w:jc w:val="both"/>
        <w:rPr/>
      </w:pPr>
      <w:r>
        <w:rPr/>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Without limiting the generality of the foregoing,</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any Lender that is a United States Person for U.S. federal income Tax purposes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 </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spacing w:before="0" w:after="0"/>
        <w:rPr/>
      </w:pPr>
      <w:r>
        <w:rPr/>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 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spacing w:before="0" w:after="0"/>
        <w:rPr/>
      </w:pPr>
      <w:r>
        <w:rPr/>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 executed copies of IRS Form W-8ECI;</w:t>
      </w:r>
    </w:p>
    <w:p>
      <w:pPr>
        <w:pStyle w:val="TextBody"/>
        <w:spacing w:before="0" w:after="0"/>
        <w:rPr/>
      </w:pPr>
      <w:r>
        <w:rPr/>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 in the case of a Non-U.S. Lender claiming the benefits of the exemption for portfolio interest under Section 881(c) of the Code, (x) a certificate to the effect that such Non-U.S. Lender is not a “bank” within the meaning of Section 881(c)(3)(A) of the Code, a “10 percent shareholder” of the Borrower within the meaning of Section 881(c)(3)(B) of the Code, or a “controlled foreign corporation” related to the Borrower as described in Section 881(c)(3)(C) of the Code and (y) executed copies of IRS Form W-8BEN or IRS Form W-8BEN-E; or</w:t>
      </w:r>
    </w:p>
    <w:p>
      <w:pPr>
        <w:pStyle w:val="TextBody"/>
        <w:spacing w:before="0" w:after="0"/>
        <w:rPr/>
      </w:pPr>
      <w:r>
        <w:rPr/>
      </w:r>
    </w:p>
    <w:p>
      <w:pPr>
        <w:pStyle w:val="TextBody"/>
        <w:spacing w:lineRule="auto" w:line="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to the extent a Non-U.S. Lender is not the beneficial owner, executed copies of IRS Form W-8IMY, accompanied by IRS Form W-8ECI, IRS Form W-8BEN, IRS </w:t>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92265" cy="175260"/>
                <wp:effectExtent l="0" t="0" r="0" b="0"/>
                <wp:wrapNone/>
                <wp:docPr id="100" name="Frame10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 W-8BEN-E, IRS Form W-8IMY or IRS Form W-9, and/or other certification documents from each beneficial owner, as applicable.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spacing w:before="0" w:after="0"/>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g.If any party determines, in its sole discretion exercised in good faith, that it has received a refund, deduction or credit of any Taxes as to which it has been indemnified pursuant to this Section 3.5 (including by the payment of additional amounts pursuant to this Section 3.5), it shall pay to the indemnifying party an amount equal to such refund, deduction or credit (but only to the extent of indemnity payments made under this Section 3.5 with respect to the Taxes giving rise to such refund), net of all reasonable out-of-pocket expenses (including Taxes) of such indemnified party and without interest (other than any interest paid by the relevant Governmental Authority with respect to such refund, deduction or credit).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w:t>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175260"/>
                <wp:effectExtent l="0" t="0" r="0" b="0"/>
                <wp:wrapNone/>
                <wp:docPr id="101" name="Frame10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relating to its Taxes that it deems confidential) to the indemnifying party or any other Person.</w: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h.Each party’s obligations under this Section 3.5 shall survive the resignation or replacement of the Administrative Agent or any assignment of rights by, or the replacement of, a Lender, the termination of the Revolving Commitments and the repayment, satisfaction or discharge of all obligations under any Loan Document.</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i.For purposes of Section 3.5(d) and 3.5(f), the term “Lender” includes the LC Issuer.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j.For purposes of determining withholding Taxes imposed under FATCA, from and after the Effective Date, the Borrower, the other Loan Parties and the Administrative Agent shall treat (and the Lenders hereby authorize the Administrative Agent to treat) the Loans and the Facility LCs as not qualifying as a “grandfathered obligation” within the meaning of Treasury Regulation Section 1.1471-2(b)(2)(i).</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3.6.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xml:space="preserve">. If any Lender determines that any Law has made it unlawful, or that any Governmental Authority has asserted that it is unlawful, for any Lender or its applicable lending office to make, maintain, or fund Borrowings whose interest is determined by reference to a SOFR Rate, or to determine or charge interest rates based upon a SOFR Rate, then, upon notice thereof by such Lender to the Borrower (through the Administrative Agent), (a) any obligation of such Lender to make or continue SOFR Borrowings or to convert Base Rate Borrowings to SOFR Borrowings shall be suspended, and (b) the interest rate on which Base Rate Borrowings of such Lender shall, if necessary to avoid such illegality, be determined by the Administrative Agent without reference to the component of the Base Rate based on a SOFR Rate, in each case until such Lender notifies the Administrative Agent and the Borrower that the circumstances giving rise to such determination no longer exist. Upon receipt of such notice, (i) the Borrower shall, upon demand from such Lender (with a copy to the Administrative Agent), convert all SOFR Borrowings of such Lender to Base Rate Borrowings (the interest rate on which Base Rate Borrowings of such Lender shall, if necessary to avoid such illegality, be determined by the Administrative Agent without reference to the component of the Base Rate based on a SOFR Rate), on the Interest Payment Date therefor, if such Lender can lawfully continue to maintain such SOFR Borrowings to such day, or immediately, if such Lender cannot lawfully continue to maintain such SOFR Borrowings and (ii) the Administrative Agent shall during the period of such suspension compute the Base Rate applicable to such Lender without reference to the component of the Base Rate based upon a SOFR Rate until the Administrative Agent is advised in writing by such Lender that it is no longer illegal for such Lender to determine or charge interest rates based upon a SOFR Rate. </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CONDITIONS PRECEDENT</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92265" cy="175260"/>
                <wp:effectExtent l="0" t="0" r="0" b="0"/>
                <wp:wrapNone/>
                <wp:docPr id="102" name="Frame10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Initial Credit Extension</w:t>
      </w:r>
      <w:r>
        <w:rPr>
          <w:rFonts w:ascii="Times New Roman;sans-serif" w:hAnsi="Times New Roman;sans-serif"/>
          <w:b w:val="false"/>
          <w:color w:val="000000"/>
          <w:sz w:val="24"/>
        </w:rPr>
        <w:t>. The Lenders shall not be required to make the initial Credit Extension hereunder unless each of the following conditions is satisfied: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shall have received executed counterparts of each of this Agreement and the Security Agreement.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have received a certificate, signed by an Authorized Officer of the Borrower, stating that on the Effective Date (1) there is no Default or Event of Default which has occurred and is continuing nor will any such Default or Event of Default exist after giving effect to the transactions with the Bank which have been requested by the Borrower; (2) the representations and warranties contained in Article V are true and correct as of the date of the certificate with the same force and effect as if made on such date; and (3) there has been no Material Adverse Effect since December 31, 2016.</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have received a written opinion of the Borrower’s counsel, in form and substance acceptable to the Administrative Agent, addressed to the Lenders, substantially covering the opinions set forth in Exhibit A and such other opinions reasonably required by the Administrative Agent. The Borrower’s counsel shall be reasonably acceptable to the Administrative Agent.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shall have received any Notes requested by one or more Lenders pursuant to Section 2.13 payable to the order of each such requesting Lender.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e.The Administrative Agent shall have received such documents and certificates relating to the organization, existence and good standing of the Borrower and each initial Guarantor, the authorization of the transactions contemplated hereby and any other legal matters relating to the Borrower and such Guarantors, the Loan Documents or the transactions contemplated hereby, all in form and substance satisfactory to the Administrative Agent and its counsel and as further described in the list of closing documents attached as Exhibit F.</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f.If the initial Credit Extension will be the issuance of a Facility LC, the Administrative Agent shall have received a properly completed Facility LC Application.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g.The Administrative Agent shall have received all fees and other amounts due and payable on or prior to the Effective Date, including, to the extent invoiced, reimbursement or payment of all out-of-pocket expenses required to be reimbursed or paid by the Borrower hereunder.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h.There shall not have occurred a Material Adverse Effect since December 31, 2016. </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Administrative Agent shall have received evidence of all governmental, equity holder and third party consents and approvals necessary in connection with the contemplated financing and all applicable waiting periods shall have expired without any action being taken by any authority that would be reasonably likely to restrain, prevent or impose any material adverse conditions on the Borrower and its Subsidiaries, taken as a </w:t>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175260"/>
                <wp:effectExtent l="0" t="0" r="0" b="0"/>
                <wp:wrapNone/>
                <wp:docPr id="103" name="Frame10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whole, and no law or regulation shall be applicable which in the reasonable judgment of the Administrative Agent could have such effect.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j.No action, suit, investigation or proceeding is pending or, to the knowledge of the Borrower, threatened in any court or before any arbitrator or Governmental Authority that would reasonably be expected to result in a Material Adverse Effect or which seeks to prevent, enjoin or delay the making of any Credit Extensions.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k.The Administrative Agent shall have received: (i) pro forma financial statements giving effect to the initial Credit Extensions contemplated hereby, which demonstrate, in the Administrative Agent’s reasonable judgment, together with all other information then available to the Administrative Agent, that the Borrower can repay its debts and satisfy its other obligations as and when they become due, and can comply with the financial covenants set forth in Section 6.21, (ii) such information as the Administrative Agent may reasonably request to confirm the tax, legal, and business assumptions made in such pro forma financial statements, (iii) unaudited consolidated financial statements of the Borrower and its Subsidiaries for the fiscal quarter ended June 30, 2017, and (iv) audited consolidated financial statements of the Borrower and its Subsidiaries for the fiscal year ended December 31, 2016.</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l.The Administrative Agent shall have received evidence of current insurance coverage in form, scope and substance reasonably satisfactory to the Administrative Agent and otherwise in compliance with the terms of Sections 5.18 and 6.6.</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m.Each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Permitted Liens), shall be in proper form for filing, registration or recordation.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4.2. </w:t>
      </w:r>
      <w:r>
        <w:rPr>
          <w:rFonts w:ascii="Times New Roman;sans-serif" w:hAnsi="Times New Roman;sans-serif"/>
          <w:b w:val="false"/>
          <w:color w:val="000000"/>
          <w:sz w:val="24"/>
          <w:u w:val="single"/>
        </w:rPr>
        <w:t>Each Credit Extension</w:t>
      </w:r>
      <w:r>
        <w:rPr>
          <w:rFonts w:ascii="Times New Roman;sans-serif" w:hAnsi="Times New Roman;sans-serif"/>
          <w:b w:val="false"/>
          <w:color w:val="000000"/>
          <w:sz w:val="24"/>
        </w:rPr>
        <w:t>. The Lenders shall not (except as otherwise set forth in Section 2.4(d) with respect to Revolving Loans for the purpose of repaying Swing Line Loans) be required to make any Credit Extension unless on the applicable Borrowing Date:</w: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a.Both immediately before and immediately after giving effect to such Credit Extension and the application of the proceeds thereof, there exists no Default or Event of Default.</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representations and warranties contained in Article V are (x) with respect to any representations or warranties that contain a materiality qualifier, true and correct in all respects as of such Borrowing Date, except to the extent any such representation or warranty is stated to relate solely to an earlier date, in which case such representation or warranty shall have been true and correct in all respects on and as of such earlier date and (y) with respect to any representations or warranties that do not contain a materiality qualifier, true and correct in all material respects as of such Borrowing Date, except to the extent any such representation or warranty is stated to relate solely to an earlier date, in which case such representation or warranty shall have been true and correct in all material respects on and as of such earlier date.</w:t>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92265" cy="175260"/>
                <wp:effectExtent l="0" t="0" r="0" b="0"/>
                <wp:wrapNone/>
                <wp:docPr id="104" name="Frame10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Borrowing Notice or Swing Line Borrowing Notice, as the case may be, or request for issuance of a Facility LC with respect to each such Credit Extension shall constitute a representation and warranty by the Borrower that the conditions contained in Sections 4.2(a) and (b) have been satisfied.</w:t>
      </w:r>
    </w:p>
    <w:p>
      <w:pPr>
        <w:pStyle w:val="TextBody"/>
        <w:spacing w:before="0" w:after="0"/>
        <w:ind w:left="0" w:right="0" w:firstLine="720"/>
        <w:jc w:val="both"/>
        <w:rPr/>
      </w:pPr>
      <w:r>
        <w:rPr/>
      </w:r>
    </w:p>
    <w:p>
      <w:pPr>
        <w:pStyle w:val="TextBody"/>
        <w:spacing w:lineRule="auto" w:line="26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spacing w:before="0" w:after="0"/>
        <w:ind w:left="0" w:right="0" w:firstLine="72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REPRESENTATIONS AND WARRANTIES</w:t>
      </w:r>
    </w:p>
    <w:p>
      <w:pPr>
        <w:pStyle w:val="TextBody"/>
        <w:spacing w:before="0" w:after="0"/>
        <w:jc w:val="center"/>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represents and warrants to the Lenders that:</w:t>
      </w:r>
    </w:p>
    <w:p>
      <w:pPr>
        <w:pStyle w:val="TextBody"/>
        <w:spacing w:before="0" w:after="0"/>
        <w:ind w:left="0" w:right="0" w:firstLine="72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Existence and Standing</w:t>
      </w:r>
      <w:r>
        <w:rPr>
          <w:rFonts w:ascii="Times New Roman;sans-serif" w:hAnsi="Times New Roman;sans-serif"/>
          <w:b w:val="false"/>
          <w:color w:val="000000"/>
          <w:sz w:val="24"/>
        </w:rPr>
        <w:t>. The Borrower is a corporation duly and properly incorporated and in good standing under the laws of the State of Delaware and has all requisite authority to conduct its business in each jurisdiction in which its business is conducted. Each Restricted Subsidiary is duly organized, validly existing, and in good standing under the laws of the jurisdiction of its organization and has all requisite power and authority to carry on its business as now conducted. Each of the Borrower and the Restricted Subsidiaries (a) holds all certificates of authority, licenses, and permits necessary to carry on its business as presently conducted in each jurisdiction in which it is carrying on such business, except where the failure to hold such certificates, licenses, or permits could not constitute a Material Adverse Effect and (b) is duly qualified and in good standing as a foreign corporation (or other organization) in each jurisdiction in which the character of the properties it owns, leases, or operates or the business it conducts makes such qualification necessary and the failure so to qualify could permanently preclude the Borrower or such Restricted Subsidiary from enforcing its rights with respect to any assets or expose the Borrower to any Material Adverse Occurrence.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5.2. </w:t>
      </w:r>
      <w:r>
        <w:rPr>
          <w:rFonts w:ascii="Times New Roman;sans-serif" w:hAnsi="Times New Roman;sans-serif"/>
          <w:b w:val="false"/>
          <w:color w:val="000000"/>
          <w:sz w:val="24"/>
          <w:u w:val="single"/>
        </w:rPr>
        <w:t>Authorization and Validity</w:t>
      </w:r>
      <w:r>
        <w:rPr>
          <w:rFonts w:ascii="Times New Roman;sans-serif" w:hAnsi="Times New Roman;sans-serif"/>
          <w:b w:val="false"/>
          <w:color w:val="000000"/>
          <w:sz w:val="24"/>
        </w:rPr>
        <w:t>. The Borrower has the power and authority and legal right to execute and deliver the Loan Documents to which it is a party and to perform its obligations thereunder. The execution and delivery by the Borrower of the Loan Documents to which it is a party and the performance of its obligations thereunder have been duly authorized by proper corporate proceedings, and the Loan Documents to which the Borrower is a party constitute legal, valid and binding obligations of the Borrower enforceable against the Borrower in accordance with their terms, except as enforceability may be limited by bankruptcy, insolvency or similar laws affecting the enforcement of creditors’ rights generally.</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5.3. </w:t>
      </w:r>
      <w:r>
        <w:rPr>
          <w:rFonts w:ascii="Times New Roman;sans-serif" w:hAnsi="Times New Roman;sans-serif"/>
          <w:b w:val="false"/>
          <w:color w:val="000000"/>
          <w:sz w:val="24"/>
          <w:u w:val="single"/>
        </w:rPr>
        <w:t>No Conflict; No Default</w:t>
      </w:r>
      <w:r>
        <w:rPr>
          <w:rFonts w:ascii="Times New Roman;sans-serif" w:hAnsi="Times New Roman;sans-serif"/>
          <w:b w:val="false"/>
          <w:color w:val="000000"/>
          <w:sz w:val="24"/>
        </w:rPr>
        <w:t xml:space="preserve">. Neither the execution and delivery by the Borrower of the Loan Documents to which it is a party, nor the consummation of the transactions therein contemplated, nor compliance with the provisions thereof will violate (i) any law, rule, regulation, order, writ, judgment, injunction, decree or award binding on the Borrower or (ii) the Borrower’s Constituent Documents, or (iii) the provisions of any indenture, instrument or agreement to which the Borrower or any of its Subsidiaries is a party or is subject, or by which it, or its </w:t>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692265" cy="175260"/>
                <wp:effectExtent l="0" t="0" r="0" b="0"/>
                <wp:wrapNone/>
                <wp:docPr id="105" name="Frame10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Property, is bound, or conflict with or constitute a default thereunder, or result in, or require, the creation or imposition of any Lien in, of or on the Property of the Borrower or a Restricted Subsidiary pursuant to the terms of any such indenture, instrument or agreement. Neither the Borrower nor any Restricted Subsidiary is in default under or in violation of any such law, statute, rule, regulation, order, writ, judgment, injunction, decree, determination, or award or any such indenture, loan or credit agreement, or other agreement, lease, or instrument in any case in which the consequences of such default or violation could constitute a Material Adverse Effect.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5.4. </w:t>
      </w:r>
      <w:r>
        <w:rPr>
          <w:rFonts w:ascii="Times New Roman;sans-serif" w:hAnsi="Times New Roman;sans-serif"/>
          <w:b w:val="false"/>
          <w:color w:val="000000"/>
          <w:sz w:val="24"/>
          <w:u w:val="single"/>
        </w:rPr>
        <w:t>Government Consent.</w:t>
      </w:r>
      <w:r>
        <w:rPr>
          <w:color w:val="000000"/>
        </w:rPr>
        <w:t xml:space="preserve"> </w:t>
      </w:r>
      <w:r>
        <w:rPr>
          <w:rFonts w:ascii="Times New Roman;sans-serif" w:hAnsi="Times New Roman;sans-serif"/>
          <w:b w:val="false"/>
          <w:color w:val="000000"/>
          <w:sz w:val="24"/>
        </w:rPr>
        <w:t>No order, consent, adjudication, approval, license, authorization, or validation of, or filing, recording or registration with, or exemption by, or other action in respect of any governmental or public body or authority, or any subdivision thereof, which has not been obtained by the Borrower or any of its Restricted Subsidiaries, is required to be obtained by the Borrower or any of its Restricted Subsidiaries in connection with the execution and delivery of the Loan Documents, the borrowings under this Agreement, the payment and performance by the Borrower of the Obligations or the legality, validity, binding effect or enforceability of any of the Loan Documents.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5.5. </w:t>
      </w:r>
      <w:r>
        <w:rPr>
          <w:rFonts w:ascii="Times New Roman;sans-serif" w:hAnsi="Times New Roman;sans-serif"/>
          <w:b w:val="false"/>
          <w:color w:val="000000"/>
          <w:sz w:val="24"/>
          <w:u w:val="single"/>
        </w:rPr>
        <w:t>Financial Statements and Condition</w:t>
      </w:r>
      <w:r>
        <w:rPr>
          <w:rFonts w:ascii="Times New Roman;sans-serif" w:hAnsi="Times New Roman;sans-serif"/>
          <w:b w:val="false"/>
          <w:color w:val="000000"/>
          <w:sz w:val="24"/>
        </w:rPr>
        <w:t>. The December 31, 2016 audited consolidated financial statements of the Borrower and its Subsidiaries, and the Borrower’s unaudited financial statements dated as of June 30, 2017, heretofore delivered to the Lenders were prepared in accordance with GAAP in effect on the date such statements were prepared and fairly present the consolidated financial condition and operations of the Borrower and its Subsidiaries at such date and the consolidated results of their operations for the period then ended. The consolidated financial projections (including an operating budget and a cash flow budget) of the Borrower heretofore delivered to the Administrative Agent in connection with the most recent audited financial statements were prepared by the Borrower in good faith utilizing assumptions believed by the Borrower to be reasonable at the time.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5.6. </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Since the date of the most recent audited financial statements delivered to the Administrative Agent there has been no Material Adverse Effect.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5.7.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Borrower and its Subsidiaries have filed all United States federal and state income Tax returns and all other material Tax returns which are required to be filed by them and have paid all United States federal and state income Taxes and all other material Taxes due from the Borrower and its Subsidiaries, including, without limitation, pursuant to any assessment received by the Borrower or any of its Subsidiaries, except such Taxes, if any, as are being contested in good faith and as to which adequate reserves have been provided in accordance with GAAP and as to which no Lien exists. No Tax Liens have been filed and no claims have been asserted in writing with respect to any such Taxes. The charges, accruals and reserves on the books of the Borrower and its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92265" cy="175260"/>
                <wp:effectExtent l="0" t="0" r="0" b="0"/>
                <wp:wrapNone/>
                <wp:docPr id="106" name="Frame10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Subsidiaries in respect of any Taxes or other governmental charges are adequate in all material respects.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5.8. </w:t>
      </w:r>
      <w:r>
        <w:rPr>
          <w:rFonts w:ascii="Times New Roman;sans-serif" w:hAnsi="Times New Roman;sans-serif"/>
          <w:b w:val="false"/>
          <w:color w:val="000000"/>
          <w:sz w:val="24"/>
          <w:u w:val="single"/>
        </w:rPr>
        <w:t>Litigation and Contingent Obligations</w:t>
      </w:r>
      <w:r>
        <w:rPr>
          <w:rFonts w:ascii="Times New Roman;sans-serif" w:hAnsi="Times New Roman;sans-serif"/>
          <w:b w:val="false"/>
          <w:color w:val="000000"/>
          <w:sz w:val="24"/>
        </w:rPr>
        <w:t>. There is no litigation, arbitration, governmental investigation, proceeding or inquiry pending or, to the knowledge of any of their officers, threatened against or affecting the Borrower or any of its Subsidiaries which could reasonably be expected to have a Material Adverse Effect or which seeks to prevent, enjoin or delay the making of any Credit Extensions. Other than any liability incident to any litigation, arbitration or proceeding which could not reasonably be expected to have a Material Adverse Effect, the Borrower has no material Contingent Obligations not provided for or disclosed in the financial statements referred to in Section 5.5.</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5.9.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Each Plan is in substantial compliance with all applicable requirements of ERISA and the Code and with all material applicable rulings and regulations issued under the provisions of ERISA and the Code setting forth those requirements. No Reportable Event has occurred and is continuing with respect to any Plan. All of the minimum funding standards applicable to such Plans have been satisfied and there exists no event or condition that would reasonably be expected to result in the institution of proceedings to terminate any Plan under § 4042 of ERISA. With respect to each Plan subject to Title IV of ERISA, as of the most recent valuation date for such Plan, the present value (determined on the basis of reasonable assumptions employed by the independent actuary for such Plan and previously furnished in writing to the Administrative Agent) of such Plan’s projected benefit obligations did not exceed the fair market value of such Plan’s assets.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5.10. </w:t>
      </w:r>
      <w:r>
        <w:rPr>
          <w:rFonts w:ascii="Times New Roman;sans-serif" w:hAnsi="Times New Roman;sans-serif"/>
          <w:b w:val="false"/>
          <w:color w:val="000000"/>
          <w:sz w:val="24"/>
          <w:u w:val="single"/>
        </w:rPr>
        <w:t>Regulation U</w:t>
      </w:r>
      <w:r>
        <w:rPr>
          <w:rFonts w:ascii="Times New Roman;sans-serif" w:hAnsi="Times New Roman;sans-serif"/>
          <w:b w:val="false"/>
          <w:color w:val="000000"/>
          <w:sz w:val="24"/>
        </w:rPr>
        <w:t>. Margin stock (as defined in Regulation U) constitutes less than 25% of the value of those assets of the Borrower and its Subsidiaries which are subject to any limitation on sale, pledge, or other restriction hereunder.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Section 6.13 or Section 6.16 or subject to any restriction contained in any agreement or instrument between the Borrower and any Lender or any Affiliate of any Lender relating to Indebtedness and within the scope of Section 7.5 will be margin stock.</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5.11.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Borrower and its Subsidiaries are in compliance in all material respects with all applicable statutes, rules, regulations, orders and restrictions of any Governmental Authority having jurisdiction over the conduct of their respective businesses or the ownership of their respective Property.</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92265" cy="175260"/>
                <wp:effectExtent l="0" t="0" r="0" b="0"/>
                <wp:wrapNone/>
                <wp:docPr id="107" name="Frame10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5.12. </w:t>
      </w:r>
      <w:r>
        <w:rPr>
          <w:rFonts w:ascii="Times New Roman;sans-serif" w:hAnsi="Times New Roman;sans-serif"/>
          <w:b w:val="false"/>
          <w:color w:val="000000"/>
          <w:sz w:val="24"/>
          <w:u w:val="single"/>
        </w:rPr>
        <w:t>Ownership of Properties</w:t>
      </w:r>
      <w:r>
        <w:rPr>
          <w:rFonts w:ascii="Times New Roman;sans-serif" w:hAnsi="Times New Roman;sans-serif"/>
          <w:b w:val="false"/>
          <w:color w:val="000000"/>
          <w:sz w:val="24"/>
        </w:rPr>
        <w:t>. Except as set forth in Schedule 5.12, on the date of this Agreement, the Borrower and its Restricted Subsidiaries will have good title, free of all Liens other than Permitted Liens, to all of the Property and assets reflected in the Borrower’s most recent consolidated financial statements provided to the Administrative Agent as owned by the Borrower and its Restricted Subsidiaries (other than as may have been disposed of in a manner permitted by Section 6.13(a)).</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5.13. </w:t>
      </w:r>
      <w:r>
        <w:rPr>
          <w:rFonts w:ascii="Times New Roman;sans-serif" w:hAnsi="Times New Roman;sans-serif"/>
          <w:b w:val="false"/>
          <w:color w:val="000000"/>
          <w:sz w:val="24"/>
          <w:u w:val="single"/>
        </w:rPr>
        <w:t>Trademarks; Patents</w:t>
      </w:r>
      <w:r>
        <w:rPr>
          <w:rFonts w:ascii="Times New Roman;sans-serif" w:hAnsi="Times New Roman;sans-serif"/>
          <w:b w:val="false"/>
          <w:color w:val="000000"/>
          <w:sz w:val="24"/>
        </w:rPr>
        <w:t>. Each of the Borrower and the Restricted Subsidiaries possesses or has the right to use all of the patents, trademarks, trade names, service marks, and copyrights, and applications therefor, and all technology, know-how, processes, methods, and designs necessary for the conduct of its business, without known conflict with the rights of others which would reasonably be expected to result in a Material Adverse Effect.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5.14. </w:t>
      </w:r>
      <w:r>
        <w:rPr>
          <w:rFonts w:ascii="Times New Roman;sans-serif" w:hAnsi="Times New Roman;sans-serif"/>
          <w:b w:val="false"/>
          <w:color w:val="000000"/>
          <w:sz w:val="24"/>
          <w:u w:val="single"/>
        </w:rPr>
        <w:t>Burdensome Restrictions</w:t>
      </w:r>
      <w:r>
        <w:rPr>
          <w:rFonts w:ascii="Times New Roman;sans-serif" w:hAnsi="Times New Roman;sans-serif"/>
          <w:b w:val="false"/>
          <w:color w:val="000000"/>
          <w:sz w:val="24"/>
        </w:rPr>
        <w:t xml:space="preserve">. Neither the Borrower nor any Restricted Subsidiary is a party to or otherwise bound by any indenture, loan or credit agreement, or lease or other agreement or instrument or subject to any charter, corporate, or partnership restriction that could constitute a Material Adverse Effect.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5.15. </w:t>
      </w:r>
      <w:r>
        <w:rPr>
          <w:rFonts w:ascii="Times New Roman;sans-serif" w:hAnsi="Times New Roman;sans-serif"/>
          <w:b w:val="false"/>
          <w:color w:val="000000"/>
          <w:sz w:val="24"/>
          <w:u w:val="single"/>
        </w:rPr>
        <w:t>Plan Assets; Prohibited Transactions</w:t>
      </w:r>
      <w:r>
        <w:rPr>
          <w:rFonts w:ascii="Times New Roman;sans-serif" w:hAnsi="Times New Roman;sans-serif"/>
          <w:b w:val="false"/>
          <w:color w:val="000000"/>
          <w:sz w:val="24"/>
        </w:rPr>
        <w:t>. The Borrower is not an entity deemed to hold “plan assets” within the meaning of 29 C.F.R. § 2510.3-101, as modified by Section 3(42) of ERISA, of an employee benefit plan (as defined in Section 3(3) of ERISA) which is subject to Title I of ERISA or any plan (within the meaning of Section 4975 of the Code) which is subject to Section 4975 of the Code, and neither the execution of this Agreement nor the making of Credit Extensions hereunder gives rise to a prohibited transaction within the meaning of Section 406 of ERISA or Section 4975 of the Code. The Borrower is not subject to any law, rule or regulation which is substantially similar to the prohibited transaction provisions of Section 406 of ERISA or Section 4975 of the Code.</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5.16. </w:t>
      </w:r>
      <w:r>
        <w:rPr>
          <w:rFonts w:ascii="Times New Roman;sans-serif" w:hAnsi="Times New Roman;sans-serif"/>
          <w:b w:val="false"/>
          <w:color w:val="000000"/>
          <w:sz w:val="24"/>
          <w:u w:val="single"/>
        </w:rPr>
        <w:t>Environmental Matters</w:t>
      </w:r>
      <w:r>
        <w:rPr>
          <w:rFonts w:ascii="Times New Roman;sans-serif" w:hAnsi="Times New Roman;sans-serif"/>
          <w:b w:val="false"/>
          <w:color w:val="000000"/>
          <w:sz w:val="24"/>
        </w:rPr>
        <w:t>. In the ordinary course of its business, the officers of the Borrower consider the effect of Environmental Laws on the business of the Borrower and its Subsidiaries, in the course of which they identify and evaluate potential risks and liabilities accruing to the Borrower due to Environmental Laws. On the basis of this consideration, the Borrower has concluded its Property and operations and those of its Subsidiaries are in material compliance with applicable Environmental Laws and that none of Borrower or any of its Restricted Subsidiaries is subject to any liability under Environmental Laws that individually or in the aggregate could reasonably be expected to have a Material Adverse Effect. Neither the Borrower nor any Restricted Subsidiary has received any written notice to the effect that its Property and/or operations are not in material compliance with any of the requirements of applicable Environmental Laws or are the subject of any federal or state investigation evaluating whether any remedial action is needed to respond to a release of any Hazardous Material, which non-compliance or remedial action could reasonably be expected to have a Material Adverse Effect.</w:t>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92265" cy="175260"/>
                <wp:effectExtent l="0" t="0" r="0" b="0"/>
                <wp:wrapNone/>
                <wp:docPr id="108" name="Frame10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5.17.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Neither the Borrower nor any Subsidiary is an “investment company” or a company “controlled” by an “investment company”, within the meaning of the Investment Company Act of 1940.</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5.18.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The Borrower maintains, and has caused each Restricted Subsidiary to maintain, with financially sound and reputable insurance companies insurance on all their Property and liability insurance in such amounts, subject to such deductibles and self-insurance retentions and covering such Properties and risks as is consistent with sound business practice.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5.19.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a.Immediately after the consummation of the transactions to occur on the Effective Date and immediately following the making of each Credit Extension, if any, made on the Effective Date and after giving effect to the application of the proceeds of such Credit Extensions, (a) the fair value of the assets of the Borrower and its Subsidiaries on a consolidated basis, at a fair valuation, will exceed the debts and liabilities, subordinated, contingent or otherwise, of the Borrower and its Subsidiaries on a consolidated basis; (b)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subordinated, contingent or otherwise, as such debts and other liabilities become absolute and matured; (c) the Borrower and its Subsidiaries on a consolidated basis will be able to pay their debts and liabilities, subordinated, contingent or otherwise, as such debts and liabilities become absolute and matured; and (d) the Borrower and its Subsidiaries on a consolidated basis will not have unreasonably small capital with which to conduct the businesses in which they are engaged as such businesses are now conducted and are proposed to be conducted after the Effective Date.</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does not intend to, or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5.20. </w:t>
      </w:r>
      <w:r>
        <w:rPr>
          <w:rFonts w:ascii="Times New Roman;sans-serif" w:hAnsi="Times New Roman;sans-serif"/>
          <w:b w:val="false"/>
          <w:color w:val="000000"/>
          <w:sz w:val="24"/>
          <w:u w:val="single"/>
        </w:rPr>
        <w:t>No Default</w:t>
      </w:r>
      <w:r>
        <w:rPr>
          <w:rFonts w:ascii="Times New Roman;sans-serif" w:hAnsi="Times New Roman;sans-serif"/>
          <w:b w:val="false"/>
          <w:color w:val="000000"/>
          <w:sz w:val="24"/>
        </w:rPr>
        <w:t xml:space="preserve">. As of the Effective Date, no Default or Event of Default has occurred and is continuing. </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5.21. </w:t>
      </w:r>
      <w:r>
        <w:rPr>
          <w:rFonts w:ascii="Times New Roman;sans-serif" w:hAnsi="Times New Roman;sans-serif"/>
          <w:b w:val="false"/>
          <w:color w:val="000000"/>
          <w:sz w:val="24"/>
          <w:u w:val="single"/>
        </w:rPr>
        <w:t>Anti-Corruption Laws; Sanctions</w:t>
      </w:r>
      <w:r>
        <w:rPr>
          <w:rFonts w:ascii="Times New Roman;sans-serif" w:hAnsi="Times New Roman;sans-serif"/>
          <w:b w:val="false"/>
          <w:color w:val="000000"/>
          <w:sz w:val="24"/>
        </w:rPr>
        <w:t xml:space="preserve">.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with Anti-Corruption Laws and applicable Sanctions. None of the Borrower’s Subsidiaries, or any directors, officer, employee, agent, or affiliate of the Borrower’s Subsidiaries is an individual or </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92265" cy="175260"/>
                <wp:effectExtent l="0" t="0" r="0" b="0"/>
                <wp:wrapNone/>
                <wp:docPr id="109" name="Frame10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entity that is, or is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 None of the Borrower or any directors, officer, employee, agent, or affiliate of the Borrower is an individual or entity that is, or is 10%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Sudan and Syria).</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5.22. </w:t>
      </w:r>
      <w:r>
        <w:rPr>
          <w:rFonts w:ascii="Times New Roman;sans-serif" w:hAnsi="Times New Roman;sans-serif"/>
          <w:b w:val="false"/>
          <w:color w:val="000000"/>
          <w:sz w:val="24"/>
          <w:u w:val="single"/>
        </w:rPr>
        <w:t>EEA Financial Institution</w:t>
      </w:r>
      <w:r>
        <w:rPr>
          <w:rFonts w:ascii="Times New Roman;sans-serif" w:hAnsi="Times New Roman;sans-serif"/>
          <w:b w:val="false"/>
          <w:color w:val="000000"/>
          <w:sz w:val="24"/>
        </w:rPr>
        <w:t>. No Loan Party is an EEA Financial Institution.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5.23. </w:t>
      </w:r>
      <w:r>
        <w:rPr>
          <w:rFonts w:ascii="Times New Roman;sans-serif" w:hAnsi="Times New Roman;sans-serif"/>
          <w:b w:val="false"/>
          <w:color w:val="000000"/>
          <w:sz w:val="24"/>
          <w:u w:val="single"/>
        </w:rPr>
        <w:t>Full Disclosure.</w:t>
      </w:r>
      <w:r>
        <w:rPr>
          <w:color w:val="000000"/>
        </w:rPr>
        <w:t xml:space="preserve"> </w:t>
      </w:r>
      <w:r>
        <w:rPr>
          <w:rFonts w:ascii="Times New Roman;sans-serif" w:hAnsi="Times New Roman;sans-serif"/>
          <w:b w:val="false"/>
          <w:color w:val="000000"/>
          <w:sz w:val="24"/>
        </w:rPr>
        <w:t>Subject to the following sentence, neither the financial statements referred to in Section 5.5 or Section 6.1, nor any other certificate, written statement, exhibit, or report furnished by or on behalf of the Borrower in connection with or pursuant to this Agreement, contains any untrue statement of a material fact or omits any material fact necessary to make the statements therein not misleading. Certificates or statements furnished by or on behalf of the Borrower to the Administrative Agent consisting of projections or forecasts of future results or events have been prepared in good faith and based on good faith estimates and assumptions of the management of the Borrower, and the Borrower has no reason to believe that such projections or forecasts are not reasonable.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5.24. </w:t>
      </w: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 Schedule 5.24 sets forth as of the date of this Agreement a list of all Subsidiaries, the number and percentage of the shares of each class of Equity Interests owned beneficially or of record by the Borrower or any Subsidiary therein and the jurisdiction of incorporation of each Subsidiary, and designates whether such Subsidiary is a Restricted Subsidiary. All of the issued and outstanding Equity Interests of such Subsidiaries have been (to the extent such concepts are relevant with respect to such ownership interests) duly authorized and issued and are fully paid and non-assessable.</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COVENANTS</w:t>
      </w:r>
    </w:p>
    <w:p>
      <w:pPr>
        <w:pStyle w:val="TextBody"/>
        <w:spacing w:before="0" w:after="0"/>
        <w:jc w:val="center"/>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term of this Agreement, unless the Required Lenders shall otherwise consent in writing:</w:t>
      </w:r>
    </w:p>
    <w:p>
      <w:pPr>
        <w:pStyle w:val="TextBody"/>
        <w:spacing w:before="0" w:after="0"/>
        <w:ind w:left="0" w:right="0" w:firstLine="72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6.1. Financial Reporting. The Borrower will maintain, for itself and each Subsidiary, a system of accounting established and administered in accordance with GAAP, and furnish to the Administrative Agent:</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92265" cy="175260"/>
                <wp:effectExtent l="0" t="0" r="0" b="0"/>
                <wp:wrapNone/>
                <wp:docPr id="110" name="Frame11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a.Within 120 days after the close of each of its fiscal years, an unqualified (except for qualifications relating to changes in accounting principles or practices reflecting changes in GAAP) audit report, with no going concern modifier, certified by independent certified public accountants acceptable to the Lenders, prepared in accordance with GAAP on a consolidated basis for itself and its Subsidiaries, including balance sheets as of the end of such period, related profit and loss and reconciliation of surplus statements, and a statement of cash flows.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b.Within 120 days after the close of each of its fiscal years, consolidating unaudited balance sheets of the Borrower as of the close of each such period and consolidating profit and loss and reconciliation of surplus statements (including sufficient detail for independent calculation of the financial covenants set forth in Section 6.21) and a statement of cash flows of the Borrower or the period from the beginning of such fiscal year to the end of such quarter, all certified by its chief financial officer.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c.Within 60 days after the close of the first three (3) quarterly periods of each of its fiscal years, for itself and its Subsidiaries, consolidated unaudited balance sheets as of the close of each such period and consolidated profit and loss and reconciliation of surplus statements (including sufficient detail for independent calculation of the financial covenants set forth in Section 6.21) and a statement of cash flows for the period from the beginning of such fiscal year to the end of such quarter, all certified by its chief financial officer.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d.As soon as available, but in any event within 120 days after the beginning of each fiscal year of the Borrower, a copy of the plan and forecast (including a projected consolidated balance sheet, income statement and cash flow statement) of the Borrower and Subsidiaries on a consolidated basis for such fiscal year.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e.Together with the financial statements required under Sections 6.1(a) and 6.1(c), a compliance certificate in substantially the form of Exhibit B (the “Compliance Certificate”) signed by its chief financial officer showing the calculations necessary to determine compliance with this Agreement and stating that no Default or Event of Default exists, or if any Default or Event of Default exists, stating the nature and status thereof.</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f.Promptly upon the furnishing thereof to the shareholders of the Borrower, copies of all financial statements, reports and proxy statements so furnished.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g.Promptly upon the filing thereof, copies of all registration statements and annual, quarterly, monthly or other regular reports which the Borrower or any of its Subsidiaries files with the U.S. Securities and Exchange Commission.</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h.During the Factory Transition Period, within 30 days after the close of each calendar month, for itself and its Subsidiaries, consolidated unaudited balance sheets as of the close of each such period and consolidated profit and loss and reconciliation of surplus statements (including sufficient detail for independent calculation of the financial covenants set forth in Section 6.21) and a statement of cash flows for the period from the </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92265" cy="175260"/>
                <wp:effectExtent l="0" t="0" r="0" b="0"/>
                <wp:wrapNone/>
                <wp:docPr id="111" name="Frame1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of such fiscal year to the end of such month, all certified by its chief financial officer.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 during the Factory Transition Period the Available Aggregate Revolving Commitment is less than $20 million at any time within a calendar month then, within 15 days following the end of such calendar month, a 13 week forecast of the cash flow for itself and its Subsidiaries, prepared by its chief financial officer.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j.Such other information (including non-financial information and environmental reports) as the Administrative Agent may from time to time reasonably request.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k.Immediately upon any officer of the Borrower becoming aware of any Default or Event of Default, a notice describing the nature thereof and what action the Borrower proposes to take with respect thereto.</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any information which is required to be furnished to the Lenders under Section 6.1 is required by law or regulation to be filed by the Borrower with a government body on an earlier date, then the information required hereunder shall be furnished to the Lenders at such earlier date. Any financial statement required to be furnished pursuant to Section 6.1(a) or 6.1(c) shall be deemed to have been furnished on the date on which the Lenders receive notice that the Borrower has filed such financial statement with the U.S. Securities and Exchange Commission and is available on the EDGAR website on the Internet at www.sec.gov or any successor government website that is freely and readily available to the Administrative Agent and the Lenders without charge; provided that the Borrower shall give notice of any such filing to the Administrative Agent (who shall then give notice of any such filing to the Lenders). Notwithstanding the foregoing, the Borrower shall deliver paper or electronic copies of any such financial statement to the Administrative Agent if the Administrative Agent requests the Borrower to furnish such paper or electronic copies until written notice to cease delivering such paper or electronic copies is given by the Administrative Agent.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6.2.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xml:space="preserve">. The Borrower will, and will cause each Subsidiary to, use the proceeds of the Credit Extensions for general corporate purposes, Permitted Acquisitions, repurchases of Borrower Equity Interests, and other purposes specifically contemplated or permitted by this Agreement. The Borrower will not, nor will it permit any Subsidiary to, use any of the proceeds of the Borrowings to purchase or carry any “margin stock” (as defined in Regulation U) to the extent that such transaction would cause the representation set forth in Section 5.10 of this Agreement to be untrue as if remade by the Borrower as of the effectiveness of such transaction, or would otherwise be in violation of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92265" cy="175260"/>
                <wp:effectExtent l="0" t="0" r="0" b="0"/>
                <wp:wrapNone/>
                <wp:docPr id="112" name="Frame1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6.3. </w:t>
      </w:r>
      <w:r>
        <w:rPr>
          <w:rFonts w:ascii="Times New Roman;sans-serif" w:hAnsi="Times New Roman;sans-serif"/>
          <w:b w:val="false"/>
          <w:color w:val="000000"/>
          <w:sz w:val="24"/>
          <w:u w:val="single"/>
        </w:rPr>
        <w:t>Notice of Material Events</w:t>
      </w:r>
      <w:r>
        <w:rPr>
          <w:rFonts w:ascii="Times New Roman;sans-serif" w:hAnsi="Times New Roman;sans-serif"/>
          <w:b w:val="false"/>
          <w:color w:val="000000"/>
          <w:sz w:val="24"/>
        </w:rPr>
        <w:t>. The Borrower will, and will cause each Subsidiary to, give notice in writing to the Administrative Agent and each Lender, promptly and in any event within ten days after an officer of the Borrower obtains knowledge thereof, of the occurrence of any of the following:</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a.any Default or Event of Default;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 the filing or commencement of any action, suit or proceeding by or before any arbitrator or Governmental Authority (including pursuant to any applicable Environmental Laws) against or affecting the Borrower or any Affiliate thereof that, if adversely determined, would reasonably be expected to result in a Material Adverse Effect or which seeks to prevent, enjoin or delay the making of any Credit Extensions and (ii) any material adverse development which occurs in any litigation, arbitration or governmental investigation or proceeding previously disclosed by the Borrower or any Subsidiary;</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c.with respect to a Plan, (i) any failure to pay all required minimum contributions and installments on or before the due dates provided under Section 430(j) of the Code or (ii) the filing pursuant to Section 412(c) of the Code or Section 302(c) of ERISA, of an application for a waiver of the minimum funding standard;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occurrence of any ERISA Event that, alone or together with any other ERISA Events that have occurred, would reasonably be expected to result in a Material Adverse Effect;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e.any material change in accounting policies of, or financial reporting practices by, the Borrower or any Subsidiary; and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f.any other development, financial or otherwise, which would reasonably be expected to have a Material Adverse Effect.</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notice delivered under this Section 6.3 shall be accompanied by a statement of an officer of the Borrower setting forth the details of the event or development requiring such notice and any action taken or proposed to be taken with respect thereto.</w:t>
      </w:r>
    </w:p>
    <w:p>
      <w:pPr>
        <w:pStyle w:val="TextBody"/>
        <w:spacing w:before="0" w:after="0"/>
        <w:ind w:left="0" w:right="0" w:firstLine="72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6.4. </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xml:space="preserve">. The Borrower will, and will cause each Restricted Subsidiary to, carry on and conduct its business in substantially the same manner and in substantially the same fields of enterprise as it is presently conducted (including activities incidental to the foregoing)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except to the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92265" cy="175260"/>
                <wp:effectExtent l="0" t="0" r="0" b="0"/>
                <wp:wrapNone/>
                <wp:docPr id="113" name="Frame1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extent compliance with this Section 6.4 would reasonably be expected to directly result in a Material Adverse Effect.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6.5.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Borrower will, and will cause each Subsidiary to, timely file complete and correct United States federal and applicable foreign, state and local tax returns required by law and pay when due all taxes, assessments and governmental charges and levies upon it or its income, profits or Property, except those which are being contested in good faith by appropriate proceedings, with respect to which adequate reserves have been set aside in accordance with GAAP and which could not reasonably be expected, individually or in the aggregate, to have a Material Adverse Effect.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6.6.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Borrower will, and will cause each Restricted Subsidiary to, maintain with financially sound and reputable insurance companies insurance on all their Property and liability insurance in such amounts, subject to such deductibles and covering such Properties and risks as is consistent with sound business practice, and the Borrower will furnish to the Administrative Agent, upon its written request, full information as to the insurance carried. The Administrative Agent shall be named as lender loss payee pursuant to a standard mortgagee provision acceptable to the Administrative Agent and/or additional insured with respect to any such insurance providing coverage in respect of any Collateral, and each provider of any such insurance shall agree, by endorsement upon the policy or policies issued by it or by independent instruments furnished to the Administrative Agent, that it will give the Administrative Agent thirty (30) days prior written notices before any such policy or policies shall be cancelled. The Borrower shall notify the Administrative Agent in writing, promptly after any Authorized Officer’s awareness thereof, if (i) any such policy or policies shall be materially altered in a manner adverse to the Administrative Agent and/or the Lenders or (ii) the amount of coverage thereunder shall be reduced.</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6.7. </w:t>
      </w:r>
      <w:r>
        <w:rPr>
          <w:rFonts w:ascii="Times New Roman;sans-serif" w:hAnsi="Times New Roman;sans-serif"/>
          <w:b w:val="false"/>
          <w:color w:val="000000"/>
          <w:sz w:val="24"/>
          <w:u w:val="single"/>
        </w:rPr>
        <w:t>Compliance with Laws and Material Contractual Obligations</w:t>
      </w:r>
      <w:r>
        <w:rPr>
          <w:rFonts w:ascii="Times New Roman;sans-serif" w:hAnsi="Times New Roman;sans-serif"/>
          <w:b w:val="false"/>
          <w:color w:val="000000"/>
          <w:sz w:val="24"/>
        </w:rPr>
        <w:t>. The Borrower will, and will cause each Restricted Subsidiary to, (i) comply in all material respects with all laws, rules, regulations, orders, writs, judgments, injunctions, decrees or awards to which it may be subject including, without limitation, all Environmental Laws, Anti-Corruption Laws and applicable Sanctions and (ii) perform in all material respects its obligations under material agreements to which it is a party. The Borrower will maintain in effect and enforce policies and procedures designed to ensure compliance by the Borrower, its Restricted Subsidiaries and their respective directors, officers, employees and agents with Anti-Corruption Laws and applicable Sanctions. The Borrower will not use or allow any tenants or subtenants to use, or permit any Restricted Subsidiary to use or allow any tenants or subtenants to use, its Property for any business activity that violates, in any material respect, any federal or state law or that supports a business that violates any federal or state law in any material respect.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6.8. </w:t>
      </w:r>
      <w:r>
        <w:rPr>
          <w:rFonts w:ascii="Times New Roman;sans-serif" w:hAnsi="Times New Roman;sans-serif"/>
          <w:b w:val="false"/>
          <w:color w:val="000000"/>
          <w:sz w:val="24"/>
          <w:u w:val="single"/>
        </w:rPr>
        <w:t>Maintenance of Properties</w:t>
      </w:r>
      <w:r>
        <w:rPr>
          <w:rFonts w:ascii="Times New Roman;sans-serif" w:hAnsi="Times New Roman;sans-serif"/>
          <w:b w:val="false"/>
          <w:color w:val="000000"/>
          <w:sz w:val="24"/>
        </w:rPr>
        <w:t xml:space="preserve">. The Borrower shall maintain, and cause each Restricted Subsidiary to maintain, its properties used or useful in the conduct of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92265" cy="175260"/>
                <wp:effectExtent l="0" t="0" r="0" b="0"/>
                <wp:wrapNone/>
                <wp:docPr id="114" name="Frame1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its business in good condition, repair, and working order, and supplied with all necessary equipment, and make all necessary repairs, renewals, replacements, betterments, and improvements thereto, all as reasonably necessary for the business carried on in connection therewith to be properly and advantageously conducted at all times.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6.9. </w:t>
      </w:r>
      <w:r>
        <w:rPr>
          <w:rFonts w:ascii="Times New Roman;sans-serif" w:hAnsi="Times New Roman;sans-serif"/>
          <w:b w:val="false"/>
          <w:color w:val="000000"/>
          <w:sz w:val="24"/>
          <w:u w:val="single"/>
        </w:rPr>
        <w:t>Books and Records; Inspection</w:t>
      </w:r>
      <w:r>
        <w:rPr>
          <w:rFonts w:ascii="Times New Roman;sans-serif" w:hAnsi="Times New Roman;sans-serif"/>
          <w:b w:val="false"/>
          <w:color w:val="000000"/>
          <w:sz w:val="24"/>
        </w:rPr>
        <w:t>. The Borrower will, and will cause each of its Restricted Subsidiaries to, keep proper books of record and account in which full, true and correct entries are made of all dealings and transactions in relation to its business and activities in all material respects. The Borrower will, and will cause each Restricted Subsidiary to, permit the Administrative Agent and the Lenders, by their respective representatives and agents, upon reasonable advance written notice (including email) and, at the Borrower’s expense, to inspect any of the Property, books and financial records of the Borrower and each Restricted Subsidiary, to examine and make copies of the books of accounts and other financial records of the Borrower and each Restricted Subsidiary, and to discuss the affairs, finances and accounts of the Borrower and each Restricted Subsidiary with, and to be advised as to the same by, their respective officers at such reasonable times and intervals as the Administrative Agent or any Lender may designate.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6.10. </w:t>
      </w:r>
      <w:r>
        <w:rPr>
          <w:rFonts w:ascii="Times New Roman;sans-serif" w:hAnsi="Times New Roman;sans-serif"/>
          <w:b w:val="false"/>
          <w:color w:val="000000"/>
          <w:sz w:val="24"/>
          <w:u w:val="single"/>
        </w:rPr>
        <w:t>Payment of Obligations</w:t>
      </w:r>
      <w:r>
        <w:rPr>
          <w:rFonts w:ascii="Times New Roman;sans-serif" w:hAnsi="Times New Roman;sans-serif"/>
          <w:b w:val="false"/>
          <w:color w:val="000000"/>
          <w:sz w:val="24"/>
        </w:rPr>
        <w:t>. The Borrower will, and will cause each of its Subsidiaries to, pay its obligations, including Tax liabilities, that, if not paid, would reasonably be expected to result in a Material Adverse Effect before the same shall become delinquent or in default, except where (a) the validity or amount thereof is being contested in good faith by appropriate proceedings, and (b) the Borrower or such Subsidiary has set aside on its books adequate reserves with respect thereto in accordance with GAAP.</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6.11. </w:t>
      </w: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xml:space="preserve">. The Borrower will not, nor will it permit any Restricted Subsidiary to, create, incur or suffer to exist any Indebtedness, except: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Loans and the Reimbursement Obligations.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b.Indebtedness existing on the date hereof and described in Schedule 6.11 and any renewal or extension of such Indebtedness that does not increase the principal amount thereof.</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c.Indebtedness arising under Swaps, Rate Protection Agreements or Foreign Currency Hedging Agreements that are non-speculative in nature.</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d.Indebtedness for the purchase price of equipment used in the ordinary course of the Borrower’s business, provided, that in no event shall the amount of such purchase-money indebtedness with respect to any equipment exceed 100% of the fair market value of such equipment and, provided further, that any interest-bearing Indebtedness permitted under this Section 6.11(d), in the aggregate, shall not exceed $10,000,000 at any time outstanding.</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e.Indebtedness secured by Liens permitted under Section 6.16(a)-(h).</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92265" cy="175260"/>
                <wp:effectExtent l="0" t="0" r="0" b="0"/>
                <wp:wrapNone/>
                <wp:docPr id="115" name="Frame1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f.Contingent consideration payable in connection with a Permitted Acquisition.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g.Accounts payable, accruals, and deferred Taxes payable in the ordinary course of business.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h.Other Indebtedness, provided that the aggregate principal amount of Indebtedness permitted under this Section 6.11(h), in the aggregate, does not exceed $5,000,000 at any time outstanding.</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6.12. </w:t>
      </w:r>
      <w:r>
        <w:rPr>
          <w:rFonts w:ascii="Times New Roman;sans-serif" w:hAnsi="Times New Roman;sans-serif"/>
          <w:b w:val="false"/>
          <w:color w:val="000000"/>
          <w:sz w:val="24"/>
          <w:u w:val="single"/>
        </w:rPr>
        <w:t>Merger</w:t>
      </w:r>
      <w:r>
        <w:rPr>
          <w:rFonts w:ascii="Times New Roman;sans-serif" w:hAnsi="Times New Roman;sans-serif"/>
          <w:b w:val="false"/>
          <w:color w:val="000000"/>
          <w:sz w:val="24"/>
        </w:rPr>
        <w:t>. The Borrower will not, nor will it permit any Restricted Subsidiary to, merge or consolidate with or into any other Person, or permit any other Person to merge into or consolidate with it, or liquidate or dissolve, except that (i) a Restricted Subsidiary may merge, consolidate, liquidate or dissolve into the Borrower or any wholly-owned Subsidiary (with the Borrower or the wholly-owned Subsidiary being the survivor therefrom) and, after giving effect to such transaction, the Borrowers complies with Section 6.27 and (ii) and the Borrower or any Restricted Subsidiary may merge or consolidate with or into any Person other than the Borrower or a Subsidiary for the sole purpose of effecting a Permitted Acquisition (with the Borrower or such Subsidiary being the survivor thereof).</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6.13. </w:t>
      </w:r>
      <w:r>
        <w:rPr>
          <w:rFonts w:ascii="Times New Roman;sans-serif" w:hAnsi="Times New Roman;sans-serif"/>
          <w:b w:val="false"/>
          <w:color w:val="000000"/>
          <w:sz w:val="24"/>
          <w:u w:val="single"/>
        </w:rPr>
        <w:t>Sale of Assets</w:t>
      </w:r>
      <w:r>
        <w:rPr>
          <w:rFonts w:ascii="Times New Roman;sans-serif" w:hAnsi="Times New Roman;sans-serif"/>
          <w:b w:val="false"/>
          <w:color w:val="000000"/>
          <w:sz w:val="24"/>
        </w:rPr>
        <w:t xml:space="preserve">. The Borrower will not, nor will it permit any Restricted Subsidiary to, lease, sell or otherwise dispose of its Property to any other Person, except: </w: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a.Sales of inventory, or used, worn-out or surplus equipment, all in the ordinary course of business.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sale of equipment to the extent that such equipment is exchanged for credit against the purchase price of similar replacement equipment, or the proceeds of such sale are applied with reasonable promptness to the purchase price of such replacement equipment.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c.Leases, sales or other dispositions of its Property that, together with all other Property of the Borrower and its Subsidiaries previously leased, sold or disposed of (other than sales otherwise permitted under this Section 6.13(c)) during the twelve-month period ending with the month in which any such lease, sale or other disposition occurs, do not constitute a Substantial Portion of the Property of the Borrower and its Subsidiaries.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China Facility Divestment.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6.14. </w:t>
      </w:r>
      <w:r>
        <w:rPr>
          <w:rFonts w:ascii="Times New Roman;sans-serif" w:hAnsi="Times New Roman;sans-serif"/>
          <w:b w:val="false"/>
          <w:color w:val="000000"/>
          <w:sz w:val="24"/>
          <w:u w:val="single"/>
        </w:rPr>
        <w:t>Investments</w:t>
      </w:r>
      <w:r>
        <w:rPr>
          <w:rFonts w:ascii="Times New Roman;sans-serif" w:hAnsi="Times New Roman;sans-serif"/>
          <w:b w:val="false"/>
          <w:color w:val="000000"/>
          <w:sz w:val="24"/>
        </w:rPr>
        <w:t xml:space="preserve">. The Borrower will not, nor will it permit any Restricted Subsidiary to, make or suffer to exist any Investments (including without limitation, loans and advances to, and other Investments in, Subsidiaries), or commitments therefor, or to create any Subsidiary or to become or remain a partner in any partnership or joint venture, except: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a.Cash Equivalent Investments.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92265" cy="175260"/>
                <wp:effectExtent l="0" t="0" r="0" b="0"/>
                <wp:wrapNone/>
                <wp:docPr id="116" name="Frame11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b.Existing Investments in Subsidiaries and other Investments in existence on the date hereof and described in Schedule 6.14.</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c.Investments constituting Permitted Acquisitions.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d.Travel advances to management personnel and employees in the ordinary course of business.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e.Investments constituting Swaps, Rate Protection Agreements or Foreign Currency Hedging Agreements that are non-speculative in nature and are permitted under Section 6.18.</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f.Investments in Subsidiaries after the date of this Agreement, whether through the formation or acquisition of such Subsidiaries, so long as the Borrower has complied with Section 6.27, no Default or Event of Default then exists or would occur as a result of any such Investment, and if any such Investment occurs through an Acquisition, such Acquisition is a Permitted Acquisition.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g.Investments in joint ventures, provided that no Default or Event of Default then exists or would occur as a result of any such Investment.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h.Other readily marketable Investments in debt securities that are reasonably acceptable to the Administrative Agent.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i.Other Investments, provided that the aggregate principal amount of such other Investments does not exceed $7,500,000 at any time outstanding provided that no Default or Event of Default then exists or would occur as a result of any such Investment.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6.15. </w:t>
      </w:r>
      <w:r>
        <w:rPr>
          <w:rFonts w:ascii="Times New Roman;sans-serif" w:hAnsi="Times New Roman;sans-serif"/>
          <w:b w:val="false"/>
          <w:color w:val="000000"/>
          <w:sz w:val="24"/>
          <w:u w:val="single"/>
        </w:rPr>
        <w:t>Acquisitions</w:t>
      </w:r>
      <w:r>
        <w:rPr>
          <w:rFonts w:ascii="Times New Roman;sans-serif" w:hAnsi="Times New Roman;sans-serif"/>
          <w:b w:val="false"/>
          <w:color w:val="000000"/>
          <w:sz w:val="24"/>
        </w:rPr>
        <w:t>. The Borrower will not, nor will it permit any Restricted Subsidiary, to make any Acquisition other than a Permitted Acquisition.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6.16. </w:t>
      </w:r>
      <w:r>
        <w:rPr>
          <w:rFonts w:ascii="Times New Roman;sans-serif" w:hAnsi="Times New Roman;sans-serif"/>
          <w:b w:val="false"/>
          <w:color w:val="000000"/>
          <w:sz w:val="24"/>
          <w:u w:val="single"/>
        </w:rPr>
        <w:t>Liens</w:t>
      </w:r>
      <w:r>
        <w:rPr>
          <w:rFonts w:ascii="Times New Roman;sans-serif" w:hAnsi="Times New Roman;sans-serif"/>
          <w:b w:val="false"/>
          <w:color w:val="000000"/>
          <w:sz w:val="24"/>
        </w:rPr>
        <w:t>. The Borrower will not, nor will it permit any Restricted Subsidiary to, create, incur, or suffer to exist any Lien in, of or on the Property of the Borrower or any of its Restricted Subsidiaries, except: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a.Liens for taxes, assessments or governmental charges or levies on its Property if the same shall not at the time be delinquent or thereafter can be paid without penalty, or are being contested in good faith and by appropriate proceedings and for which adequate reserves in accordance with GAAP shall have been set aside on its books.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b.Liens imposed by law, such as carriers’, warehousemen’s and mechanics’ liens and other similar liens arising in the ordinary course of business which secure payment of obligations not more than 60 days past due or which are being contested in good faith by appropriate proceedings and for which adequate reserves in accordance with GAAP shall have been set aside on its books.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692265" cy="175260"/>
                <wp:effectExtent l="0" t="0" r="0" b="0"/>
                <wp:wrapNone/>
                <wp:docPr id="117" name="Frame11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c.Liens arising out of pledges or deposits under worker’s compensation laws, unemployment insurance, old age pensions, or other social security or retirement benefits, or similar legislation.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d.Utility easements, building restrictions and such other encumbrances or charges against real property as are of a nature generally existing with respect to Properties of a similar character and which do not in any material way affect the marketability of the same or interfere with the use thereof in the business of the Borrower or its Subsidiaries.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e.Liens arising solely by virtue of any statutory or common law provision relating to bankers’ liens, rights of set-off or similar rights and remedies as to deposit accounts, securities accounts or other funds maintained with a creditor depository institution; provided that (i) such account is not a dedicated cash collateral account and is not subject to restriction against access by Borrower or a Subsidiary in excess of those set forth by regulations promulgated by the Board of Governors of the Federal Reserve, and (ii) such account is not intended by the Borrower or any Subsidiary to provide collateral to the depository institution.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f.Liens existing on the date hereof and described in Schedule 6.16.</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g.Liens on Property acquired in a Permitted Acquisition, provided that such Liens extend only to the Property so acquired and were not created in contemplation of such acquisition.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h.Liens in favor of the Administrative Agent or its Affiliates, for the benefit of the Lenders, granted pursuant to any Collateral Document.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i.Other Liens securing Indebtedness permitted under Section 6.11(h) provided that the aggregate principal amount of Indebtedness secured by Liens described in this clause (i) at any time does not exceed $5,000,000 at any time outstanding.</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6.17. </w:t>
      </w:r>
      <w:r>
        <w:rPr>
          <w:rFonts w:ascii="Times New Roman;sans-serif" w:hAnsi="Times New Roman;sans-serif"/>
          <w:b w:val="false"/>
          <w:color w:val="000000"/>
          <w:sz w:val="24"/>
          <w:u w:val="single"/>
        </w:rPr>
        <w:t>Transactions with Affiliates</w:t>
      </w:r>
      <w:r>
        <w:rPr>
          <w:rFonts w:ascii="Times New Roman;sans-serif" w:hAnsi="Times New Roman;sans-serif"/>
          <w:b w:val="false"/>
          <w:color w:val="000000"/>
          <w:sz w:val="24"/>
        </w:rPr>
        <w:t xml:space="preserve">. The Borrower will not, and will not permit any Restricted Subsidiary to, enter into any transaction with any Affiliate of the Borrower except upon fair and reasonable terms no less favorable than the Borrower or such Restricted Subsidiary would obtain in a comparable arms-length transaction.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6.18. </w:t>
      </w:r>
      <w:r>
        <w:rPr>
          <w:rFonts w:ascii="Times New Roman;sans-serif" w:hAnsi="Times New Roman;sans-serif"/>
          <w:b w:val="false"/>
          <w:color w:val="000000"/>
          <w:sz w:val="24"/>
          <w:u w:val="single"/>
        </w:rPr>
        <w:t>Rate Protection and Foreign Currency Hedging Agreements.</w:t>
      </w:r>
      <w:r>
        <w:rPr>
          <w:color w:val="000000"/>
        </w:rPr>
        <w:t xml:space="preserve"> </w:t>
      </w:r>
      <w:r>
        <w:rPr>
          <w:rFonts w:ascii="Times New Roman;sans-serif" w:hAnsi="Times New Roman;sans-serif"/>
          <w:b w:val="false"/>
          <w:color w:val="000000"/>
          <w:sz w:val="24"/>
        </w:rPr>
        <w:t>Borrower shall not, and shall not permit any Restricted Subsidiary to, enter into any hedging arrangements, other than any Rate Protection Agreements and Foreign Currency Hedging Agreements.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6.19. </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xml:space="preserve">. The Borrower will not, nor will it permit any Restricted Subsidiary to, make any Restricted Payment, except that (i) any Subsidiary may declare and pay dividends or make distributions to the Borrower or to a Wholly-Owned Subsidiary of the Borrower subject to continuing compliance with Section 6.27, (ii) the Borrower may declare and pay dividends on its capital stock or repurchase shares of the Borrower’s capital stock provided </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692265" cy="175260"/>
                <wp:effectExtent l="0" t="0" r="0" b="0"/>
                <wp:wrapNone/>
                <wp:docPr id="118" name="Frame11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that no Default or Event of Default shall exist before or after giving effect to such dividends or repurchase as a result thereof.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6.20. </w:t>
      </w:r>
      <w:r>
        <w:rPr>
          <w:rFonts w:ascii="Times New Roman;sans-serif" w:hAnsi="Times New Roman;sans-serif"/>
          <w:b w:val="false"/>
          <w:color w:val="000000"/>
          <w:sz w:val="24"/>
          <w:u w:val="single"/>
        </w:rPr>
        <w:t>Restrictive Agreements</w:t>
      </w:r>
      <w:r>
        <w:rPr>
          <w:rFonts w:ascii="Times New Roman;sans-serif" w:hAnsi="Times New Roman;sans-serif"/>
          <w:b w:val="false"/>
          <w:color w:val="000000"/>
          <w:sz w:val="24"/>
        </w:rPr>
        <w:t xml:space="preserve">. The Borrower will not, and will not permit any of its Restricted Subsidiaries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or assets, or (b) the ability of any Restricted Subsidiary to pay dividends or other distributions with respect to holders of its equity interests or to make or repay loans or advances to the Borrower or any other Restricted Subsidiary or to guarantee Indebtedness of the Borrower or any other Restricted Subsidiary; provided that (i) the foregoing shall not apply to restrictions and conditions imposed by law or by any Loan Document, (ii)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(iii) clause (a) of the foregoing shall not apply to restrictions or conditions imposed by any agreement relating to secured Indebtedness permitted by this Agreement if such restrictions or conditions apply only to the property or assets securing such Indebtedness and (iv) clause (a) of the foregoing shall not apply to customary provisions in leases and other contracts restricting the assignment thereof.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6.21. </w:t>
      </w:r>
      <w:r>
        <w:rPr>
          <w:rFonts w:ascii="Times New Roman;sans-serif" w:hAnsi="Times New Roman;sans-serif"/>
          <w:b w:val="false"/>
          <w:color w:val="000000"/>
          <w:sz w:val="24"/>
          <w:u w:val="single"/>
        </w:rPr>
        <w:t>Financial Covenants</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a.Consolidated Fixed Charge Coverage Ratio. Other than during the Factory Transition Period, the Borrower will not permit the Consolidated Fixed Charge Coverage Ratio to be less than 2.0 to 1.0 as of the end of the then most-recently completed four (4) fiscal quarters.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b.Consolidated Cash Flow Leverage Ratio. Other than during the Factory Transition Period, the Borrower will not permit the Consolidated Cash Flow Leverage Ratio as of the last day of any fiscal quarter to be greater than or equal to 3.00 to 1.00.</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c.Minimum Consolidated EBITDA. Solely during the Factory Transition Period, as of the last day of each Test Period ending on the relevant date set forth below, the Borrower shall have Consolidated EBITDA for such Test Period of no less than the amount set forth opposite such date.</w:t>
      </w:r>
    </w:p>
    <w:p>
      <w:pPr>
        <w:pStyle w:val="TextBody"/>
        <w:spacing w:before="0" w:after="0"/>
        <w:jc w:val="both"/>
        <w:rPr/>
      </w:pPr>
      <w:r>
        <w:rPr/>
      </w:r>
    </w:p>
    <w:tbl>
      <w:tblPr>
        <w:tblW w:w="7739" w:type="dxa"/>
        <w:jc w:val="left"/>
        <w:tblInd w:w="0" w:type="dxa"/>
        <w:tblCellMar>
          <w:top w:w="28" w:type="dxa"/>
          <w:left w:w="28" w:type="dxa"/>
          <w:bottom w:w="28" w:type="dxa"/>
          <w:right w:w="28" w:type="dxa"/>
        </w:tblCellMar>
      </w:tblPr>
      <w:tblGrid>
        <w:gridCol w:w="1589"/>
        <w:gridCol w:w="1395"/>
        <w:gridCol w:w="1410"/>
        <w:gridCol w:w="980"/>
        <w:gridCol w:w="980"/>
        <w:gridCol w:w="1385"/>
      </w:tblGrid>
      <w:tr>
        <w:trPr/>
        <w:tc>
          <w:tcPr>
            <w:tcW w:w="1589"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Test Period</w:t>
            </w:r>
          </w:p>
        </w:tc>
        <w:tc>
          <w:tcPr>
            <w:tcW w:w="334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Minimum Consolidated EBITDA</w:t>
            </w:r>
          </w:p>
        </w:tc>
      </w:tr>
      <w:tr>
        <w:trPr/>
        <w:tc>
          <w:tcPr>
            <w:tcW w:w="4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2023 through March 31, 2023</w:t>
            </w:r>
          </w:p>
        </w:tc>
        <w:tc>
          <w:tcPr>
            <w:tcW w:w="334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$1,700,000</w:t>
            </w:r>
          </w:p>
        </w:tc>
      </w:tr>
      <w:tr>
        <w:trPr/>
        <w:tc>
          <w:tcPr>
            <w:tcW w:w="4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2023 through June 30, 2023</w:t>
            </w:r>
          </w:p>
        </w:tc>
        <w:tc>
          <w:tcPr>
            <w:tcW w:w="334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$7,700,000</w:t>
            </w:r>
          </w:p>
        </w:tc>
      </w:tr>
      <w:tr>
        <w:trPr/>
        <w:tc>
          <w:tcPr>
            <w:tcW w:w="4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2023 through September 30, 2023</w:t>
            </w:r>
          </w:p>
        </w:tc>
        <w:tc>
          <w:tcPr>
            <w:tcW w:w="334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$18,500,000</w:t>
            </w:r>
          </w:p>
        </w:tc>
      </w:tr>
      <w:tr>
        <w:trPr/>
        <w:tc>
          <w:tcPr>
            <w:tcW w:w="43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2023 through December 31, 2023</w:t>
            </w:r>
          </w:p>
        </w:tc>
        <w:tc>
          <w:tcPr>
            <w:tcW w:w="334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$25,000,000</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92265" cy="175260"/>
                <wp:effectExtent l="0" t="0" r="0" b="0"/>
                <wp:wrapNone/>
                <wp:docPr id="119" name="Frame11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6.22. </w:t>
      </w:r>
      <w:r>
        <w:rPr>
          <w:rFonts w:ascii="Times New Roman;sans-serif" w:hAnsi="Times New Roman;sans-serif"/>
          <w:b w:val="false"/>
          <w:color w:val="000000"/>
          <w:sz w:val="24"/>
          <w:u w:val="single"/>
        </w:rPr>
        <w:t>Material Domestic Subsidiaries</w:t>
      </w:r>
      <w:r>
        <w:rPr>
          <w:rFonts w:ascii="Times New Roman;sans-serif" w:hAnsi="Times New Roman;sans-serif"/>
          <w:b w:val="false"/>
          <w:color w:val="000000"/>
          <w:sz w:val="24"/>
        </w:rPr>
        <w:t xml:space="preserve">. As promptly as possible but in any event within thirty (30) days (or such later date as may be agreed by the Administrative Agent in its sole discretion) after a Material Domestic Subsidiary is organized or acquired, or any Person becomes a Material Domestic Subsidiary pursuant to the definition thereof, or is designated by the Borrower or the Administrative Agent as a Material Domestic Subsidiary, the Borrower shall provide the Administrative Agent with written notice thereof setting forth information in reasonable detail describing the material assets of such Subsidiary and, upon the written request of the Administrative Agent, shall cause each such Subsidiary to (i) enter into a guaranty with the Administrative Agent in a form reasonably acceptable to the Administrative Agent and (ii) deliver a joinder to the Security Agreement and provide such other documentation as the Administrative Agent may reasonably request.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6.23.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Each Loan Party will, and will cause each Subsidiary to, in keeping with Section 8.3 hereof, as applicable, promptly correct any ambiguity, omission, mistake, defect, inconsistency or error that may be discovered in any Loan Document or in the execution, acknowledgment or recordation thereof.</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6.24. </w:t>
      </w:r>
      <w:r>
        <w:rPr>
          <w:rFonts w:ascii="Times New Roman;sans-serif" w:hAnsi="Times New Roman;sans-serif"/>
          <w:b w:val="false"/>
          <w:color w:val="000000"/>
          <w:sz w:val="24"/>
          <w:u w:val="single"/>
        </w:rPr>
        <w:t>Anti-Money Laundering Compliance</w:t>
      </w:r>
      <w:r>
        <w:rPr>
          <w:rFonts w:ascii="Times New Roman;sans-serif" w:hAnsi="Times New Roman;sans-serif"/>
          <w:b w:val="false"/>
          <w:color w:val="000000"/>
          <w:sz w:val="24"/>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6.25. </w:t>
      </w:r>
      <w:r>
        <w:rPr>
          <w:rFonts w:ascii="Times New Roman;sans-serif" w:hAnsi="Times New Roman;sans-serif"/>
          <w:b w:val="false"/>
          <w:color w:val="000000"/>
          <w:sz w:val="24"/>
          <w:u w:val="single"/>
        </w:rPr>
        <w:t>Deposit Accounts</w:t>
      </w:r>
      <w:r>
        <w:rPr>
          <w:rFonts w:ascii="Times New Roman;sans-serif" w:hAnsi="Times New Roman;sans-serif"/>
          <w:b w:val="false"/>
          <w:color w:val="000000"/>
          <w:sz w:val="24"/>
        </w:rPr>
        <w:t>. The Borrower will maintain all of its primary United States borrowing, depository, and treasury management at the Administrative Agent for such time as the Administrative Agent is also a Lender.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6.26. </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xml:space="preserve">. The Borrower shall maintain, and cause each Restricted Subsidiary to maintain, its corporate existence in good standing under the laws of its jurisdiction of organization and its qualification to transact business in each jurisdiction where failure so to qualify would permanently preclude the Borrower or such Restricted Subsidiary from enforcing its rights with respect to any material asset or would expose the Borrower or such Restricted Subsidiary to any material liability; provided, however, that nothing herein shall prohibit the merger or liquidation of any Subsidiary allowed under Section 6.12. </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6.27. </w:t>
      </w:r>
      <w:r>
        <w:rPr>
          <w:rFonts w:ascii="Times New Roman;sans-serif" w:hAnsi="Times New Roman;sans-serif"/>
          <w:b w:val="false"/>
          <w:color w:val="000000"/>
          <w:sz w:val="24"/>
          <w:u w:val="single"/>
        </w:rPr>
        <w:t>Additional Restricted Subsidiaries</w:t>
      </w:r>
      <w:r>
        <w:rPr>
          <w:rFonts w:ascii="Times New Roman;sans-serif" w:hAnsi="Times New Roman;sans-serif"/>
          <w:b w:val="false"/>
          <w:color w:val="000000"/>
          <w:sz w:val="24"/>
        </w:rPr>
        <w:t xml:space="preserve">. In the event that upon (a) the delivery of any Compliance Certificate or (b) the completion of any transaction involving the Borrower or any of its Subsidiaries, including the formation or acquisition of any Subsidiary, the aggregate amount of the consolidated assets or aggregate Consolidated EBITDA of the Borrower and the Restricted Subsidiaries existing as of the date for which such Compliance Certificate was prepared or upon giving effect to such transaction was, respectively, either less than (i) 70% of the aggregate amount of the consolidated assets of the Borrower and the Borrower's Subsidiaries or (ii) 70% of the Consolidated EBITDA of the Borrower and the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92265" cy="175260"/>
                <wp:effectExtent l="0" t="0" r="0" b="0"/>
                <wp:wrapNone/>
                <wp:docPr id="120" name="Frame12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Borrower's Subsidiaries, then the Borrower shall, within 30 days thereafter, designate one or more additional Subsidiaries as Restricted Subsidiaries, and each such additional Restricted Subsidiary shall thereafter be a Restricted Subsidiary for all purposes under this Agreement.</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DEFAULTS</w:t>
      </w:r>
    </w:p>
    <w:p>
      <w:pPr>
        <w:pStyle w:val="TextBody"/>
        <w:spacing w:before="0" w:after="0"/>
        <w:jc w:val="center"/>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occurrence of any one or more of the following events shall constitute an Event of Default (each, an “Event of Default”):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 Any representation or warranty made or deemed made by or on behalf of the Borrower or any of its Subsidiaries to the Lenders or the Administrative Agent under or in connection with this Agreement, any Credit Extension, or any certificate or information delivered in connection with this Agreement or any other Loan Document shall be materially false on the date made or confirmed, except to the extent the same expressly relates solely to an earlier date.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7.2. Nonpayment of (i) principal of any Loan when due or (ii) any Reimbursement Obligation, interest upon any Loan, any LC Fee, or any other obligation under any of the Loan Documents within three (3) Business Days after the same becomes due.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7.3. The breach by the Borrower of any of the terms or provisions of Section 6.1 (Financial Reporting), 6.2 (Use of Proceeds), 6.3 (Notice of Material Events), 6.4 (Conduct of Business), 6.7 (Compliance with Laws and Material Contractual Obligations), 6.10 (Payment of Obligations), 6.11 (Indebtedness), 6.12 (Merger), 6.13 (Sale of Assets), 6.14 (Investments), 6.15 (Acquisitions), 6.16 (Liens), 6.19 (Restricted Payments), 6.21 (Financial Covenants), 6.24 (Anti-Money Laundering Compliance) or 6.26 (Existence).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7.4. The breach by the Borrower (other than a breach which constitutes an Event of Default under another Section of this Article VII) of any of the terms or provisions of this Agreement which is not remedied within thirty (30) days after the earlier of (i) the Borrower or any Restricted Subsidiary becoming aware of any such breach and (ii) the Administrative Agent notifying the Borrower of any such breach.</w:t>
      </w:r>
    </w:p>
    <w:p>
      <w:pPr>
        <w:pStyle w:val="TextBody"/>
        <w:spacing w:before="0" w:after="0"/>
        <w:ind w:left="0" w:right="0" w:firstLine="72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7.5. (i) Failure of the Borrower or any of its Subsidiaries to pay when due any payment (whether of principal, interest or any other amount) in respect of any Material Indebtedness, (ii) the default by the Borrower or any of its Subsidiaries in the performance (beyond the applicable grace period with respect thereto, if any) of any term, provision or condition contained in any Material Indebtedness Agreement, or any other event shall occur or condition exist, the effect of which default, event or condition under this clause (ii) is to cause, or to permit the holder(s) of such Material Indebtedness or the lender(s) under any Material Indebtedness Agreement to cause, any portion of such Material Indebtedness to become due prior to its stated maturity or any commitment to lend under any Material Indebtedness Agreement to be terminated prior to its stated expiration date, or (iii) any portion of Material Indebtedness of the Borrower or any of its Subsidiaries shall be declared to be due and payable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692265" cy="175260"/>
                <wp:effectExtent l="0" t="0" r="0" b="0"/>
                <wp:wrapNone/>
                <wp:docPr id="121" name="Frame12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 required to be prepaid or repurchased (other than by a regularly scheduled payment) prior to the stated maturity thereof.</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7.6. The Borrower or any of its Subsidiaries shall (i) have an order for relief entered with respect to it under the Federal bankruptcy laws as now or hereafter in effect, (ii) make an assignment for the benefit of creditors, (iii) apply for, seek, consent to, or acquiesce in, the appointment of a receiver, custodian, trustee, examiner, liquidator or similar official for it or any Substantial Portion of its Property, (iv) institute any proceeding seeking an order for relief under the Federal bankruptcy laws as now or hereafter in effect or seeking to adjudicate it a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(v) take any corporate, limited liability company or partnership action to authorize or effect any of the foregoing actions set forth in this Section 7.6, (vi) fail to contest in good faith any appointment or proceeding described in Section 7.7, or (vii) the Borrower or any of its Subsidiaries shall not pay, or admit in writing its inability to pay, its debts generally as they become due.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7.7. Without the application, approval or consent of the Borrower or any of its Subsidiaries, a receiver, trustee, examiner, liquidator or similar official shall be appointed for the Borrower or any of its Subsidiaries or any Substantial Portion of its Property, or a proceeding described in Section 7.6(iv) shall be instituted against the Borrower or any of its Subsidiaries and such appointment continues undischarged or such proceeding continues undismissed or unstayed for a period of forty-five (45) consecutive days.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7.8. Any court, government or governmental agency shall condemn, seize or otherwise appropriate, or take custody or control of, all or any portion of the Property of the Borrower and its Subsidiaries which, when taken together with all other Property of the Borrower and its Subsidiaries so condemned, seized, appropriated, or taken custody or control of, during the twelve-month period ending with the month in which any such action occurs, constitutes a Substantial Portion.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7.9. The Borrower or any of its Subsidiaries shall fail within ninety (90) days to pay, obtain a stay with respect to, or otherwise discharge one or more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 not be an Event of Default under this Section 7.9 to the extent that a judgment or order is stayed on appeal or otherwise is being appropriately contested in good faith in a court of competent jurisdiction.</w:t>
      </w:r>
    </w:p>
    <w:p>
      <w:pPr>
        <w:pStyle w:val="TextBody"/>
        <w:spacing w:before="0" w:after="0"/>
        <w:ind w:left="0" w:right="0" w:firstLine="720"/>
        <w:jc w:val="both"/>
        <w:rPr/>
      </w:pPr>
      <w:r>
        <w:rPr/>
      </w:r>
    </w:p>
    <w:p>
      <w:pPr>
        <w:pStyle w:val="TextBody"/>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7.10 Any action shall be legally taken by a judgment creditor to attach or levy upon any assets of the Borrower or any of its Subsidiaries to enforce (i) judgments or orders for the payment of money in excess of $500,000 (or the equivalent thereof in currencies other than Dollars) in the aggregate, or (ii) nonmonetary judgments or orders which, individually or in the aggregate, could reasonably be expected to have a Material Adverse Effect; provided, however, that there shall not be an Event of Default under this Section 7.10 to the extent that such action </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92265" cy="175260"/>
                <wp:effectExtent l="0" t="0" r="0" b="0"/>
                <wp:wrapNone/>
                <wp:docPr id="122" name="Frame12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 judgment creditor is being appropriately contested in good faith in a court of competent jurisdiction.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7.11. (i) With respect to a Plan, the Borrower or an ERISA Affiliate is subject to a lien in excess of $500,000 pursuant to Section 430(k) of the Code or Section 302(c) of ERISA or Title IV of ERISA, or (ii) an ERISA Event shall have occurred that, in the opinion of the Required Lenders, when taken together with all other ERISA Events that have occurred, could reasonably be expected to result in a Material Adverse Effect.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7.12 Nonpayment by the Borrower or any Subsidiary of any Swap Obligation when due or the breach by the Borrower or any Subsidiary of any term, provision or condition contained in any Swap or any transaction of the type described in the definition of “Swap,” whether or not any Lender or Affiliate of a Lender is a party thereto.</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7.13 Any Change in Control shall occur.</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7.14     The occurrence of any “default”, as defined in any Loan Document (other than this Agreement) or the breach of any of the terms or provisions of any Loan Document (other than this Agreement), which default or breach continues beyond any period of grace therein provided.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7.15     Any Loan Document shall fail to remain in full force or effect or any action shall be taken to discontinue or to assert the invalidity or unenforceability of any Guaranty, or any Guarantor shall fail to comply with any of the terms or provisions of any Guaranty to which it is a party, any Guarantor repudiates or purports to revoke its Guaranty or any Guarantor shall otherwise deny that it has any further liability under any Guaranty to which it is a party, or shall give notice to such effect.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7.16     Any Collateral Document shall for any reason fail to create a valid and perfected first priority security interest in any Collateral purported to be covered thereby, except as permitted by the terms of any Collateral Document or the terms hereof, or any Collateral Document shall fail to remain in full force or effect or any action shall be taken to discontinue or to assert the invalidity or unenforceability of any Collateral Document, or any Loan Party shall fail to comply with any of the terms or provisions of any Collateral Document to which it is a party.</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ACCELERATION, WAIVERS, AMENDMENTS AND REMEDIES</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8.1. </w:t>
      </w:r>
      <w:r>
        <w:rPr>
          <w:rFonts w:ascii="Times New Roman;sans-serif" w:hAnsi="Times New Roman;sans-serif"/>
          <w:b w:val="false"/>
          <w:color w:val="000000"/>
          <w:sz w:val="24"/>
          <w:u w:val="single"/>
        </w:rPr>
        <w:t>Acceleration; Remedies.</w:t>
      </w:r>
      <w:r>
        <w:rPr>
          <w:color w:val="000000"/>
        </w:rPr>
        <w:t xml:space="preserve"> </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a.If any Event of Default described in Section 7.6 or 7.7 occurs with respect to the Borrower, the obligations of the Lenders to make Loans hereunder and the obligation and power of the LC Issuer to issue Facility LCs shall automatically terminate and the Obligations under this Agreement and the other Loan Documents shall immediately become due and payable without any election or action on the part of the Administrative </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92265" cy="175260"/>
                <wp:effectExtent l="0" t="0" r="0" b="0"/>
                <wp:wrapNone/>
                <wp:docPr id="123" name="Frame12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Agent, the LC Issuer or any Lender and the Borrower will be and become thereby unconditionally obligated, without any further notice, act or demand, to pay to the Administrative Agent an amount in immediately available funds, which funds shall be held in the Facility LC Collateral Account, equal to the difference of (x) the amount of LC Obligations at such time, less (y) the amount on deposit in the Facility LC Collateral Account at such time which is free and clear of all rights and claims of third parties and has not been applied against the Obligations under this Agreement and the other Loan Documents (such difference, the “Collateral Shortfall Amount”). If any other Event of Default occurs, the Administrative Agent may, and at the request of the Required Lenders shall, (a) terminate or suspend the obligations of the Lenders to make Loans hereunder and the obligation and power of the LC Issuer to issue Facility LCs, or declare the Obligations under this Agreement and the other Loan Documents to be due and payable, or both, whereupon the Obligations under this Agreement and the other Loan Documents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funds shall be deposited in the Facility LC Collateral Account.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b.If at any time while any Event of Default is continuing, the Administrative Agent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funds shall be deposited in the Facility LC Collateral Account.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may at any time or from time to time after funds are deposited in the Facility LC Collateral Account, apply such funds to the payment of the Obligations under this Agreement and the other Loan Documents and any other amounts as shall from time to time have become due and payable by the Borrower to the Lenders or the LC Issuer under the Loan Documents, as provided in Section 8.2.</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d.At any time while any Event of Default is continuing, neither the Borrower nor any Person claiming on behalf of or through the Borrower shall have any right to withdraw any of the funds held in the Facility LC Collateral Account. After all of the Obligations under this Agreement and the other Loan Documents have been indefeasibly paid in full and the Aggregate Revolving Commitment has been terminated, any funds remaining in the Facility LC Collateral Account shall be returned by the Administrative Agent to the Borrower or paid to whomever may be legally entitled thereto at such time.</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e.If, within thirty (30) days after acceleration of the maturity of the Obligations under this Agreement and the other Loan Documents or termination of the obligations of the Lenders to make Loans and the obligation and power of the LC Issuer to issue Facility LCs hereunder as a result of any Event of Default (other than any Event of Default as described in Section 7.6 or 7.7 with respect to the Borrower) and before any judgment or decree for the payment of the Obligations due under this Agreement and the other Loan </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692265" cy="175260"/>
                <wp:effectExtent l="0" t="0" r="0" b="0"/>
                <wp:wrapNone/>
                <wp:docPr id="124" name="Frame12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Documents shall have been obtained or entered, the Required Lenders (in their sole discretion) shall so direct, the Administrative Agent shall, by notice to the Borrower, rescind and annul such acceleration and/or termination.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f.Upon the occurrence and during the continuation of any Event of Default, the Administrative Agent may, and at the request of the Required Lenders shall, exercise all rights and remedies under the Loan Documents and enforce all other rights and remedies under applicable law.</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8.2. </w:t>
      </w:r>
      <w:r>
        <w:rPr>
          <w:rFonts w:ascii="Times New Roman;sans-serif" w:hAnsi="Times New Roman;sans-serif"/>
          <w:b w:val="false"/>
          <w:color w:val="000000"/>
          <w:sz w:val="24"/>
          <w:u w:val="single"/>
        </w:rPr>
        <w:t>Application of Funds</w:t>
      </w:r>
      <w:r>
        <w:rPr>
          <w:rFonts w:ascii="Times New Roman;sans-serif" w:hAnsi="Times New Roman;sans-serif"/>
          <w:b w:val="false"/>
          <w:color w:val="000000"/>
          <w:sz w:val="24"/>
        </w:rPr>
        <w:t>. After the exercise of remedies provided for in Section 8.1 (or after the Obligations under this Agreement and the other Loan Documents have automatically become immediately due and payable as set forth in the first sentence of Section 8.1(a)), any amounts received by the Administrative Agent on account of the Obligations shall be applied by the Administrative Agent in the following order: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a.First, to payment of fees, indemnities, expenses and other amounts (including fees, charges and disbursements of counsel to the Administrative Agent and amounts payable under Article III) payable to the Administrative Agent in its capacity as such;</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b.second, to payment of fees, indemnities and other reimbursable expenses (other than principal, interest, and LC Fees) payable to the Lenders and the LC Issuer (including fees, charges and disbursements of counsel to the respective Lenders and the LC Issuer as required by Section 9.6 and amounts payable under Article III);</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c.third, to payment of accrued and unpaid LC Fees and interest on the Loans and Reimbursement Obligations, ratably among the Lenders and the LC Issuer in respect of the respective amounts described in this Section 8.2(c) payable to them;</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d.fourth, to payment of all Obligations ratably among the Lenders, the LC Issuer and any Affiliate of any of the foregoing, including with respect to Lender-Provided Swaps and Cash Management Services;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e.fifth, to the Administrative Agent for deposit to the Facility LC Collateral Account in an amount equal to the Collateral Shortfall Amount (as defined in Section 8.1(a)), if any; and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f.last, the balance, if any, to the Borrower or as otherwise required by law;</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notwithstanding anything to the contrary set forth above, 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 8.2.</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8.3.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Subject to the provisions of this Section 8.3, the Required Lenders (or the Administrative Agent with the consent in writing of the Required Lenders) and the Borrower may enter into agreements supplemental hereto for the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692265" cy="175260"/>
                <wp:effectExtent l="0" t="0" r="0" b="0"/>
                <wp:wrapNone/>
                <wp:docPr id="125" name="Frame12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purpose of adding or modifying any provisions to this Agreement or the Security Agreement or changing in any manner the rights of the Lenders or the Borrower hereunder or thereunder or waiving any Default or Event of Default hereunder; provided, however, that no such supplemental agreement shall:</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a.without the consent of each Lender directly affected thereby, extend the final maturity of any Loan, or extend the expiry date of any Facility LC to a date after the Facility Termination Date or postpone any regularly scheduled payment of principal of any Loan or forgive all or any portion of the principal amount thereof or any Reimbursement Obligation related thereto, or reduce the rate or extend the time of payment of interest or fees thereon or Reimbursement Obligations related thereto or extend or increase the amount of the Revolving Commitment of such Lender hereunder.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b.without the consent of all of the Lenders, reduce the percentage specified in the definition of Required Lenders, make any Loans in any currency other than Dollars, or otherwise change the definition of Required Lenders or any other provision specifying the number or percentage of Lenders required to amend, waive or otherwise modify any rights hereunder or make any determination or grant any consent hereunder.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c.without the consent of all of the Lenders, amend Section 8.2, this Section 8.3 or Section 11.2; provided,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d.without the consent of all of the Lenders, release all or substantially any Guarantor of the Obligations or, except as otherwise provided in Section 10.17, release all or substantially all of the Collateral.</w:t>
      </w:r>
    </w:p>
    <w:p>
      <w:pPr>
        <w:pStyle w:val="TextBody"/>
        <w:spacing w:before="0" w:after="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amendment of any provision of this Agreement relating to the Administrative Agent shall be effective without the written consent of the Administrative Agent, and no amendment of any provision relating to the LC Issuer shall be effective without the written consent of the LC Issuer. No amendment to any provision of this Agreement relating to the Swing Line Lender or any Swing Line Loans shall be effective without the written consent of the Swing Line Lender. The Administrative Agent may waive payment of the fee required under Section 12.3(c) without obtaining the consent of any other party to this Agreement. Notwithstanding anything to the contrary herein, the Administrative Agent may, with the consent of the Borrower only, amend, modify or supplement this Agreement or any of the other Loan Documents to cure any ambiguity, omission, mistake, defect or inconsistency of a technical or immaterial nature, as determined in good faith by the Administrative Agent.</w:t>
      </w:r>
    </w:p>
    <w:p>
      <w:pPr>
        <w:pStyle w:val="TextBody"/>
        <w:spacing w:before="0" w:after="0"/>
        <w:ind w:left="0" w:right="0" w:firstLine="144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8.4. </w:t>
      </w:r>
      <w:r>
        <w:rPr>
          <w:rFonts w:ascii="Times New Roman;sans-serif" w:hAnsi="Times New Roman;sans-serif"/>
          <w:b w:val="false"/>
          <w:color w:val="000000"/>
          <w:sz w:val="24"/>
          <w:u w:val="single"/>
        </w:rPr>
        <w:t>Preservation of Rights</w:t>
      </w:r>
      <w:r>
        <w:rPr>
          <w:rFonts w:ascii="Times New Roman;sans-serif" w:hAnsi="Times New Roman;sans-serif"/>
          <w:b w:val="false"/>
          <w:color w:val="000000"/>
          <w:sz w:val="24"/>
        </w:rPr>
        <w:t xml:space="preserve">. No delay or omission of the Lenders, the LC Issuer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692265" cy="175260"/>
                <wp:effectExtent l="0" t="0" r="0" b="0"/>
                <wp:wrapNone/>
                <wp:docPr id="126" name="Frame12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in such writing specifically set forth. All remedies contained in the Loan Documents or by law afforded shall be cumulative and all shall be available to the Administrative Agent, the LC Issuer and the Lenders until the Obligations have been paid in full.</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IX</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GENERAL PROVISIONS</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9.1. </w:t>
      </w:r>
      <w:r>
        <w:rPr>
          <w:rFonts w:ascii="Times New Roman;sans-serif" w:hAnsi="Times New Roman;sans-serif"/>
          <w:b w:val="false"/>
          <w:color w:val="000000"/>
          <w:sz w:val="24"/>
          <w:u w:val="single"/>
        </w:rPr>
        <w:t>Survival of Representations</w:t>
      </w:r>
      <w:r>
        <w:rPr>
          <w:rFonts w:ascii="Times New Roman;sans-serif" w:hAnsi="Times New Roman;sans-serif"/>
          <w:b w:val="false"/>
          <w:color w:val="000000"/>
          <w:sz w:val="24"/>
        </w:rPr>
        <w:t>. All representations and warranties of the Borrower contained in this Agreement shall survive the making of the Credit Extensions herein contemplated.</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9.2. </w:t>
      </w:r>
      <w:r>
        <w:rPr>
          <w:rFonts w:ascii="Times New Roman;sans-serif" w:hAnsi="Times New Roman;sans-serif"/>
          <w:b w:val="false"/>
          <w:color w:val="000000"/>
          <w:sz w:val="24"/>
          <w:u w:val="single"/>
        </w:rPr>
        <w:t>Governmental Regulation</w:t>
      </w:r>
      <w:r>
        <w:rPr>
          <w:rFonts w:ascii="Times New Roman;sans-serif" w:hAnsi="Times New Roman;sans-serif"/>
          <w:b w:val="false"/>
          <w:color w:val="000000"/>
          <w:sz w:val="24"/>
        </w:rPr>
        <w:t>. Anything contained in this Agreement to the contrary notwithstanding, neither the LC Issuer nor any Lender shall be obligated to extend credit to the Borrower in violation of any limitation or prohibition provided by any applicable statute or regulation.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9.3.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Section headings in the Loan Documents are for convenience of reference only, and shall not govern the interpretation of any of the provisions of the Loan Documents.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9.4.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Loan Documents embody the entire agreement and understanding among the Borrower, the Administrative Agent, the LC Issuer and the Lenders and supersede all prior agreements and understandings among the Borrower, the Administrative Agent, the LC Issuer and the Lenders relating to the subject matter thereof other than those contained in the Fee Letter, which shall survive and remain in full force and effect during the term of this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9.5. </w:t>
      </w:r>
      <w:r>
        <w:rPr>
          <w:rFonts w:ascii="Times New Roman;sans-serif" w:hAnsi="Times New Roman;sans-serif"/>
          <w:b w:val="false"/>
          <w:color w:val="000000"/>
          <w:sz w:val="24"/>
          <w:u w:val="single"/>
        </w:rPr>
        <w:t>Several Obligations; Benefits of this Agreement</w:t>
      </w:r>
      <w:r>
        <w:rPr>
          <w:rFonts w:ascii="Times New Roman;sans-serif" w:hAnsi="Times New Roman;sans-serif"/>
          <w:b w:val="false"/>
          <w:color w:val="000000"/>
          <w:sz w:val="24"/>
        </w:rPr>
        <w:t>.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9.6. </w:t>
      </w:r>
      <w:r>
        <w:rPr>
          <w:rFonts w:ascii="Times New Roman;sans-serif" w:hAnsi="Times New Roman;sans-serif"/>
          <w:b w:val="false"/>
          <w:color w:val="000000"/>
          <w:sz w:val="24"/>
          <w:u w:val="single"/>
        </w:rPr>
        <w:t>Expenses; Indemnification</w:t>
      </w:r>
      <w:r>
        <w:rPr>
          <w:rFonts w:ascii="Times New Roman;sans-serif" w:hAnsi="Times New Roman;sans-serif"/>
          <w:b w:val="false"/>
          <w:color w:val="000000"/>
          <w:sz w:val="24"/>
        </w:rPr>
        <w:t>.</w:t>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Borrower shall reimburse the Administrative Agent and the Arranger upon demand for all reasonable, necessary and actual out-of-pocket expenses paid by the Administrative Agent or the Arranger, including, without limitation, filing and recording costs and fees, costs of any environmental review, consultants’ fees and travel expenses,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692265" cy="175260"/>
                <wp:effectExtent l="0" t="0" r="0" b="0"/>
                <wp:wrapNone/>
                <wp:docPr id="127" name="Frame12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fees, charges and disbursements of outside counsel to the Administrative Agent and the Arranger, and/or the allocated costs of in-house counsel incurred from time to time, in each case, in connection with (i) the due diligence, preparation, administration, negotiation, execution, delivery, syndication, distribution (including, without limitation, via DebtX and any other internet service selected by the Administrative Agent), review, amendment, modification, and administration of the Loan Documents, (ii) the enforcement or protection of the rights of the Administrative Agent, the LC Issuer or any Lender under the Loan Documents, (iii) any workout, restructuring, or amendment during the continuance of an Event of Default, and (iv) assessing and responding to any subpoena, garnishment or similar process served on the Administrative Agent relating to the Borrower, any Collateral, any Guarantor, any Loan Document or the extensions of credit evidenced thereby. Costs and expenses being reimbursed by the Borrower under this Section 9.6(a) shall include only the reasonable, necessary and actual fees, charges, costs and disbursements of one (and only one) outside counsel retained by and on behalf of the Administrative Agent from time to time for the benefit of the Lenders. Costs and expenses being reimbursed by the Borrower under this Section 9.6(a) further include, without limitation, the reasonable, necessary and actual cost and expense of obtaining an appraisal after the occurrence and during the continuance of an Event of Default of each parcel of real property or interest in real property described in the relevant Collateral Documents, which appraisal shall be in conformity with the applicable requirements of any law or any governmental rule, regulation, policy, guideline or directive (whether or not having the force of law), or any interpretation thereof, including, without limitation, the provisions of Title XI of the Financial Institutions Reform, Recovery and Enforcement Act of 1989 and costs and expenses incurred in connection with the Reports described in the following sentence. The Borrower acknowledges that from time to time, and at no cost or expense to Borrower whatsoever, U.S. Bank may prepare and may distribute to the Lenders (but shall have no obligation or duty to prepare or to distribute to the Lenders) certain audit reports (the “Reports”) pertaining to the Borrower’s assets for internal use by U.S. Bank from information furnished to it by or on behalf of the Borrower, after U.S. Bank has exercised its rights of inspection pursuant to this Agreement. Notwithstanding anything in this Section 9.6(a) to the contrary, the maximum fees and other expenses for which Borrower shall be obligated to pay to the Administrative Agent in connection with the drafting, negotiating and execution of the Loan Documents prior to the Closing Date shall not exceed $30,000.</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Borrower hereby further agrees to indemnify and hold harmless the Administrative Agent, the Arranger, the LC Issuer, each Lender, their respective affiliates, and each of their directors, officers and employees, agents and advisors (each, an “Indemnified Party”) against all losses, claims, damages, penalties, judgments, liabilities and expenses (including, without limitation, reasonable attorneys’ fees, charges and disbursements and settlement costs (including, without limitation, all expenses of litigation or preparation therefor) whether or not the Indemnified Party is a party thereto) which any such Indemnified Party may pay or incur arising out of or relating to this Agreement, the other Loan Documents, the transactions contemplated hereby, any actual or alleged presence or release of Hazardous Materials on or from any Property owned or operated by Borrower or any of its Subsidiaries, any environmental liability related in any way to Borrower or any of its Subsidiaries, or any actual or prospective claim, litigation, investigation or proceeding relating to any of the foregoing, whether based on contract, tort or any other </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692265" cy="175260"/>
                <wp:effectExtent l="0" t="0" r="0" b="0"/>
                <wp:wrapNone/>
                <wp:docPr id="128" name="Frame12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theory, whether brought by a third party or by Borrower or any of its Subsidiaries, or the direct or indirect application or proposed application of the proceeds of any Credit Extension hereunder except to the extent that they are determined by a court of competent jurisdiction to have resulted from the gross negligence, bad faith or willful misconduct of the applicable Indemnified Party. The obligations of the Borrower under this Section 9.6 shall survive the termination of this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9.7. </w:t>
      </w:r>
      <w:r>
        <w:rPr>
          <w:rFonts w:ascii="Times New Roman;sans-serif" w:hAnsi="Times New Roman;sans-serif"/>
          <w:b w:val="false"/>
          <w:color w:val="000000"/>
          <w:sz w:val="24"/>
          <w:u w:val="single"/>
        </w:rPr>
        <w:t>Numbers of Documents</w:t>
      </w:r>
      <w:r>
        <w:rPr>
          <w:rFonts w:ascii="Times New Roman;sans-serif" w:hAnsi="Times New Roman;sans-serif"/>
          <w:b w:val="false"/>
          <w:color w:val="000000"/>
          <w:sz w:val="24"/>
        </w:rPr>
        <w:t>. All statements, notices, closing documents, and requests hereunder shall be furnished to the Administrative Agent with sufficient counterparts so that the Administrative Agent may furnish one to each of the Lenders.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9.8. </w:t>
      </w:r>
      <w:r>
        <w:rPr>
          <w:rFonts w:ascii="Times New Roman;sans-serif" w:hAnsi="Times New Roman;sans-serif"/>
          <w:b w:val="false"/>
          <w:color w:val="000000"/>
          <w:sz w:val="24"/>
          <w:u w:val="single"/>
        </w:rPr>
        <w:t>Accounting</w:t>
      </w:r>
      <w:r>
        <w:rPr>
          <w:rFonts w:ascii="Times New Roman;sans-serif" w:hAnsi="Times New Roman;sans-serif"/>
          <w:b w:val="false"/>
          <w:color w:val="000000"/>
          <w:sz w:val="24"/>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5.5, except that any calculation or determination which is to be made on a consolidated basis shall be made for the Borrower and all of its Subsidiaries, including those Subsidiaries, if any, which are unconsolidated on the Borrower’s audited financial statements;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color w:val="000000"/>
        </w:rPr>
        <w:t xml:space="preserve"> </w:t>
      </w:r>
      <w:r>
        <w:rPr>
          <w:rFonts w:ascii="Times New Roman;sans-serif" w:hAnsi="Times New Roman;sans-serif"/>
          <w:b w:val="false"/>
          <w:color w:val="000000"/>
          <w:sz w:val="24"/>
        </w:rPr>
        <w:t xml:space="preserve">that,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Section 825-10-25 (or any other Accounting Standards Codification or Financial Accounting Standard having a similar result or effect) to value any Indebtedness or other liabilities of the Borrower or any of its Subsidiaries at “fair value”, as defined therein, or (ii) any treatment of Indebtedness in respect of convertible debt instruments under Financial Accounting Standards Codification Subtopic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the Administrative Agent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provided that,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 In addition, notwithstanding any other provision contained herein, the definitions set forth in this Agreement and any financial calculations required by the Loan Documents shall be computed to exclude any change to lease accounting rules from those in effect pursuant to Financial Accounting Standards Board Accounting Standards Codification 840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92265" cy="175260"/>
                <wp:effectExtent l="0" t="0" r="0" b="0"/>
                <wp:wrapNone/>
                <wp:docPr id="129" name="Frame1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(Leases) and other related lease accounting guidance as in effect on the date hereof.</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9.9. </w:t>
      </w:r>
      <w:r>
        <w:rPr>
          <w:rFonts w:ascii="Times New Roman;sans-serif" w:hAnsi="Times New Roman;sans-serif"/>
          <w:b w:val="false"/>
          <w:color w:val="000000"/>
          <w:sz w:val="24"/>
          <w:u w:val="single"/>
        </w:rPr>
        <w:t>Severability of Provisions</w:t>
      </w:r>
      <w:r>
        <w:rPr>
          <w:rFonts w:ascii="Times New Roman;sans-serif" w:hAnsi="Times New Roman;sans-serif"/>
          <w:b w:val="false"/>
          <w:color w:val="000000"/>
          <w:sz w:val="24"/>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9.10. </w:t>
      </w:r>
      <w:r>
        <w:rPr>
          <w:rFonts w:ascii="Times New Roman;sans-serif" w:hAnsi="Times New Roman;sans-serif"/>
          <w:b w:val="false"/>
          <w:color w:val="000000"/>
          <w:sz w:val="24"/>
          <w:u w:val="single"/>
        </w:rPr>
        <w:t>Nonliability of Lenders</w:t>
      </w:r>
      <w:r>
        <w:rPr>
          <w:rFonts w:ascii="Times New Roman;sans-serif" w:hAnsi="Times New Roman;sans-serif"/>
          <w:b w:val="false"/>
          <w:color w:val="000000"/>
          <w:sz w:val="24"/>
        </w:rPr>
        <w:t>. The relationship between the Borrower on the one hand and the Lenders, the LC Issuer and the Administrative Agent on the other hand shall be solely that of borrower and lender. Neither the Administrative Agent, the Arranger, the LC Issuer nor any Lender shall have any fiduciary responsibilities to the Borrower. Neither the Administrative Agent, the Arranger, the LC Issuer nor any Lender undertakes any responsibility to the Borrower to review or inform the Borrower of any matter in connection with any phase of the Borrower’s business or operations. The Borrower agrees that neither the Administrative Agent, the Arranger, the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bad faith or willful misconduct of the party from which recovery is sought. Neither the Administrative Agent, the Arranger, the LC Issuer nor any Lender shall have any liability with respect to, and the Borrower hereby waives, releases and agrees not to sue for, any lost profits or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9.11.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The Administrative Agent and each Lender agrees to hold any confidential information which it may receive from the Borrower in connection with this Agreement in confidence, except for disclosure (i) to its Affiliates and to the Administrative Agent and any other Lender and their respective Affiliates, and, in each case, their respective employees, directors, and officers, (ii) to legal counsel, accountants, and other professional advisors to the Administrative Agent or such Lender provided such parties have been notified of the confidential nature of such information, (iii) as provided in Section 12.3(e), (iv) any assignee of or Participant in, or any prospective assignee of or Participant in, any of its rights and obligations under this Agreement, (v) any actual or prospective party (or its respective Affiliates) to any swap, derivative or other transaction under which payments are to be made by reference to the Borrower </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92265" cy="175260"/>
                <wp:effectExtent l="0" t="0" r="0" b="0"/>
                <wp:wrapNone/>
                <wp:docPr id="130" name="Frame1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its obligations, this Agreement or payments hereunder, (vi) to regulatory officials, (vii) to any Person as requested pursuant to or as required by law, regulation, or legal process, (viii) to any Person in connection with any legal proceeding to which it is a party, (ix) to its direct or indirect contractual counterparties in swap agreements or to legal counsel, accountants and other professional advisors to such counterparties provided such parties have been notified of the confidential nature of such information, (x) to rating agencies if requested or required by such agencies in connection with a rating relating to the Borrowings hereunder, (xi) in connection with the exercise of any remedies hereunder or any suit, action or proceeding relating to this Agreement or any other Loan Document or the enforcement of rights hereunder or thereunder, (xii) to the extent such information (1) becomes publicly available other than as a result of a breach of this Section 9.11 or (2) becomes available to the Administrative Agent, the LC Issuer, the Swing Line Lender or any other Lender on a non-confidential basis from a source other than the Borrower, and (xiii) to Thompson Reuters LPC or any similar loan pricing organization. Without limiting Section 9.4, the Borrower agrees that the terms of this Section 9.11 shall set forth the entire agreement between the Borrower and the Administrative Agent and each Lender with respect to any confidential information previously or hereafter received by the Administrative Agent or such Lender in connection with this Agreement, and this Section 9.11 shall supersede any and all prior confidentiality agreements entered into by the Administrative Agent or any Lender with respect to such confidential information.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9.12. </w:t>
      </w:r>
      <w:r>
        <w:rPr>
          <w:rFonts w:ascii="Times New Roman;sans-serif" w:hAnsi="Times New Roman;sans-serif"/>
          <w:b w:val="false"/>
          <w:color w:val="000000"/>
          <w:sz w:val="24"/>
          <w:u w:val="single"/>
        </w:rPr>
        <w:t>Non-reliance</w:t>
      </w:r>
      <w:r>
        <w:rPr>
          <w:rFonts w:ascii="Times New Roman;sans-serif" w:hAnsi="Times New Roman;sans-serif"/>
          <w:b w:val="false"/>
          <w:color w:val="000000"/>
          <w:sz w:val="24"/>
        </w:rPr>
        <w:t>. Each Lender hereby represents that it is not relying on or looking to any margin stock (as defined in Regulation U) for the repayment of the Credit Extensions provided for herein.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9.13. </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The Borrower and each Lender hereby acknowledge and agree that U.S. Bank and/or its Affiliates from time to time may hold investments in, make other loans to or have other relationships with the Borrower and its Affiliates.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9.14. </w:t>
      </w:r>
      <w:r>
        <w:rPr>
          <w:rFonts w:ascii="Times New Roman;sans-serif" w:hAnsi="Times New Roman;sans-serif"/>
          <w:b w:val="false"/>
          <w:color w:val="000000"/>
          <w:sz w:val="24"/>
          <w:u w:val="single"/>
        </w:rPr>
        <w:t>USA PATRIOT ACT NOTIFICATION.</w:t>
      </w:r>
      <w:r>
        <w:rPr>
          <w:color w:val="000000"/>
        </w:rPr>
        <w:t xml:space="preserve"> </w:t>
      </w:r>
      <w:r>
        <w:rPr>
          <w:rFonts w:ascii="Times New Roman;sans-serif" w:hAnsi="Times New Roman;sans-serif"/>
          <w:b w:val="false"/>
          <w:color w:val="000000"/>
          <w:sz w:val="24"/>
        </w:rPr>
        <w:t>The following notification is provided to Borrower pursuant to Section 326 of the PATRIOT Act: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that is subject to the requirements of the PATRIOT Act hereby notifies the Borrower and each other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9.15. </w:t>
      </w:r>
      <w:r>
        <w:rPr>
          <w:rFonts w:ascii="Times New Roman;sans-serif" w:hAnsi="Times New Roman;sans-serif"/>
          <w:b w:val="false"/>
          <w:color w:val="000000"/>
          <w:sz w:val="24"/>
          <w:u w:val="single"/>
        </w:rPr>
        <w:t>Acknowledgement and Consent to Bail-In of EEA Financial Institutions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92265" cy="175260"/>
                <wp:effectExtent l="0" t="0" r="0" b="0"/>
                <wp:wrapNone/>
                <wp:docPr id="131" name="Frame1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write-down and conversion powers of an EEA Resolution Authority and agrees and consents to, and acknowledges and agrees to be bound by:</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application of any Write-Down and Conversion Powers by an EEA Resolution Authority to any such liabilities arising hereunder which may be payable to it by any party hereto that is an EEA Financial Institution; and</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effects of any Bail-In Action on any such liability, including, if applicable:</w:t>
      </w:r>
    </w:p>
    <w:p>
      <w:pPr>
        <w:pStyle w:val="TextBody"/>
        <w:spacing w:before="0" w:after="0"/>
        <w:jc w:val="both"/>
        <w:rPr/>
      </w:pPr>
      <w:r>
        <w:rPr/>
      </w:r>
    </w:p>
    <w:p>
      <w:pPr>
        <w:pStyle w:val="TextBody"/>
        <w:spacing w:lineRule="auto" w:line="268" w:before="0" w:after="0"/>
        <w:ind w:left="0" w:right="0" w:hanging="487"/>
        <w:jc w:val="both"/>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spacing w:before="0" w:after="0"/>
        <w:jc w:val="both"/>
        <w:rPr/>
      </w:pPr>
      <w:r>
        <w:rPr/>
      </w:r>
    </w:p>
    <w:p>
      <w:pPr>
        <w:pStyle w:val="TextBody"/>
        <w:spacing w:lineRule="auto" w:line="268" w:before="0" w:after="0"/>
        <w:ind w:left="0" w:right="0" w:hanging="553"/>
        <w:jc w:val="both"/>
        <w:rPr>
          <w:rFonts w:ascii="Times New Roman;sans-serif" w:hAnsi="Times New Roman;sans-serif"/>
          <w:b w:val="false"/>
          <w:color w:val="000000"/>
          <w:sz w:val="24"/>
        </w:rPr>
      </w:pPr>
      <w:r>
        <w:rPr>
          <w:rFonts w:ascii="Times New Roman;sans-serif" w:hAnsi="Times New Roman;sans-serif"/>
          <w:b w:val="false"/>
          <w:color w:val="000000"/>
          <w:sz w:val="24"/>
        </w:rPr>
        <w:t>ii.a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spacing w:before="0" w:after="0"/>
        <w:jc w:val="both"/>
        <w:rPr/>
      </w:pPr>
      <w:r>
        <w:rPr/>
      </w:r>
    </w:p>
    <w:p>
      <w:pPr>
        <w:pStyle w:val="TextBody"/>
        <w:spacing w:lineRule="auto" w:line="268" w:before="0" w:after="0"/>
        <w:ind w:left="0" w:right="0" w:hanging="620"/>
        <w:jc w:val="both"/>
        <w:rPr>
          <w:rFonts w:ascii="Times New Roman;sans-serif" w:hAnsi="Times New Roman;sans-serif"/>
          <w:b w:val="false"/>
          <w:color w:val="000000"/>
          <w:sz w:val="24"/>
        </w:rPr>
      </w:pPr>
      <w:r>
        <w:rPr>
          <w:rFonts w:ascii="Times New Roman;sans-serif" w:hAnsi="Times New Roman;sans-serif"/>
          <w:b w:val="false"/>
          <w:color w:val="000000"/>
          <w:sz w:val="24"/>
        </w:rPr>
        <w:t>iii.the variation of the terms of such liability in connection with the exercise of the write-down and conversion powers of any EEA Resolution Authority.</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THE ADMINISTRATIVE AGENT</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 </w:t>
      </w:r>
      <w:r>
        <w:rPr>
          <w:rFonts w:ascii="Times New Roman;sans-serif" w:hAnsi="Times New Roman;sans-serif"/>
          <w:b w:val="false"/>
          <w:color w:val="000000"/>
          <w:sz w:val="24"/>
          <w:u w:val="single"/>
        </w:rPr>
        <w:t>Appointment; Nature of Relationship</w:t>
      </w:r>
      <w:r>
        <w:rPr>
          <w:rFonts w:ascii="Times New Roman;sans-serif" w:hAnsi="Times New Roman;sans-serif"/>
          <w:b w:val="false"/>
          <w:color w:val="000000"/>
          <w:sz w:val="24"/>
        </w:rPr>
        <w:t>. U.S. Bank National Association is hereby appointed by each of the Lenders as its contractual representative (herein referred to as the “Administrative Agent”) hereunder and under each other Loan Document, and each of the Lenders irrevocably authorizes the Administrative Agent to act as the contractual representative of such Lender with the rights and duties expressly set forth herein and in the other Loan Documents. The Administrative Agent agrees to act as such contractual representative upon the express conditions contained in this Article X. Notwithstanding the use of the defined term “Administrative Agent,” it is expressly understood and agreed that the Administrative Agent shall not have any fiduciary responsibilities to any Lender by reason of this Agreement or any other Loan Document and that the Administrative Agent is merely acting as the contractual representative of the Lenders with only those duties as are expressly set forth in this Agreement and the other Loan Documents. In its capacity as the Lenders’ contractual representative, the Administrative Agent (i) does not hereby assume any fiduciary duties to any of the Lenders, and (ii) is a “representative” of the Lenders within the meaning of the term “secured party” as defined in the California Uniform Commercial Code and (iii) is acting as an independent contractor, the rights and duties of which are limited to those expressly set forth in this Agreement and the other Loan Documents. Each of the Lenders hereby agrees to assert no claim against the Administrative Agent on any agency theory or any other theory of liability for breach of fiduciary duty, all of which claims each Lender hereby waives.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692265" cy="175260"/>
                <wp:effectExtent l="0" t="0" r="0" b="0"/>
                <wp:wrapNone/>
                <wp:docPr id="132" name="Frame1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10.2. </w:t>
      </w:r>
      <w:r>
        <w:rPr>
          <w:rFonts w:ascii="Times New Roman;sans-serif" w:hAnsi="Times New Roman;sans-serif"/>
          <w:b w:val="false"/>
          <w:color w:val="000000"/>
          <w:sz w:val="24"/>
          <w:u w:val="single"/>
        </w:rPr>
        <w:t>Powers</w:t>
      </w:r>
      <w:r>
        <w:rPr>
          <w:rFonts w:ascii="Times New Roman;sans-serif" w:hAnsi="Times New Roman;sans-serif"/>
          <w:b w:val="false"/>
          <w:color w:val="000000"/>
          <w:sz w:val="24"/>
        </w:rPr>
        <w:t>. The Administrative Agent shall have and may exercise such powers under the Loan Documents as are specifically delegated to the Administrative Agent by the terms of each thereof, together with such powers as are reasonably incidental thereto. The Administrative Agent shall have no implied duties to the Lenders, or any obligation to the Lenders to take any action thereunder except any action specifically provided by the Loan Documents to be taken by the Administrative Agent.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10.3. </w:t>
      </w:r>
      <w:r>
        <w:rPr>
          <w:rFonts w:ascii="Times New Roman;sans-serif" w:hAnsi="Times New Roman;sans-serif"/>
          <w:b w:val="false"/>
          <w:color w:val="000000"/>
          <w:sz w:val="24"/>
          <w:u w:val="single"/>
        </w:rPr>
        <w:t>General Immunity</w:t>
      </w:r>
      <w:r>
        <w:rPr>
          <w:rFonts w:ascii="Times New Roman;sans-serif" w:hAnsi="Times New Roman;sans-serif"/>
          <w:b w:val="false"/>
          <w:color w:val="000000"/>
          <w:sz w:val="24"/>
        </w:rPr>
        <w:t>. Neither the Administrative Agent nor any of its directors, officers, agents or employees shall be liable to the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bad faith or willful misconduct of such Person.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10.4. </w:t>
      </w:r>
      <w:r>
        <w:rPr>
          <w:rFonts w:ascii="Times New Roman;sans-serif" w:hAnsi="Times New Roman;sans-serif"/>
          <w:b w:val="false"/>
          <w:color w:val="000000"/>
          <w:sz w:val="24"/>
          <w:u w:val="single"/>
        </w:rPr>
        <w:t>No Responsibility for Loans, Recitals, etc</w:t>
      </w:r>
      <w:r>
        <w:rPr>
          <w:rFonts w:ascii="Times New Roman;sans-serif" w:hAnsi="Times New Roman;sans-serif"/>
          <w:b w:val="false"/>
          <w:color w:val="000000"/>
          <w:sz w:val="24"/>
        </w:rPr>
        <w:t>.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10.5. </w:t>
      </w:r>
      <w:r>
        <w:rPr>
          <w:rFonts w:ascii="Times New Roman;sans-serif" w:hAnsi="Times New Roman;sans-serif"/>
          <w:b w:val="false"/>
          <w:color w:val="000000"/>
          <w:sz w:val="24"/>
          <w:u w:val="single"/>
        </w:rPr>
        <w:t>Action on Instructions of Lenders</w:t>
      </w:r>
      <w:r>
        <w:rPr>
          <w:rFonts w:ascii="Times New Roman;sans-serif" w:hAnsi="Times New Roman;sans-serif"/>
          <w:b w:val="false"/>
          <w:color w:val="000000"/>
          <w:sz w:val="24"/>
        </w:rPr>
        <w:t xml:space="preserve">.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it shall be requested in writing to do so by the Required Lenders. The Administrative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 The Administrative Agent may, at any time, request instructions from the Required Lenders with respect to any actions or approvals which, by the terms of this Agreement or any of the Loan </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92265" cy="175260"/>
                <wp:effectExtent l="0" t="0" r="0" b="0"/>
                <wp:wrapNone/>
                <wp:docPr id="133" name="Frame1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Documents, the Administrative Agent is permitted or required to take or to grant without consent or approval from the Required Lenders, and if such instructions are promptly requested, the Administrative Agent will be absolutely entitled to refrain from taking any action or to withhold any approval under any of the Loan Documents and will not have any liability for refraining from taking any action or withholding any approval under any of the Loan Documents until it has received such instructions from the Required Lenders.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10.6. </w:t>
      </w:r>
      <w:r>
        <w:rPr>
          <w:rFonts w:ascii="Times New Roman;sans-serif" w:hAnsi="Times New Roman;sans-serif"/>
          <w:b w:val="false"/>
          <w:color w:val="000000"/>
          <w:sz w:val="24"/>
          <w:u w:val="single"/>
        </w:rPr>
        <w:t>Employment of Administrative Agents and Counsel</w:t>
      </w:r>
      <w:r>
        <w:rPr>
          <w:rFonts w:ascii="Times New Roman;sans-serif" w:hAnsi="Times New Roman;sans-serif"/>
          <w:b w:val="false"/>
          <w:color w:val="000000"/>
          <w:sz w:val="24"/>
        </w:rPr>
        <w:t>. The Administrative Agent may execute any of its duties as Administrative Agent hereunder and under any other Loan Document by or through employees, agents, and attorneys-in-fact. The Administrative Agent will not be responsible for the negligence or misconduct of any agents or attorneys-in-fact except to the extent that a court of competent jurisdiction determines in a final and nonappealable judgment that the Administrative Agent acted with gross negligence, bad faith or willful misconduct in the selection of agents or attorneys-in-fact.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10.7. </w:t>
      </w:r>
      <w:r>
        <w:rPr>
          <w:rFonts w:ascii="Times New Roman;sans-serif" w:hAnsi="Times New Roman;sans-serif"/>
          <w:b w:val="false"/>
          <w:color w:val="000000"/>
          <w:sz w:val="24"/>
          <w:u w:val="single"/>
        </w:rPr>
        <w:t>Reliance on Documents; Counsel</w:t>
      </w:r>
      <w:r>
        <w:rPr>
          <w:rFonts w:ascii="Times New Roman;sans-serif" w:hAnsi="Times New Roman;sans-serif"/>
          <w:b w:val="false"/>
          <w:color w:val="000000"/>
          <w:sz w:val="24"/>
        </w:rPr>
        <w:t>. The Administrative Agent shall be entitled to rely upon any Note, notice, consent, certificate, affidavit, letter, telegram, facsimile, telex, electronic mail message, statement, paper or document believed by it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applicable date specifying its objection thereto.</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10.8. </w:t>
      </w:r>
      <w:r>
        <w:rPr>
          <w:rFonts w:ascii="Times New Roman;sans-serif" w:hAnsi="Times New Roman;sans-serif"/>
          <w:b w:val="false"/>
          <w:color w:val="000000"/>
          <w:sz w:val="24"/>
          <w:u w:val="single"/>
        </w:rPr>
        <w:t>Administrative Agent’s Reimbursement and Indemnification</w:t>
      </w:r>
      <w:r>
        <w:rPr>
          <w:rFonts w:ascii="Times New Roman;sans-serif" w:hAnsi="Times New Roman;sans-serif"/>
          <w:b w:val="false"/>
          <w:color w:val="000000"/>
          <w:sz w:val="24"/>
        </w:rPr>
        <w:t xml:space="preserve">. The Lenders agree to reimburse and indemnify the Administrative Agent ratably in proportion to their respective Pro Rata Shares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Administrative Agent and any Lender or between two or more of the Lenders) and (iii) for any liabilities, obligations, losses, damages, penalties, actions, judgments, suits, costs, expenses or disbursements of any kind and nature whatsoever which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92265" cy="175260"/>
                <wp:effectExtent l="0" t="0" r="0" b="0"/>
                <wp:wrapNone/>
                <wp:docPr id="134" name="Frame1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in connection with any dispute between the Administrative Agent and any Lender or between two or more of the Lenders), or the enforcement of any of the terms of the Loan Documents or of any such other documents, provided that (i) no Lender shall be liable for any of the foregoing to the extent any of the foregoing is found in a final non-appealable judgment by a court of competent jurisdiction to have resulted from the gross negligence or willful misconduct of the Administrative Agent and (ii) any indemnification required pursuant to Section 3.5(d) shall, notwithstanding the provisions of this Section 10.8, be paid by the relevant Lender in accordance with the provisions thereof. The obligations of the Lenders under this Section 10.8 shall survive payment of the Obligations and termination of this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10.9. </w:t>
      </w:r>
      <w:r>
        <w:rPr>
          <w:rFonts w:ascii="Times New Roman;sans-serif" w:hAnsi="Times New Roman;sans-serif"/>
          <w:b w:val="false"/>
          <w:color w:val="000000"/>
          <w:sz w:val="24"/>
          <w:u w:val="single"/>
        </w:rPr>
        <w:t>Notice of Event of Default</w:t>
      </w:r>
      <w:r>
        <w:rPr>
          <w:rFonts w:ascii="Times New Roman;sans-serif" w:hAnsi="Times New Roman;sans-serif"/>
          <w:b w:val="false"/>
          <w:color w:val="000000"/>
          <w:sz w:val="24"/>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except as expressly set forth in the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10.10. </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 In the event the Administrative Agent is a Lender, the Administrative Agent shall have the same rights and powers hereunder and under any other Loan Document with respect to its Revolving Commitment and its Loans as any Lender and may exercise the same as though it were not the Administrative Agent, and the term “Lender” or “Lenders” shall, at any time when the Administrative Agent is a Lender, unless the context otherwise indicates,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the Borrower or any of its Subsidiaries in which the Borrower or such Subsidiary is not restricted hereby from engaging with any other Person.</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10.11. </w:t>
      </w:r>
      <w:r>
        <w:rPr>
          <w:rFonts w:ascii="Times New Roman;sans-serif" w:hAnsi="Times New Roman;sans-serif"/>
          <w:b w:val="false"/>
          <w:color w:val="000000"/>
          <w:sz w:val="24"/>
          <w:u w:val="single"/>
        </w:rPr>
        <w:t xml:space="preserve">Lender Credit Decision, Legal Representation. </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the Arranger or any other Lender and based on such documents and information as it shall deem appropriate at the time, continue to make its own credit decisions in taking or not taking action under </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92265" cy="175260"/>
                <wp:effectExtent l="0" t="0" r="0" b="0"/>
                <wp:wrapNone/>
                <wp:docPr id="135" name="Frame1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and the other Loan Documents. Except for any notice, report, document or other information expressly required to be furnished to the Lenders by the Administrative Agent or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Arranger (whether or not in their respective capacity as Administrative Agent or Arranger) or any of their Affiliates.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10.12. </w:t>
      </w:r>
      <w:r>
        <w:rPr>
          <w:rFonts w:ascii="Times New Roman;sans-serif" w:hAnsi="Times New Roman;sans-serif"/>
          <w:b w:val="false"/>
          <w:color w:val="000000"/>
          <w:sz w:val="24"/>
          <w:u w:val="single"/>
        </w:rPr>
        <w:t>Successor Administrative Agen</w:t>
      </w:r>
      <w:r>
        <w:rPr>
          <w:rFonts w:ascii="Times New Roman;sans-serif" w:hAnsi="Times New Roman;sans-serif"/>
          <w:b w:val="false"/>
          <w:color w:val="000000"/>
          <w:sz w:val="24"/>
        </w:rPr>
        <w:t xml:space="preserve">t. The Administrative Agent may resign at any time by giving written notice thereof to the Lenders and the Borrower, such resignation to be effective upon the appointment of a successor Administrative Agent or, if no successor Administrative Agent has been appointed, thirty (30) days after the retiring Administrative Agent gives notice of its intention to resign. Upon any such resignation, the Required Lenders shall have the right to appoint (upon consultation with the Borrower as long as no Event of Default exists), on behalf of the Borrower and the Lenders, a successor Administrative Agent. If no successor Administrative Agent shall have been so appointed by the Required Lenders within fifteen (15)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which is a commercial bank as a successor Administrative Agent hereunder. If the Administrative Agent has resigned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Upon the acceptance of any appointment as Administrative Agent hereunder by a successor Administrative Agent, such successor Administrative Agent shall thereupon succeed to and become vested with all the rights, powers, privileges and duties of the resigning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92265" cy="175260"/>
                <wp:effectExtent l="0" t="0" r="0" b="0"/>
                <wp:wrapNone/>
                <wp:docPr id="136" name="Frame1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Agent hereunder and under the other Loan Documents. In the event that there is a successor to the Administrative Agent by merger, or the Administrative Agent assigns its duties and obligations to an Affiliate pursuant to this Section 10.12, then the term “Prime Rate” as used in this Agreement shall mean the prime rate, base rate or other analogous rate of the new Administrative Agent.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10.13. </w:t>
      </w:r>
      <w:r>
        <w:rPr>
          <w:rFonts w:ascii="Times New Roman;sans-serif" w:hAnsi="Times New Roman;sans-serif"/>
          <w:b w:val="false"/>
          <w:color w:val="000000"/>
          <w:sz w:val="24"/>
          <w:u w:val="single"/>
        </w:rPr>
        <w:t>Administrative Agent Fees</w:t>
      </w:r>
      <w:r>
        <w:rPr>
          <w:rFonts w:ascii="Times New Roman;sans-serif" w:hAnsi="Times New Roman;sans-serif"/>
          <w:b w:val="false"/>
          <w:color w:val="000000"/>
          <w:sz w:val="24"/>
        </w:rPr>
        <w:t>. The Borrower agrees to pay, as are payable from time to time, the Administrative Agent the fees agreed to by the Borrower pursuant to that certain letter dated September 13, 2017 (the “</w:t>
      </w:r>
      <w:r>
        <w:rPr>
          <w:rFonts w:ascii="Times New Roman;sans-serif" w:hAnsi="Times New Roman;sans-serif"/>
          <w:b w:val="false"/>
          <w:color w:val="000000"/>
          <w:sz w:val="24"/>
          <w:u w:val="single"/>
        </w:rPr>
        <w:t>Fee Letter</w:t>
      </w:r>
      <w:r>
        <w:rPr>
          <w:color w:val="000000"/>
        </w:rPr>
        <w:t>”</w:t>
      </w:r>
      <w:r>
        <w:rPr>
          <w:rFonts w:ascii="Times New Roman;sans-serif" w:hAnsi="Times New Roman;sans-serif"/>
          <w:b w:val="false"/>
          <w:color w:val="000000"/>
          <w:sz w:val="24"/>
        </w:rPr>
        <w:t>), or as otherwise agreed from time to time.</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10.14. </w:t>
      </w:r>
      <w:r>
        <w:rPr>
          <w:rFonts w:ascii="Times New Roman;sans-serif" w:hAnsi="Times New Roman;sans-serif"/>
          <w:b w:val="false"/>
          <w:color w:val="000000"/>
          <w:sz w:val="24"/>
          <w:u w:val="single"/>
        </w:rPr>
        <w:t>Delegation to Affiliates</w:t>
      </w:r>
      <w:r>
        <w:rPr>
          <w:rFonts w:ascii="Times New Roman;sans-serif" w:hAnsi="Times New Roman;sans-serif"/>
          <w:b w:val="false"/>
          <w:color w:val="000000"/>
          <w:sz w:val="24"/>
        </w:rPr>
        <w:t>. The Borrower and the Lenders agree that the Administrative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Administrative Agent is entitled under Articles IX and X.</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10.15. </w:t>
      </w:r>
      <w:r>
        <w:rPr>
          <w:rFonts w:ascii="Times New Roman;sans-serif" w:hAnsi="Times New Roman;sans-serif"/>
          <w:b w:val="false"/>
          <w:color w:val="000000"/>
          <w:sz w:val="24"/>
          <w:u w:val="single"/>
        </w:rPr>
        <w:t>Execution of Collateral Documents</w:t>
      </w:r>
      <w:r>
        <w:rPr>
          <w:rFonts w:ascii="Times New Roman;sans-serif" w:hAnsi="Times New Roman;sans-serif"/>
          <w:b w:val="false"/>
          <w:color w:val="000000"/>
          <w:sz w:val="24"/>
        </w:rPr>
        <w:t>. The Lenders hereby empower and authorize the Administrative Agent to execute and deliver to the Borrower on their behalf the Collateral Documents and all related financing statements and any financing statements, agreements, documents or instruments as shall be necessary or appropriate to effect the purposes of the Collateral Documents.</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10.16. </w:t>
      </w:r>
      <w:r>
        <w:rPr>
          <w:rFonts w:ascii="Times New Roman;sans-serif" w:hAnsi="Times New Roman;sans-serif"/>
          <w:b w:val="false"/>
          <w:color w:val="000000"/>
          <w:sz w:val="24"/>
          <w:u w:val="single"/>
        </w:rPr>
        <w:t>Collateral Releases and Subordination</w:t>
      </w:r>
      <w:r>
        <w:rPr>
          <w:rFonts w:ascii="Times New Roman;sans-serif" w:hAnsi="Times New Roman;sans-serif"/>
          <w:b w:val="false"/>
          <w:color w:val="000000"/>
          <w:sz w:val="24"/>
        </w:rPr>
        <w:t xml:space="preserve">.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may (and each Lender hereby authorizes the Administrative Agent to), at the Borrower’s expense, execute and deliver to the applicable Loan Party such documents as such Loan Party may reasonably request to evidence the release of such item of Collateral from the security interest granted under the Loan Documents or to subordinate its interest </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92265" cy="175260"/>
                <wp:effectExtent l="0" t="0" r="0" b="0"/>
                <wp:wrapNone/>
                <wp:docPr id="137" name="Frame1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therein, or to release a Guarantor from its obligations under the Guaranty, in each case in accordance with the terms of the Loan Documents.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10.17. </w:t>
      </w:r>
      <w:r>
        <w:rPr>
          <w:rFonts w:ascii="Times New Roman;sans-serif" w:hAnsi="Times New Roman;sans-serif"/>
          <w:b w:val="false"/>
          <w:color w:val="000000"/>
          <w:sz w:val="24"/>
          <w:u w:val="single"/>
        </w:rPr>
        <w:t>No Advisory or Fiduciary Responsibility</w:t>
      </w:r>
      <w:r>
        <w:rPr>
          <w:rFonts w:ascii="Times New Roman;sans-serif" w:hAnsi="Times New Roman;sans-serif"/>
          <w:b w:val="false"/>
          <w:color w:val="000000"/>
          <w:sz w:val="24"/>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and each of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each of the Lenders with respect to any breach or alleged breach of agency or fiduciary duty in connection with any aspect of any transaction contemplated hereby.</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SETOFF; RATABLE PAYMENTS</w:t>
      </w:r>
    </w:p>
    <w:p>
      <w:pPr>
        <w:pStyle w:val="TextBody"/>
        <w:spacing w:before="0" w:after="0"/>
        <w:jc w:val="center"/>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11.1. </w:t>
      </w:r>
      <w:r>
        <w:rPr>
          <w:rFonts w:ascii="Times New Roman;sans-serif" w:hAnsi="Times New Roman;sans-serif"/>
          <w:b w:val="false"/>
          <w:color w:val="000000"/>
          <w:sz w:val="24"/>
          <w:u w:val="single"/>
        </w:rPr>
        <w:t>Setoff</w:t>
      </w:r>
      <w:r>
        <w:rPr>
          <w:rFonts w:ascii="Times New Roman;sans-serif" w:hAnsi="Times New Roman;sans-serif"/>
          <w:b w:val="false"/>
          <w:color w:val="000000"/>
          <w:sz w:val="24"/>
        </w:rPr>
        <w:t xml:space="preserve">. The Borrower hereby grants each Lender a security interest in all deposits, credits and deposit accounts (including all account balances, whether provisional or final and whether or not collected or available) of the Borrower with such Lender or any Affiliate of such Lender (the “Deposits”) to secure the Obligations. In addition to, and without limitation of, any rights of the Lenders under applicable law, if the Borrower becomes insolvent, however evidenced, or any Event of Default occurs, Borrower authorizes each Lender, with the prior written consent of the Administrative Agent, to offset and apply all such Deposits toward the payment of the Obligations owing to such Lender, whether or not the Obligations, or any part thereof, shall then be due and regardless of the existence or adequacy of any collateral, guaranty or any other security, right or remedy available to such Lender or the Lenders;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in the event that any Defaulting Lender shall exercise such right of setoff, (x) all amounts so set off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692265" cy="175260"/>
                <wp:effectExtent l="0" t="0" r="0" b="0"/>
                <wp:wrapNone/>
                <wp:docPr id="138" name="Frame1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11.2. </w:t>
      </w:r>
      <w:r>
        <w:rPr>
          <w:rFonts w:ascii="Times New Roman;sans-serif" w:hAnsi="Times New Roman;sans-serif"/>
          <w:b w:val="false"/>
          <w:color w:val="000000"/>
          <w:sz w:val="24"/>
          <w:u w:val="single"/>
        </w:rPr>
        <w:t>Ratable Payments</w:t>
      </w:r>
      <w:r>
        <w:rPr>
          <w:rFonts w:ascii="Times New Roman;sans-serif" w:hAnsi="Times New Roman;sans-serif"/>
          <w:b w:val="false"/>
          <w:color w:val="000000"/>
          <w:sz w:val="24"/>
        </w:rPr>
        <w:t>. If any Lender, whether by setoff or otherwise, has payment made to it upon its Revolving Exposure (other than payments received pursuant to Section 3.1, 3.2, or 3.5) in a greater proportion than that received by any other Lender, such Lender agrees, promptly upon demand, to purchase a portion of the Aggregate Revolving Exposure held by the other Lenders so that after such purchase each Lender will hold its Pro Rata Share of the Aggregate Revolving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or other protection ratably in proportion to their respective Pro Rata Shares of the Aggregate Revolving Exposure. In case any such payment is disturbed by legal process, or otherwise, appropriate further adjustments shall be made.</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BENEFIT OF AGREEMENT; ASSIGNMENTS; PARTICIPATIONS</w:t>
      </w:r>
    </w:p>
    <w:p>
      <w:pPr>
        <w:pStyle w:val="TextBody"/>
        <w:spacing w:before="0" w:after="0"/>
        <w:jc w:val="center"/>
        <w:rPr/>
      </w:pPr>
      <w:r>
        <w:rPr/>
      </w:r>
    </w:p>
    <w:p>
      <w:pPr>
        <w:pStyle w:val="TextBody"/>
        <w:spacing w:lineRule="auto" w:line="268"/>
        <w:ind w:left="0" w:right="0" w:hanging="360"/>
        <w:jc w:val="both"/>
        <w:rPr/>
      </w:pPr>
      <w:r>
        <w:rPr>
          <w:rFonts w:ascii="Times New Roman;sans-serif" w:hAnsi="Times New Roman;sans-serif"/>
          <w:b w:val="false"/>
          <w:color w:val="000000"/>
          <w:sz w:val="24"/>
        </w:rPr>
        <w:t xml:space="preserve">12.1.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12.1 shall be null and void, unless such attempted assignment or transfer is treated as a participation in accordance with the terms of this Agreement. The parties to this Agreement acknowledge that clause (ii) of this Section 12.1 relates only to absolute assignments and this Section 12.1 does not prohibit assignments creating security interests, including, without limitation, (x) any pledge or assignment by any Lender of all or any portion of its rights under this Agreement and any Note to a Federal Reserve Bank or (y) in the case of a Lender which is a Fund, any pledge or assignment of all or any portion of its rights under this Agreement and any Note to its trustee in support of its obligations to its trustee; provided, however, that no such pledge or assignment creating a security interest shall release the transferor Lender from its obligations hereunder unless and until the parties thereto have complied with the provisions of Section 12.3. The Administrative Agent may treat the Person which made any </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92265" cy="175260"/>
                <wp:effectExtent l="0" t="0" r="0" b="0"/>
                <wp:wrapNone/>
                <wp:docPr id="139" name="Frame1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Loan or which holds any Note as the owner thereof for all purposes hereof unless and until such Person complies with Section 12.3; provided, however, that the Administrative Agent may in its discretion (but shall not be required to) follow instructions from the Person 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12.2. Participations.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Permitted Participants; Effec</w:t>
      </w:r>
      <w:r>
        <w:rPr>
          <w:rFonts w:ascii="Times New Roman;sans-serif" w:hAnsi="Times New Roman;sans-serif"/>
          <w:b w:val="false"/>
          <w:color w:val="000000"/>
          <w:sz w:val="24"/>
        </w:rPr>
        <w:t>t. Any Lender may at any time sell to one or more entities (“Participants”) participating interests in any Revolving Exposure owing to such Lender, any Note held by such Lender, any Revolving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Revolving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Voting Rights</w:t>
      </w:r>
      <w:r>
        <w:rPr>
          <w:rFonts w:ascii="Times New Roman;sans-serif" w:hAnsi="Times New Roman;sans-serif"/>
          <w:b w:val="false"/>
          <w:color w:val="000000"/>
          <w:sz w:val="24"/>
        </w:rPr>
        <w:t xml:space="preserve">. Each Lender shall retain the sole right to approve, without the consent of any Participant, any amendment, modification or waiver of any provision of the Loan Documents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each such Lender may agree in its participation agreement with its Participant that such Lender will not vote to approve any amendment, modification or waiver with respect to any Revolving Exposure or Revolving Commitment in which such Participant has an interest which would require consent of all of the Lenders pursuant to the terms of Section 8.3 or of any other Loan Document.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Benefit of Certain Provisions</w:t>
      </w:r>
      <w:r>
        <w:rPr>
          <w:rFonts w:ascii="Times New Roman;sans-serif" w:hAnsi="Times New Roman;sans-serif"/>
          <w:b w:val="false"/>
          <w:color w:val="000000"/>
          <w:sz w:val="24"/>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provided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3.5, 9.6 and 9.10 to the same extent as if it were a Lender and had acquired its interest by assignment pursuant to </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692265" cy="175260"/>
                <wp:effectExtent l="0" t="0" r="0" b="0"/>
                <wp:wrapNone/>
                <wp:docPr id="140" name="Frame1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 xml:space="preserve">Section 12.3, provided that (i) a Participant shall not be entitled to receive any greater payment under Section 3.1 or 3.2 than the Lender who sold the participating interest to such Participant would have received had it retained such interest for its own account, unless the sale of such interest to such Participant is made with the prior written consent of the Borrower, and (ii) a Participant shall not be entitled to receive any greater payment under Section 3.5 than the Lender who sold the participating interest to such Participant would have received had it retained such interest for its own account (A) except to the extent such entitlement to receive a greater payment results from a change in treaty, law or regulation (or any change in the interpretation or administration thereof by any Governmental Authority) that occurs after the Participant acquired the applicable participation and (B), in the case of any Participant that would be a Non-U.S. Lender if it were a Lender, such Participant agrees to comply with the provisions of Section 3.5 to the same extent as if it were a Lender (it being understood that the documentation required under Section 3.5(f) shall be delivered to the participating Lender). Each Lender that sells a participation shall, acting solely for this purpose as an agent of the Borrower, maintain a register on which it enters the name and address of each Participant and the principal amounts (and stated interest) of each Participant’s interest in any Revolving Exposure, any Note, any Revolving Commitment or any other obligations under the Loan Documents (the “Participant Register”);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Lender shall have any obligation to disclose all or any portion of the Participant Register (including the identity of any Participant or any information relating to a Participant's interest in any Revolving Exposure, any Note, any Revolving Commitment or any other obligations under the Loan Documents) to any Person except to the extent that such disclosure is necessary to establish that such Revolving Exposure, any Note, any Revolving Commitment or any other obligations under the Loan Documents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12.3. </w:t>
      </w:r>
      <w:r>
        <w:rPr>
          <w:rFonts w:ascii="Times New Roman;sans-serif" w:hAnsi="Times New Roman;sans-serif"/>
          <w:b w:val="false"/>
          <w:color w:val="000000"/>
          <w:sz w:val="24"/>
          <w:u w:val="single"/>
        </w:rPr>
        <w:t>Assignments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Permitted Assignments.</w:t>
      </w:r>
      <w:r>
        <w:rPr>
          <w:color w:val="000000"/>
        </w:rPr>
        <w:t xml:space="preserve"> </w:t>
      </w:r>
      <w:r>
        <w:rPr>
          <w:rFonts w:ascii="Times New Roman;sans-serif" w:hAnsi="Times New Roman;sans-serif"/>
          <w:b w:val="false"/>
          <w:color w:val="000000"/>
          <w:sz w:val="24"/>
        </w:rPr>
        <w:t xml:space="preserve">Any Lender may at any time assign to one or more Eligible Assignees (“Purchasers”) all or any part of its rights and obligations under the Loan Documents. Such assignment shall be substantially in the form of Exhibit C or in such other form reasonably acceptable to the Administrative Agent as may be agreed to by the parties thereto. Each such assignment with respect to a Purchaser which is not a Lender or an Affiliate of a Lender or an Approved Fund shall either be in an amount equal to the entire applicable Revolving Commitment and Revolving Exposure of the assigning Lender or (unless each of the Borrower and the Administrative Agent otherwise consents) be in an aggregate amount not less than $5,000,000. The amount of the assignment shall be based on the Revolving Commitment or Revolving Exposure (if the Revolving Commitment has been terminated) subject to the assignment, determined as of the date of such assignment or as of the “Trade Date,” if the “Trade Date” is specified in the assignment. The consent of the Administrative Agent shall be required prior to an assignment becoming effective.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92265" cy="175260"/>
                <wp:effectExtent l="0" t="0" r="0" b="0"/>
                <wp:wrapNone/>
                <wp:docPr id="141" name="Frame1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Effect; Assignment Effective Date</w:t>
      </w:r>
      <w:r>
        <w:rPr>
          <w:rFonts w:ascii="Times New Roman;sans-serif" w:hAnsi="Times New Roman;sans-serif"/>
          <w:b w:val="false"/>
          <w:color w:val="000000"/>
          <w:sz w:val="24"/>
        </w:rPr>
        <w:t>. Upon (i) delivery to the Administrative Agent of an assignment, together with any consents required by Sections 12.3(a) and 12.3(b), and (ii) payment of a $3,500 fee to the Administrative Agent for processing such assignment (unless such fee is waived by the Administrative Agent), such assignment shall become effective on the effective date specified in such assignment. The assignment shall contain a representation by the Purchaser to the effect that none of the consideration used to make the purchase of the Revolving Commitment and Revolving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Revolving Commitment and Revolving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Section 12.3 shall be treated for purposes of this Agreement as a sale by such Lender of a participation in such rights and obligations in accordance with Section 12.2. Upon the consummation of any assignment to a Purchaser pursuant to this Section 12.3(c),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Revolving Commitments, as adjusted pursuant to such assignment.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The Administrative Agent, acting solely for this purpose as an agent of the Borrower, shall maintain at one of its offices in the United States of America, a copy of each Assignment and Assumption delivered to it and a register for the recordation of the names and addresses of the Lenders, and the Revolving Commitments of, and principal amounts (and stated interest) of the Loans owing to, each Lender, and participations of each Lender in Facility LCs, pursuant to the terms hereof from time to time (the “Register”).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each Lender at any reasonable time and from time to time upon reasonable prior notice.</w:t>
      </w:r>
    </w:p>
    <w:p>
      <w:pPr>
        <w:pStyle w:val="TextBody"/>
        <w:spacing w:before="0" w:after="0"/>
        <w:jc w:val="both"/>
        <w:rPr/>
      </w:pPr>
      <w:r>
        <w:rPr/>
      </w:r>
    </w:p>
    <w:p>
      <w:pPr>
        <w:pStyle w:val="TextBody"/>
        <w:spacing w:lineRule="auto" w:line="268"/>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Dissemination of Information</w:t>
      </w:r>
      <w:r>
        <w:rPr>
          <w:rFonts w:ascii="Times New Roman;sans-serif" w:hAnsi="Times New Roman;sans-serif"/>
          <w:b w:val="false"/>
          <w:color w:val="000000"/>
          <w:sz w:val="24"/>
        </w:rPr>
        <w:t xml:space="preserve">. The Borrower authorizes each Lender to disclose to any Participant or Purchaser or any other Person acquiring an interest in the Loan Documents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92265" cy="175260"/>
                <wp:effectExtent l="0" t="0" r="0" b="0"/>
                <wp:wrapNone/>
                <wp:docPr id="142" name="Frame14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operation of law (each a “Transferee”) and any prospective Transferee any and all information in such Lender’s possession; provided that each Transferee and prospective Transferee agrees to be bound by Section 9.11 of this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Resignation as LC Issuer or Swing Line Lender after Assignment</w:t>
      </w:r>
      <w:r>
        <w:rPr>
          <w:rFonts w:ascii="Times New Roman;sans-serif" w:hAnsi="Times New Roman;sans-serif"/>
          <w:b w:val="false"/>
          <w:color w:val="000000"/>
          <w:sz w:val="24"/>
        </w:rPr>
        <w:t>. Notwithstanding anything to the contrary contained herein, if at any time U.S. Bank National Association or any other LC Issuer assigns all of its Revolving Commitments and Loans pursuant to subsection (b) above, (i) U.S. Bank National Association or any other LC Issuer may, upon 30 days’ notice to the Borrower and the Lenders, resign as LC Issuer and/or (ii) U.S. Bank National Association or any other Swing Line Lender may, upon 30 days’ notice to the Borrower, resign as Swing Line Lender. In the event of any such resignation as LC Issuer or Swing Line Lender, the Borrower shall be entitled to appoint from among the Lenders a successor LC Issuer or Swing Line Lender hereunder; provided, however, that no failure by the Borrower to appoint any such successor shall affect the resignation of such LC Issuer or Swing Line Lender, as the case may be. If U.S. Bank National Association resigns as LC Issuer, it shall retain all the rights, powers, privileges and duties of the LC Issuer hereunder with respect to all Facility LCs outstanding as of the effective time of its resignation as LC Issuer and all LC Obligations with respect thereto (including the right to require the Lenders to make Base Rate Loans or fund risk participations pursuant to Section 2.19(b)). If U.S. Bank National Association resigns as Swing Line Lender, it shall retain all the rights of the Swing Line Lender provided for hereunder with respect to Swing Line Loans made by it and outstanding as of the effective time of such resignation, including the right to require the Lenders to make Base Rate Loans or fund risk participations in outstanding Swing Line Loans pursuant to Section 2.4(d).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Facility LCs, if any, outstanding at the time of such succession or make other arrangements satisfactory to such LC Issuer to effectively assume the obligations of such LC Issuer with respect to such Facility LCs.</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XIII</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NOTICES</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13.1. </w:t>
      </w:r>
      <w:r>
        <w:rPr>
          <w:rFonts w:ascii="Times New Roman;sans-serif" w:hAnsi="Times New Roman;sans-serif"/>
          <w:b w:val="false"/>
          <w:color w:val="000000"/>
          <w:sz w:val="24"/>
          <w:u w:val="single"/>
        </w:rPr>
        <w:t>Notices; Effectiveness; Electronic Communication</w:t>
      </w:r>
      <w:r>
        <w:rPr>
          <w:rFonts w:ascii="Times New Roman;sans-serif" w:hAnsi="Times New Roman;sans-serif"/>
          <w:b w:val="false"/>
          <w:color w:val="000000"/>
          <w:sz w:val="24"/>
        </w:rPr>
        <w:t xml:space="preserve">. </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Notices Generally</w:t>
      </w:r>
      <w:r>
        <w:rPr>
          <w:rFonts w:ascii="Times New Roman;sans-serif" w:hAnsi="Times New Roman;sans-serif"/>
          <w:b w:val="false"/>
          <w:color w:val="000000"/>
          <w:sz w:val="24"/>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i.if to the Borrower, to it at 201 E. Sandpointe Ave., 8th Floor, Santa Ana CA 92707, Attention: Chief Financial Officer;</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692265" cy="175260"/>
                <wp:effectExtent l="0" t="0" r="0" b="0"/>
                <wp:wrapNone/>
                <wp:docPr id="143" name="Frame1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ii.if to the Administrative Agent or the LC Issuer, to U.S. Bank National Association at 4100 Newport Place, Suite 900, Newport Beach, California 92660, Attention: Andrew Williams; or</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iii.if to a Lender, to it at its address (or facsimile number) set forth in its Administrative Questionnaire.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except that notices to the Administrative Agent, a Lender or the LC Issuer under Article II shall not be effective unless and until actually received by the addressee thereof. Notices delivered through electronic communications to the extent provided in paragraph (b) below, shall be effective as provided in said paragraph (b).</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Electronic Communications</w:t>
      </w:r>
      <w:r>
        <w:rPr>
          <w:rFonts w:ascii="Times New Roman;sans-serif" w:hAnsi="Times New Roman;sans-serif"/>
          <w:b w:val="false"/>
          <w:color w:val="000000"/>
          <w:sz w:val="24"/>
        </w:rPr>
        <w:t xml:space="preserve">. Notices and other communications to the Lenders and the LC Issuer hereunder may be delivered or furnished by electronic communication (including e-mail and internet or intranet websites) pursuant to procedures approved by the Administrative Agent or as otherwise determined by the Administrative Agent,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the Borrower may, in its respective discretion, agree to accept notices and other communications to it hereunder by electronic communications pursuant to procedures approved by it or as it otherwise determines,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determination or approval may be limited to particular notices or communications.</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of Address, Etc</w:t>
      </w:r>
      <w:r>
        <w:rPr>
          <w:rFonts w:ascii="Times New Roman;sans-serif" w:hAnsi="Times New Roman;sans-serif"/>
          <w:b w:val="false"/>
          <w:color w:val="000000"/>
          <w:sz w:val="24"/>
        </w:rPr>
        <w:t>. Any party hereto may change its address or facsimile number for notices and other communications hereunder by notice to the other parties hereto given in the manner set forth in this Section 13.1.</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XIV</w:t>
      </w:r>
    </w:p>
    <w:p>
      <w:pPr>
        <w:pStyle w:val="TextBody"/>
        <w:spacing w:before="0" w:after="0"/>
        <w:jc w:val="center"/>
        <w:rPr/>
      </w:pPr>
      <w:r>
        <w:rPr/>
      </w:r>
    </w:p>
    <w:p>
      <w:pPr>
        <w:pStyle w:val="TextBody"/>
        <w:spacing w:lineRule="auto" w:line="268"/>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COUNTERPARTS; INTEGRATION; EFFECTIVENESS; ELECTRONIC EXECUTION; ELECTRONIC RECORDS</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692265" cy="175260"/>
                <wp:effectExtent l="0" t="0" r="0" b="0"/>
                <wp:wrapNone/>
                <wp:docPr id="144" name="Frame1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14.1. </w:t>
      </w:r>
      <w:r>
        <w:rPr>
          <w:rFonts w:ascii="Times New Roman;sans-serif" w:hAnsi="Times New Roman;sans-serif"/>
          <w:b w:val="false"/>
          <w:color w:val="000000"/>
          <w:sz w:val="24"/>
          <w:u w:val="single"/>
        </w:rPr>
        <w:t>Counterparts; Effectiveness</w:t>
      </w:r>
      <w:r>
        <w:rPr>
          <w:rFonts w:ascii="Times New Roman;sans-serif" w:hAnsi="Times New Roman;sans-serif"/>
          <w:b w:val="false"/>
          <w:color w:val="000000"/>
          <w:sz w:val="24"/>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14.2. </w:t>
      </w:r>
      <w:r>
        <w:rPr>
          <w:rFonts w:ascii="Times New Roman;sans-serif" w:hAnsi="Times New Roman;sans-serif"/>
          <w:b w:val="false"/>
          <w:color w:val="000000"/>
          <w:sz w:val="24"/>
          <w:u w:val="single"/>
        </w:rPr>
        <w:t>Electronic Execution of Assignments</w:t>
      </w:r>
      <w:r>
        <w:rPr>
          <w:rFonts w:ascii="Times New Roman;sans-serif" w:hAnsi="Times New Roman;sans-serif"/>
          <w:b w:val="false"/>
          <w:color w:val="000000"/>
          <w:sz w:val="24"/>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state laws based on the Uniform Electronic Transactions Act.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14.3. </w:t>
      </w:r>
      <w:r>
        <w:rPr>
          <w:rFonts w:ascii="Times New Roman;sans-serif" w:hAnsi="Times New Roman;sans-serif"/>
          <w:b w:val="false"/>
          <w:color w:val="000000"/>
          <w:sz w:val="24"/>
          <w:u w:val="single"/>
        </w:rPr>
        <w:t>Electronic Records</w:t>
      </w:r>
      <w:r>
        <w:rPr>
          <w:rFonts w:ascii="Times New Roman;sans-serif" w:hAnsi="Times New Roman;sans-serif"/>
          <w:b w:val="false"/>
          <w:color w:val="000000"/>
          <w:sz w:val="24"/>
        </w:rPr>
        <w:t xml:space="preserve">. The Borrower hereby acknowledges the receipt of a copy of this Agreement and all other Loan Documents. The Administrative Agent and each Lender may, on behalf of the Borrower, create a microfilm or optical disk or other electronic image of this Agreement and any or all of the Loan Documents. The Administrative Agent and each Lender may store the electronic image of this Agreement and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 The Administrative Agent and each Lender are authorized, when appropriate, to convert any note into a “transferable record” under the Uniform Electronic Transactions Act. </w:t>
      </w:r>
    </w:p>
    <w:p>
      <w:pPr>
        <w:pStyle w:val="TextBody"/>
        <w:spacing w:before="0" w:after="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XV</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CHOICE OF LAW; CONSENT TO JURISDICTION; WAIVER OF JURY TRIAL</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15.1. </w:t>
      </w:r>
      <w:r>
        <w:rPr>
          <w:rFonts w:ascii="Times New Roman;sans-serif" w:hAnsi="Times New Roman;sans-serif"/>
          <w:b/>
          <w:color w:val="000000"/>
          <w:sz w:val="24"/>
          <w:u w:val="single"/>
        </w:rPr>
        <w:t>CHOICE OF LAW</w:t>
      </w:r>
      <w:r>
        <w:rPr>
          <w:rFonts w:ascii="Times New Roman;sans-serif" w:hAnsi="Times New Roman;sans-serif"/>
          <w:b/>
          <w:color w:val="000000"/>
          <w:sz w:val="24"/>
        </w:rPr>
        <w:t>. THE LOAN DOCUMENTS (OTHER THAN THOSE CONTAINING A CONTRARY EXPRESS CHOICE OF LAW PROVISION) SHALL BE CONSTRUED IN ACCORDANCE WITH THE INTERNAL LAWS (WITHOUT REGARD TO THE CONFLICT OF LAWS PROVISIONS) OF THE STATE OF CALIFORNIA, BUT GIVING EFFECT TO FEDERAL LAWS APPLICABLE TO NATIONAL BANKS.</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92265" cy="175260"/>
                <wp:effectExtent l="0" t="0" r="0" b="0"/>
                <wp:wrapNone/>
                <wp:docPr id="145" name="Frame1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15.2. </w:t>
      </w:r>
      <w:r>
        <w:rPr>
          <w:rFonts w:ascii="Times New Roman;sans-serif" w:hAnsi="Times New Roman;sans-serif"/>
          <w:b/>
          <w:color w:val="000000"/>
          <w:sz w:val="24"/>
          <w:u w:val="single"/>
        </w:rPr>
        <w:t>CONSENT TO JURISDICTION</w:t>
      </w:r>
      <w:r>
        <w:rPr>
          <w:rFonts w:ascii="Times New Roman;sans-serif" w:hAnsi="Times New Roman;sans-serif"/>
          <w:b/>
          <w:color w:val="000000"/>
          <w:sz w:val="24"/>
        </w:rPr>
        <w:t>. THE BORROWER HEREBY IRREVOCABLY SUBMITS TO THE EXCLUSIVE JURISDICTION OF ANY UNITED STATES FEDERAL OR STATE COURT SITTING IN CALIFORNIA IN ANY ACTION OR PROCEEDING ARISING OUT OF OR RELATING TO ANY LOAN DOCUMENTS AND THE BORROWER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THE LC ISSUER OR ANY LENDER TO BRING PROCEEDINGS AGAINST THE BORROWER OR TO ENFORCE RIGHTS AND REMEDIES IN RESPECT OF COLLATERAL IN THE COURTS OF ANY OTHER JURISDICTION. ANY JUDICIAL PROCEEDING BY THE BORROWER AGAINST THE ADMINISTRATIVE AGENT, THE LC ISSUER OR ANY LENDER OR ANY AFFILIATE OF THE ADMINISTRATIVE AGENT, THE LC ISSUER OR ANY LENDER INVOLVING, DIRECTLY OR INDIRECTLY, ANY MATTER IN ANY WAY ARISING OUT OF, RELATED TO, OR CONNECTED WITH ANY LOAN DOCUMENT SHALL BE BROUGHT ONLY IN A COURT IN ORANGE COUNTY, CALIFORNIA.</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15.3. </w:t>
      </w:r>
      <w:r>
        <w:rPr>
          <w:rFonts w:ascii="Times New Roman;sans-serif" w:hAnsi="Times New Roman;sans-serif"/>
          <w:b/>
          <w:color w:val="000000"/>
          <w:sz w:val="24"/>
          <w:u w:val="single"/>
        </w:rPr>
        <w:t>WAIVER OF JURY TRIAL</w:t>
      </w:r>
      <w:r>
        <w:rPr>
          <w:rFonts w:ascii="Times New Roman;sans-serif" w:hAnsi="Times New Roman;sans-serif"/>
          <w:b/>
          <w:color w:val="000000"/>
          <w:sz w:val="24"/>
        </w:rPr>
        <w:t>. THE BORROWER, THE ADMINISTRATIVE AGENT, THE LC ISSUER AND EACH LENDER HEREBY WAIVE TRIAL BY JURY IN ANY JUDICIAL PROCEEDING INVOLVING, DIRECTLY OR INDIRECTLY, ANY MATTER (WHETHER SOUNDING IN TORT, CONTRACT OR OTHERWISE) IN ANY WAY ARISING OUT OF, RELATED TO, OR CONNECTED WITH ANY LOAN DOCUMENT OR THE RELATIONSHIP ESTABLISHED THEREUNDER.</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 xml:space="preserve">15.4. </w:t>
      </w:r>
      <w:r>
        <w:rPr>
          <w:rFonts w:ascii="Times New Roman;sans-serif" w:hAnsi="Times New Roman;sans-serif"/>
          <w:b w:val="false"/>
          <w:color w:val="000000"/>
          <w:sz w:val="24"/>
          <w:u w:val="single"/>
        </w:rPr>
        <w:t>Judicial Reference Agreement</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a.Any and all disputes, claims, and controversies arising out of the Loan Documents or the transactions contemplated thereby (including, but not limited to, actions arising in contract or tort and any claims by the Borrower against the Administrative Agent or any of the Lenders related in any way to the Revolving Loans) (individually, a “Dispute”) that are brought before a forum in which pre-dispute waivers of the right to trial by jury are invalid under applicable law shall be subject to the terms of this Section 15.4.</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b.Any and all Disputes shall be heard by a referee and resolved by judicial reference pursuant to California Code of Civil Procedure Sections 638 et seq. The referee shall be a retired California state court judge or an attorney licensed to practice law in the State of California with at least 10 years’ experience practicing commercial law. Neither the Borrower nor the Administrative Agent shall seek to appoint a referee that may be disqualified pursuant to California Code of Civil Procedure Section 641 or 641.2 without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692265" cy="175260"/>
                <wp:effectExtent l="0" t="0" r="0" b="0"/>
                <wp:wrapNone/>
                <wp:docPr id="146" name="Frame1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prior written consent of the other party. If the Administrative Agent and the Borrower are unable to agree upon a referee within 10 calendar days after one party serves a written notice of intent for judicial reference upon the other party, then the referee will be selected by the court in accordance with California Code of Civil Procedure Section 640(b).</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referee shall render a written statement of decision and shall conduct the proceedings in accordance with the California Code of Civil Procedure, the Rules of Court, and California Evidence Code, except as otherwise specifically agreed by the parties and approved by the referee. The referee’s statement of decision shall set forth findings of fact and conclusions of law. The decision of the referee shall be entered as a judgment in the court in accordance with the provisions of California Code of Civil Procedure Sections 644 and 645. The decision of the referee shall be appealable to the same extent and in the same manner that such decision would be appealable if rendered by a judge of the superior court.</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d.Nothing in this Section 15.4 shall be deemed to apply to or limit the right of the Administrative Agent (i) to exercise self-help remedies such as (but not limited to) setoff, (ii) to foreclose judicially or nonjudicially against any real or personal property collateral, or to exercise judicial or nonjudicial power of sale rights, (iii) to obtain from a court provisional or ancillary remedies (including, but not limited to, injunctive relief, a writ of possession, prejudgment attachment, a protective order, or the appointment of a receiver), or (iv) to pursue rights against any party in a third-party proceeding in any action brought against the Administrative Agent or the Lenders (including actions in bankruptcy court). The Administrative Agent may exercise the rights set forth in the foregoing clauses (i) through (iv), inclusive, before, during, or after the pendency of any judicial reference proceeding. Neither the exercise of self help remedies nor the institution or maintenance of an action for foreclosure or provisional or ancillary remedies or the opposition to any such provisional remedies shall constitute a waiver of the right of any party, including, but not limited to, the claimant in any such action, to require submission to judicial reference of the merits of the Dispute occasioning resort to such remedies. No provision in the Loan Documents regarding submission to jurisdiction and/or venue in any court is intended or shall be construed to be in derogation of the provisions in any Loan Document for judicial reference of any of Dispute.</w:t>
      </w:r>
    </w:p>
    <w:p>
      <w:pPr>
        <w:pStyle w:val="TextBody"/>
        <w:spacing w:before="0" w:after="0"/>
        <w:jc w:val="both"/>
        <w:rPr/>
      </w:pPr>
      <w:r>
        <w:rPr/>
      </w:r>
    </w:p>
    <w:p>
      <w:pPr>
        <w:pStyle w:val="TextBody"/>
        <w:spacing w:lineRule="auto" w:line="26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e.If a Dispute includes multiple claims, some of which are found not subject to this Section 15.4, the Parties shall stay the proceedings of such Dispute or the part or parts thereof not subject to this Section 15.4 until all other Disputes or parts thereof are resolved in accordance with this Section 15.4. If there are Disputes by or against multiple parties, some of which are not subject to this Section 15.4, the Borrower and the Administrative Agent shall sever the Disputes subject to this Section 15.4 and resolve them in accordance with this Section 15.4. During the pendency of any Dispute that is submitted to judicial reference in accordance with this Section 15.4, each of the parties to such Dispute shall bear equal shares of the fees charged and costs incurred by the referee in performing the services described in this Section 15.4. The compensation of the referee shall not exceed the prevailing rate for like services. The prevailing party shall be entitled to reasonable court costs and legal fees, including customary attorney fees, expert witness fees, paralegal fees, the fees of the referee, a reimbursement of fees and costs paid during </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92265" cy="175260"/>
                <wp:effectExtent l="0" t="0" r="0" b="0"/>
                <wp:wrapNone/>
                <wp:docPr id="147" name="Frame1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pendency of a dispute in accordance with this Section 15.4(e), and other reasonable costs and disbursements charged to the party by its counsel, in such amount as the Referee determines. </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f.In the event of any challenge to the legality or enforceability of this Section 15.4, the prevailing party shall be entitled to recover the costs and expenses from the non-prevailing party, including reasonable attorneys’ fees, incurred by it in connection with such challenge.</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g.THIS SECTION 15.4 CONSTITUTES A “REFERENCE AGREEMENT” BETWEEN THE BORROWER, THE ADMINISTRATIVE AGENT AND THE LENDERS WITHIN THE MEANING OF AND FOR PURPOSES OF CALIFORNIA CODE OF CIVIL PROCEDURE SECTION 638.</w:t>
      </w:r>
    </w:p>
    <w:p>
      <w:pPr>
        <w:pStyle w:val="TextBody"/>
        <w:spacing w:before="0" w:after="0"/>
        <w:jc w:val="both"/>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spacing w:before="0" w:after="0"/>
        <w:rPr/>
      </w:pPr>
      <w:r>
        <w:rPr/>
      </w:r>
    </w:p>
    <w:p>
      <w:pPr>
        <w:pStyle w:val="TextBody"/>
        <w:spacing w:before="0" w:after="0"/>
        <w:rPr/>
      </w:pPr>
      <w:r>
        <w:rPr/>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692265" cy="175260"/>
                <wp:effectExtent l="0" t="0" r="0" b="0"/>
                <wp:wrapNone/>
                <wp:docPr id="148" name="Frame1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Borrower, the Lenders, the LC Issuer and the Administrative Agent have executed this Agreement as of the date first above written.</w:t>
      </w:r>
    </w:p>
    <w:tbl>
      <w:tblPr>
        <w:tblW w:w="5324" w:type="dxa"/>
        <w:jc w:val="left"/>
        <w:tblInd w:w="0" w:type="dxa"/>
        <w:tblCellMar>
          <w:top w:w="28" w:type="dxa"/>
          <w:left w:w="28" w:type="dxa"/>
          <w:bottom w:w="28" w:type="dxa"/>
          <w:right w:w="28" w:type="dxa"/>
        </w:tblCellMar>
      </w:tblPr>
      <w:tblGrid>
        <w:gridCol w:w="1705"/>
        <w:gridCol w:w="1499"/>
        <w:gridCol w:w="2120"/>
      </w:tblGrid>
      <w:tr>
        <w:trPr/>
        <w:tc>
          <w:tcPr>
            <w:tcW w:w="1705"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UNIVERSAL ELECTRONICS INC.</w:t>
            </w:r>
          </w:p>
          <w:p>
            <w:pPr>
              <w:pStyle w:val="TableContents"/>
              <w:spacing w:before="0" w:after="0"/>
              <w:jc w:val="left"/>
              <w:rPr/>
            </w:pPr>
            <w:r>
              <w:rPr/>
            </w:r>
          </w:p>
          <w:p>
            <w:pPr>
              <w:pStyle w:val="TableContents"/>
              <w:spacing w:before="0" w:after="0"/>
              <w:jc w:val="left"/>
              <w:rPr/>
            </w:pPr>
            <w:r>
              <w:rPr/>
            </w:r>
          </w:p>
          <w:p>
            <w:pPr>
              <w:pStyle w:val="TableContents"/>
              <w:spacing w:lineRule="auto" w:line="268" w:before="0" w:after="0"/>
              <w:ind w:left="0" w:right="0" w:hanging="96"/>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w:t>
            </w:r>
          </w:p>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Bryan M. Hackworth </w:t>
            </w:r>
          </w:p>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w:t>
            </w:r>
          </w:p>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ind w:left="0" w:right="0" w:hanging="78"/>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U.S. BANK NATIONAL ASSOCIATION,</w:t>
            </w:r>
          </w:p>
        </w:tc>
      </w:tr>
      <w:tr>
        <w:trPr/>
        <w:tc>
          <w:tcPr>
            <w:tcW w:w="532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a Lender, as LC Issuer and as Administrative Agent</w:t>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68" w:before="0" w:after="0"/>
              <w:ind w:left="0" w:right="0" w:hanging="96"/>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w:t>
            </w:r>
          </w:p>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Andrew Williams </w:t>
            </w:r>
          </w:p>
          <w:p>
            <w:pPr>
              <w:pStyle w:val="TableContents"/>
              <w:spacing w:lineRule="auto" w:line="268" w:before="0" w:after="0"/>
              <w:ind w:left="0" w:right="0" w:hanging="78"/>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692265" cy="175260"/>
                <wp:effectExtent l="0" t="0" r="0" b="0"/>
                <wp:wrapNone/>
                <wp:docPr id="149" name="Frame1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 III to Amendment</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Exhibits</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See attached.</w:t>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92265" cy="175260"/>
                <wp:effectExtent l="0" t="0" r="0" b="0"/>
                <wp:wrapNone/>
                <wp:docPr id="150" name="Frame1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EXHIBIT D-1 </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FORM OF BORROWING NOTICE</w:t>
      </w:r>
    </w:p>
    <w:p>
      <w:pPr>
        <w:pStyle w:val="TextBody"/>
        <w:spacing w:before="0" w:after="0"/>
        <w:jc w:val="center"/>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TO: U.S. Bank National Association, as administrative agent (the “Administrative Agent”) under that certain Second Amended and Restated Credit Agreement (as amended, restated, supplemented or otherwise modified from time to time, the “Credit Agreement”), dated as of October ___, 2017 by and among Universal Electronics Inc. (the “Borrower”), the financial institutions party thereto, as lenders (the “Lenders”), and the Administrative Agent.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herein shall have the meanings ascribed to such terms in the Credit Agreement.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Borrower hereby gives to the Administrative Agent a request for borrowing pursuant to Section 2.8 of the Credit Agreement, and the Borrower hereby requests to borrow on [_______________], 20[__] (the “Borrowing Date”):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from the Lenders, on a pro rata basis, an aggregate principal amount of $[___________] in Revolving Loans as:</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a Base Rate Borrowing (in Dollars)</w:t>
      </w:r>
    </w:p>
    <w:p>
      <w:pPr>
        <w:pStyle w:val="TextBody"/>
        <w:spacing w:lineRule="auto" w:line="268"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2. a SOFR Borrowing (in Dollars):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from the Swingline Lender, a Swingline Loan (in Dollars) of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at the time of and immediately after giving effect to such Advance, no Default or Event of Default shall have occurred and be continuing; and (iii) all other relevant conditions set forth in Section 4.2 of the Credit Agreement have been satisfied.</w: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0"/>
        <w:rPr/>
      </w:pPr>
      <w:r>
        <w:rPr/>
      </w:r>
    </w:p>
    <w:p>
      <w:pPr>
        <w:pStyle w:val="TextBody"/>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92265" cy="175260"/>
                <wp:effectExtent l="0" t="0" r="0" b="0"/>
                <wp:wrapNone/>
                <wp:docPr id="151" name="Frame1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caused this Borrowing Notice to be executed by its authorized officer as of the date set forth below.</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Dated: [_______________], 20[__]</w:t>
      </w:r>
    </w:p>
    <w:p>
      <w:pPr>
        <w:pStyle w:val="TextBody"/>
        <w:spacing w:lineRule="auto" w:line="268" w:before="0" w:after="0"/>
        <w:ind w:left="0" w:right="0" w:firstLine="5760"/>
        <w:rPr>
          <w:rFonts w:ascii="Times New Roman;sans-serif" w:hAnsi="Times New Roman;sans-serif"/>
          <w:b w:val="false"/>
          <w:color w:val="000000"/>
          <w:sz w:val="24"/>
        </w:rPr>
      </w:pPr>
      <w:r>
        <w:rPr>
          <w:rFonts w:ascii="Times New Roman;sans-serif" w:hAnsi="Times New Roman;sans-serif"/>
          <w:b w:val="false"/>
          <w:color w:val="000000"/>
          <w:sz w:val="24"/>
        </w:rPr>
        <w:t>UNIVERSAL ELECTRONICS INC.</w:t>
      </w:r>
    </w:p>
    <w:p>
      <w:pPr>
        <w:pStyle w:val="TextBody"/>
        <w:spacing w:before="0" w:after="0"/>
        <w:rPr/>
      </w:pPr>
      <w:r>
        <w:rPr/>
      </w:r>
    </w:p>
    <w:p>
      <w:pPr>
        <w:pStyle w:val="TextBody"/>
        <w:spacing w:before="0" w:after="0"/>
        <w:rPr/>
      </w:pPr>
      <w:r>
        <w:rPr/>
      </w:r>
    </w:p>
    <w:p>
      <w:pPr>
        <w:pStyle w:val="TextBody"/>
        <w:spacing w:lineRule="auto" w:line="268" w:before="0" w:after="0"/>
        <w:ind w:left="0" w:right="0" w:firstLine="5664"/>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w:t>
      </w:r>
    </w:p>
    <w:p>
      <w:pPr>
        <w:pStyle w:val="TextBody"/>
        <w:spacing w:lineRule="auto" w:line="268" w:before="0" w:after="0"/>
        <w:ind w:left="0" w:right="0" w:firstLine="5760"/>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spacing w:lineRule="auto" w:line="268" w:before="0" w:after="0"/>
        <w:ind w:left="0" w:right="0" w:firstLine="576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692265" cy="175260"/>
                <wp:effectExtent l="0" t="0" r="0" b="0"/>
                <wp:wrapNone/>
                <wp:docPr id="152" name="Frame1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EXHIBIT D-2 </w:t>
      </w:r>
    </w:p>
    <w:p>
      <w:pPr>
        <w:pStyle w:val="TextBody"/>
        <w:spacing w:before="0" w:after="0"/>
        <w:jc w:val="center"/>
        <w:rPr/>
      </w:pPr>
      <w:r>
        <w:rPr/>
      </w:r>
    </w:p>
    <w:p>
      <w:pPr>
        <w:pStyle w:val="TextBody"/>
        <w:spacing w:lineRule="auto" w:line="268" w:before="0" w:after="0"/>
        <w:jc w:val="center"/>
        <w:rPr/>
      </w:pPr>
      <w:r>
        <w:rPr>
          <w:rFonts w:ascii="Times New Roman;sans-serif" w:hAnsi="Times New Roman;sans-serif"/>
          <w:b/>
          <w:color w:val="000000"/>
          <w:sz w:val="24"/>
        </w:rPr>
        <w:t xml:space="preserve">FORM OF CONVERSION NOTICE </w:t>
      </w:r>
      <w:r>
        <w:rPr>
          <w:rFonts w:ascii="Times New Roman;sans-serif" w:hAnsi="Times New Roman;sans-serif"/>
          <w:b/>
          <w:color w:val="000000"/>
          <w:sz w:val="16"/>
        </w:rPr>
        <w:t>1</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TO: U.S. Bank National Association, as administrative agent (the “Administrative Agent”) under that certain Second Amended and Restated Credit Agreement (as amended, restated, supplemented or otherwise modified from time to time, the “Credit Agreement”), dated as of October ___, 2017 by and among Universal Electronics Inc. (the “Borrower”), the financial institutions party thereto, as lenders (the “Lenders”), and the Administrative Agent.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herein shall have the meanings ascribed to such terms in the Credit Agreement.</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Section 2.9 of the Credit Agreement, the undersigned Borrower hereby requests to [convert]the interest rate on a portion of its Loan in the outstanding principal amount of $[____________] on [_______________], 20[__] as follows:</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convert such SOFR Borrowing to a Base Rate Borrowing of the same Class.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convert such Base Rate Borrowing to a SOFR Borrowing of the same Class.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hereby certifies to the Administrative Agent and the Lenders that (i) the representations and warranties contained in Article V of the Credit Agreement are (a) with respect to any representations or warranties that contain a materiality qualifier, true and correct in all respects as of the date hereof, except to the extent any such representation or warranty is stated to relate solely to an earlier date, in which case such representation or warranty shall have been true and correct in all respects on and as of such earlier date and (b) with respect to any representations or warranties that do not contain a materiality qualifier, true and correct in all material respects as of the date hereof, except to the extent any such representation or warranty is stated to relate solely to an earlier date, in which case such representation or warranty shall have been true and correct in all material respects on and as of such earlier date; (ii) the Borrower is in full compliance with all of the terms and conditions hereof, and no Default or Event of Default shall have occurred and be continuing or would occur as a result of the conversion contemplated hereby; and (iii) all other relevant conditions set forth in Section 4.2 of the Credit Agreement have been satisfied.</w:t>
      </w:r>
    </w:p>
    <w:p>
      <w:pPr>
        <w:pStyle w:val="TextBody"/>
        <w:spacing w:before="0" w:after="0"/>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lineRule="auto" w:line="268"/>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Such Conversion/Continuation Notice to be delivered not later than 10:00 a.m. (Pacific Standard Time) at least two (2) Business Days prior to the date of the requested conversion or continuation.</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92265" cy="175260"/>
                <wp:effectExtent l="0" t="0" r="0" b="0"/>
                <wp:wrapNone/>
                <wp:docPr id="153" name="Frame1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caused this Conversion/Continuation Notice to be executed on its behalf by its authorized officer as of the date set forth below.</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Dated: [_______________], 20[__]</w:t>
      </w:r>
    </w:p>
    <w:p>
      <w:pPr>
        <w:pStyle w:val="TextBody"/>
        <w:spacing w:before="0" w:after="0"/>
        <w:rPr/>
      </w:pPr>
      <w:r>
        <w:rPr/>
      </w:r>
    </w:p>
    <w:tbl>
      <w:tblPr>
        <w:tblW w:w="3825" w:type="dxa"/>
        <w:jc w:val="right"/>
        <w:tblInd w:w="0" w:type="dxa"/>
        <w:tblCellMar>
          <w:top w:w="28" w:type="dxa"/>
          <w:left w:w="28" w:type="dxa"/>
          <w:bottom w:w="28" w:type="dxa"/>
          <w:right w:w="28" w:type="dxa"/>
        </w:tblCellMar>
      </w:tblPr>
      <w:tblGrid>
        <w:gridCol w:w="1224"/>
        <w:gridCol w:w="1076"/>
        <w:gridCol w:w="1525"/>
      </w:tblGrid>
      <w:tr>
        <w:trPr/>
        <w:tc>
          <w:tcPr>
            <w:tcW w:w="122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UNIVERSAL ELECTRONICS INC.</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92265" cy="175260"/>
                <wp:effectExtent l="0" t="0" r="0" b="0"/>
                <wp:wrapNone/>
                <wp:docPr id="154" name="Frame1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Paul D. Arling, certify that: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180" w:after="30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tbl>
      <w:tblPr>
        <w:tblW w:w="3270" w:type="dxa"/>
        <w:jc w:val="left"/>
        <w:tblInd w:w="0" w:type="dxa"/>
        <w:tblCellMar>
          <w:top w:w="28" w:type="dxa"/>
          <w:left w:w="28" w:type="dxa"/>
          <w:bottom w:w="28" w:type="dxa"/>
          <w:right w:w="28" w:type="dxa"/>
        </w:tblCellMar>
      </w:tblPr>
      <w:tblGrid>
        <w:gridCol w:w="1045"/>
        <w:gridCol w:w="918"/>
        <w:gridCol w:w="1307"/>
      </w:tblGrid>
      <w:tr>
        <w:trPr/>
        <w:tc>
          <w:tcPr>
            <w:tcW w:w="1045"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3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92265" cy="175260"/>
                <wp:effectExtent l="0" t="0" r="0" b="0"/>
                <wp:wrapNone/>
                <wp:docPr id="155" name="Frame15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Bryan M. Hackworth, certify that: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Universal Electronics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firstLine="180"/>
        <w:jc w:val="both"/>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firstLine="18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lineRule="auto" w:line="288" w:before="100" w:after="283"/>
        <w:ind w:left="0" w:right="0" w:firstLine="18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firstLine="18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rPr>
          <w:color w:val="000000"/>
        </w:rPr>
      </w:pPr>
      <w:r>
        <w:rPr>
          <w:color w:val="000000"/>
        </w:rPr>
        <w:t> </w:t>
      </w:r>
    </w:p>
    <w:tbl>
      <w:tblPr>
        <w:tblW w:w="2834" w:type="dxa"/>
        <w:jc w:val="left"/>
        <w:tblInd w:w="0" w:type="dxa"/>
        <w:tblCellMar>
          <w:top w:w="28" w:type="dxa"/>
          <w:left w:w="28" w:type="dxa"/>
          <w:bottom w:w="28" w:type="dxa"/>
          <w:right w:w="28" w:type="dxa"/>
        </w:tblCellMar>
      </w:tblPr>
      <w:tblGrid>
        <w:gridCol w:w="906"/>
        <w:gridCol w:w="797"/>
        <w:gridCol w:w="1131"/>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2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br/>
              <w:t>and principal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92265" cy="175260"/>
                <wp:effectExtent l="0" t="0" r="0" b="0"/>
                <wp:wrapNone/>
                <wp:docPr id="156" name="Frame15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each of the undersigned officers of Universal Electronics Inc. (the "Company"), hereby certifies that the (i) Company's Form 10-Q for the fiscal quarter ended March 31, 2023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spacing w:lineRule="auto" w:line="288" w:before="0" w:after="0"/>
        <w:jc w:val="both"/>
        <w:rPr>
          <w:color w:val="000000"/>
        </w:rPr>
      </w:pPr>
      <w:r>
        <w:rPr>
          <w:color w:val="000000"/>
        </w:rPr>
        <w:t> </w:t>
      </w:r>
    </w:p>
    <w:tbl>
      <w:tblPr>
        <w:tblW w:w="7896" w:type="dxa"/>
        <w:jc w:val="left"/>
        <w:tblInd w:w="0" w:type="dxa"/>
        <w:tblCellMar>
          <w:top w:w="28" w:type="dxa"/>
          <w:left w:w="28" w:type="dxa"/>
          <w:bottom w:w="28" w:type="dxa"/>
          <w:right w:w="28" w:type="dxa"/>
        </w:tblCellMar>
      </w:tblPr>
      <w:tblGrid>
        <w:gridCol w:w="254"/>
        <w:gridCol w:w="224"/>
        <w:gridCol w:w="226"/>
        <w:gridCol w:w="379"/>
        <w:gridCol w:w="379"/>
        <w:gridCol w:w="381"/>
        <w:gridCol w:w="109"/>
        <w:gridCol w:w="109"/>
        <w:gridCol w:w="109"/>
        <w:gridCol w:w="134"/>
        <w:gridCol w:w="134"/>
        <w:gridCol w:w="136"/>
        <w:gridCol w:w="109"/>
        <w:gridCol w:w="109"/>
        <w:gridCol w:w="109"/>
        <w:gridCol w:w="1463"/>
        <w:gridCol w:w="1463"/>
        <w:gridCol w:w="2069"/>
      </w:tblGrid>
      <w:tr>
        <w:trPr/>
        <w:tc>
          <w:tcPr>
            <w:tcW w:w="2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Paul D. Arling</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D. Arling</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Bryan M. Hackworth</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M. Hackworth</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Universal Electronics Inc. and will be retained by it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92265" cy="175260"/>
                <wp:effectExtent l="0" t="0" r="0" b="0"/>
                <wp:wrapNone/>
                <wp:docPr id="157" name="Frame1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127</Pages>
  <Words>71263</Words>
  <CharactersWithSpaces>459849</CharactersWithSpaces>
  <Paragraphs>3035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