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7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5, 2026</w:t>
      </w:r>
    </w:p>
    <w:p>
      <w:pPr>
        <w:spacing w:after="0" w:line="3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UNIVERSAL ELECTRONICS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323"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284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40" w:type="dxa"/>
            <w:vAlign w:val="bottom"/>
          </w:tcPr>
          <w:p>
            <w:pPr>
              <w:jc w:val="right"/>
              <w:ind w:right="1579"/>
              <w:spacing w:after="0"/>
              <w:rPr>
                <w:sz w:val="20"/>
                <w:szCs w:val="20"/>
                <w:color w:val="auto"/>
              </w:rPr>
            </w:pPr>
            <w:r>
              <w:rPr>
                <w:rFonts w:ascii="Times New Roman" w:cs="Times New Roman" w:eastAsia="Times New Roman" w:hAnsi="Times New Roman"/>
                <w:sz w:val="18"/>
                <w:szCs w:val="18"/>
                <w:b w:val="1"/>
                <w:bCs w:val="1"/>
                <w:color w:val="auto"/>
              </w:rPr>
              <w:t>0-21044</w:t>
            </w:r>
          </w:p>
        </w:tc>
        <w:tc>
          <w:tcPr>
            <w:tcW w:w="2400" w:type="dxa"/>
            <w:vAlign w:val="bottom"/>
          </w:tcPr>
          <w:p>
            <w:pPr>
              <w:jc w:val="center"/>
              <w:ind w:left="1182"/>
              <w:spacing w:after="0"/>
              <w:rPr>
                <w:sz w:val="20"/>
                <w:szCs w:val="20"/>
                <w:color w:val="auto"/>
              </w:rPr>
            </w:pPr>
            <w:r>
              <w:rPr>
                <w:rFonts w:ascii="Times New Roman" w:cs="Times New Roman" w:eastAsia="Times New Roman" w:hAnsi="Times New Roman"/>
                <w:sz w:val="18"/>
                <w:szCs w:val="18"/>
                <w:b w:val="1"/>
                <w:bCs w:val="1"/>
                <w:color w:val="auto"/>
                <w:w w:val="98"/>
              </w:rPr>
              <w:t>33-0204817</w:t>
            </w:r>
          </w:p>
        </w:tc>
      </w:tr>
      <w:tr>
        <w:trPr>
          <w:trHeight w:val="190"/>
        </w:trPr>
        <w:tc>
          <w:tcPr>
            <w:tcW w:w="284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No.)</w:t>
            </w:r>
          </w:p>
        </w:tc>
        <w:tc>
          <w:tcPr>
            <w:tcW w:w="2400" w:type="dxa"/>
            <w:vAlign w:val="bottom"/>
          </w:tcPr>
          <w:p>
            <w:pPr>
              <w:jc w:val="center"/>
              <w:ind w:left="12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2840" w:type="dxa"/>
            <w:vAlign w:val="bottom"/>
          </w:tcPr>
          <w:p>
            <w:pPr>
              <w:jc w:val="center"/>
              <w:ind w:right="1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840" w:type="dxa"/>
            <w:vAlign w:val="bottom"/>
          </w:tcPr>
          <w:p>
            <w:pPr>
              <w:spacing w:after="0"/>
              <w:rPr>
                <w:sz w:val="17"/>
                <w:szCs w:val="17"/>
                <w:color w:val="auto"/>
              </w:rPr>
            </w:pPr>
          </w:p>
        </w:tc>
        <w:tc>
          <w:tcPr>
            <w:tcW w:w="2400" w:type="dxa"/>
            <w:vAlign w:val="bottom"/>
          </w:tcPr>
          <w:p>
            <w:pPr>
              <w:jc w:val="center"/>
              <w:ind w:left="11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15147 N. Scottsdale Road, Suite H300, Scottsdale, Arizona 85254-2494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530-3000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83"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________________________________________________________________________________________________</w:t>
      </w:r>
    </w:p>
    <w:p>
      <w:pPr>
        <w:spacing w:after="0" w:line="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4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9"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Quarter Ended September 30, 2026</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5, 2026, Universal Electronics Inc. (the "Company") issued a press release reporting financial results for the quarter ended September 30, 2026 and certain other information. A copy of the Company's press release is furnished as Exhibit 99.1 with this Current Report on Form 8-K.</w:t>
      </w:r>
    </w:p>
    <w:p>
      <w:pPr>
        <w:spacing w:after="0" w:line="189" w:lineRule="exact"/>
        <w:rPr>
          <w:sz w:val="20"/>
          <w:szCs w:val="20"/>
          <w:color w:val="auto"/>
        </w:rPr>
      </w:pPr>
    </w:p>
    <w:p>
      <w:pPr>
        <w:ind w:right="230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hereto, shall not be incorporated by reference into any filing of the Company under the Securities Act of 1933 or the Securities Exchange Act of 1934 (the “Exchange Act”),</w:t>
      </w:r>
    </w:p>
    <w:p>
      <w:pPr>
        <w:ind w:right="2120"/>
        <w:spacing w:after="0" w:line="253" w:lineRule="auto"/>
        <w:rPr>
          <w:sz w:val="20"/>
          <w:szCs w:val="20"/>
          <w:color w:val="auto"/>
        </w:rPr>
      </w:pPr>
      <w:r>
        <w:rPr>
          <w:rFonts w:ascii="Times New Roman" w:cs="Times New Roman" w:eastAsia="Times New Roman" w:hAnsi="Times New Roman"/>
          <w:sz w:val="18"/>
          <w:szCs w:val="18"/>
          <w:color w:val="auto"/>
        </w:rPr>
        <w:t>whether made before or after the date hereof, regardless of any general incorporation language in such filing, unless expressly incorporated by specific reference in such filing. Furthermore, the information in this Item 2.02, including Exhibit 99.1 hereto, shall not be deemed to be “filed” for purposes of Section 18 of the Exchange Act, or otherwise be subject to the liabilities of that section.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with this report.</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Exhibit No.</w:t>
        <w:tab/>
        <w:t>Description</w:t>
      </w:r>
    </w:p>
    <w:p>
      <w:pPr>
        <w:spacing w:after="0" w:line="17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Universal Electronics Inc., dated November 5, 2026</w:t>
      </w:r>
    </w:p>
    <w:p>
      <w:pPr>
        <w:spacing w:after="0" w:line="171"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to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91" w:lineRule="exact"/>
        <w:rPr>
          <w:sz w:val="20"/>
          <w:szCs w:val="20"/>
          <w:color w:val="auto"/>
        </w:rPr>
      </w:pPr>
    </w:p>
    <w:p>
      <w:pPr>
        <w:ind w:left="20"/>
        <w:spacing w:after="0"/>
        <w:tabs>
          <w:tab w:leader="none" w:pos="5800" w:val="left"/>
          <w:tab w:leader="none" w:pos="662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Sui Man (Raymond)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18415</wp:posOffset>
            </wp:positionV>
            <wp:extent cx="3120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Sui Man (Raymond) Ho</w:t>
      </w:r>
    </w:p>
    <w:p>
      <w:pPr>
        <w:spacing w:after="0" w:line="11"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Financial Officer</w:t>
      </w:r>
    </w:p>
    <w:p>
      <w:pPr>
        <w:ind w:left="6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13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182562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56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Universal Electronics Reports Financial Results for the Third Quarter 2026</w:t>
      </w:r>
    </w:p>
    <w:p>
      <w:pPr>
        <w:spacing w:after="0" w:line="27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Cash increased $9.1M this year to $41.4M.</w:t>
      </w:r>
    </w:p>
    <w:p>
      <w:pPr>
        <w:spacing w:after="0" w:line="3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$16.6 million operating cash flow through the first nine months.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Reports Shareholders' Equity of </w:t>
      </w:r>
      <w:r>
        <w:rPr>
          <w:rFonts w:ascii="Times New Roman" w:cs="Times New Roman" w:eastAsia="Times New Roman" w:hAnsi="Times New Roman"/>
          <w:sz w:val="20"/>
          <w:szCs w:val="20"/>
          <w:b w:val="1"/>
          <w:bCs w:val="1"/>
          <w:color w:val="auto"/>
        </w:rPr>
        <w:t>$139.6 million</w:t>
      </w:r>
      <w:r>
        <w:rPr>
          <w:rFonts w:ascii="Times New Roman" w:cs="Times New Roman" w:eastAsia="Times New Roman" w:hAnsi="Times New Roman"/>
          <w:sz w:val="20"/>
          <w:szCs w:val="20"/>
          <w:b w:val="1"/>
          <w:bCs w:val="1"/>
          <w:i w:val="1"/>
          <w:iCs w:val="1"/>
          <w:color w:val="auto"/>
        </w:rPr>
        <w:t xml:space="preserve"> at September 30, 2026.</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i w:val="1"/>
          <w:iCs w:val="1"/>
          <w:color w:val="auto"/>
        </w:rPr>
        <w:t>Reiterates Guidance for Fiscal 2026.</w:t>
      </w:r>
    </w:p>
    <w:p>
      <w:pPr>
        <w:spacing w:after="0" w:line="200" w:lineRule="exact"/>
        <w:rPr>
          <w:sz w:val="20"/>
          <w:szCs w:val="20"/>
          <w:color w:val="auto"/>
        </w:rPr>
      </w:pPr>
    </w:p>
    <w:p>
      <w:pPr>
        <w:spacing w:after="0" w:line="207" w:lineRule="exact"/>
        <w:rPr>
          <w:sz w:val="20"/>
          <w:szCs w:val="20"/>
          <w:color w:val="auto"/>
        </w:rPr>
      </w:pPr>
    </w:p>
    <w:p>
      <w:pPr>
        <w:ind w:left="40"/>
        <w:spacing w:after="0" w:line="266" w:lineRule="auto"/>
        <w:rPr>
          <w:sz w:val="20"/>
          <w:szCs w:val="20"/>
          <w:color w:val="auto"/>
        </w:rPr>
      </w:pPr>
      <w:r>
        <w:rPr>
          <w:rFonts w:ascii="Times New Roman" w:cs="Times New Roman" w:eastAsia="Times New Roman" w:hAnsi="Times New Roman"/>
          <w:sz w:val="18"/>
          <w:szCs w:val="18"/>
          <w:color w:val="auto"/>
        </w:rPr>
        <w:t>SCOTTSDALE, AZ – November 5, 2026 – Universal Electronics Inc. (UEI) (Nasdaq: UEIC) reported financial results for the three months ended September 30, 2026.</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 for the Three Months Ended September 30, 2026 compared to the same period in 2025</w:t>
      </w:r>
    </w:p>
    <w:p>
      <w:pPr>
        <w:spacing w:after="0" w:line="246" w:lineRule="exact"/>
        <w:rPr>
          <w:sz w:val="20"/>
          <w:szCs w:val="20"/>
          <w:color w:val="auto"/>
        </w:rPr>
      </w:pPr>
    </w:p>
    <w:p>
      <w:pPr>
        <w:ind w:left="340" w:right="20" w:hanging="333"/>
        <w:spacing w:after="0" w:line="260" w:lineRule="auto"/>
        <w:tabs>
          <w:tab w:leader="none" w:pos="33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Continued focus on working capital drove inventory lower by $8.2 million, contributed to $16.6 million of operating cash flow through the first nine months of 2026 and helped increase cash by $9.1 million this year.</w:t>
      </w:r>
    </w:p>
    <w:p>
      <w:pPr>
        <w:spacing w:after="0" w:line="1" w:lineRule="exact"/>
        <w:rPr>
          <w:rFonts w:ascii="Arial" w:cs="Arial" w:eastAsia="Arial" w:hAnsi="Arial"/>
          <w:sz w:val="18"/>
          <w:szCs w:val="18"/>
          <w:color w:val="auto"/>
        </w:rPr>
      </w:pPr>
    </w:p>
    <w:p>
      <w:pPr>
        <w:ind w:left="340" w:right="20" w:hanging="333"/>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Q3 2026, we significantly reduced our operational costs, which we believe will improve our ability to generate profits going forward. GAAP operating expenses decreased by $8.9 million and adjusted non-GAAP operating expenses were down $4.9 million.</w:t>
      </w: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sales were $89.4 million, compared to $90.6 million.</w:t>
      </w:r>
    </w:p>
    <w:p>
      <w:pPr>
        <w:spacing w:after="0" w:line="9"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sales in connected home were $33.8 million, compared to $29.8 million.</w:t>
      </w:r>
    </w:p>
    <w:p>
      <w:pPr>
        <w:spacing w:after="0" w:line="9" w:lineRule="exact"/>
        <w:rPr>
          <w:rFonts w:ascii="Times New Roman" w:cs="Times New Roman" w:eastAsia="Times New Roman" w:hAnsi="Times New Roman"/>
          <w:sz w:val="18"/>
          <w:szCs w:val="18"/>
          <w:color w:val="auto"/>
        </w:rPr>
      </w:pPr>
    </w:p>
    <w:p>
      <w:pPr>
        <w:ind w:left="980" w:hanging="32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sales in home entertainment were $55.6 million, compared to $60.8 million.</w:t>
      </w:r>
    </w:p>
    <w:p>
      <w:pPr>
        <w:spacing w:after="0" w:line="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margins were 26.3%, compared to 27.7%; Adjusted non-GAAP gross margins were 26.3%, compared to 29.1%.</w:t>
      </w:r>
    </w:p>
    <w:p>
      <w:pPr>
        <w:spacing w:after="0" w:line="9" w:lineRule="exact"/>
        <w:rPr>
          <w:rFonts w:ascii="Times New Roman" w:cs="Times New Roman" w:eastAsia="Times New Roman" w:hAnsi="Times New Roman"/>
          <w:sz w:val="18"/>
          <w:szCs w:val="18"/>
          <w:color w:val="auto"/>
        </w:rPr>
      </w:pPr>
    </w:p>
    <w:p>
      <w:pPr>
        <w:ind w:left="340" w:hanging="333"/>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income was $2.9 million, compared to GAAP operating loss of $(4.5) million; Adjusted non-GAAP operating income was $3.7 million, compared to Adjusted non-GAAP operating income of $1.6 million.</w:t>
      </w:r>
    </w:p>
    <w:p>
      <w:pPr>
        <w:ind w:left="340" w:hanging="333"/>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was $(0.3) million, or $(0.03) per diluted share, compared to $(8.3) million, or $(0.62) per diluted share; Adjusted non-GAAP net income was $2.3 million, or $0.17 per diluted share, compared to Adjusted non-GAAP net income of $1.1 million, or $0.08 per diluted share.</w:t>
      </w:r>
    </w:p>
    <w:p>
      <w:pPr>
        <w:ind w:left="340" w:hanging="333"/>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cash and cash equivalents were $41.4 million, compared to $32.3 million at December 31, 2025, reflecting our continued focus on improving cash flow.</w:t>
      </w:r>
    </w:p>
    <w:p>
      <w:pPr>
        <w:spacing w:after="0" w:line="20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For a more detailed explanation of non-GAAP financial measures, please refer to the "Use of Non-GAAP Financial Metrics" and "Reconciliation of Adjusted Non-GAAP Financial Results" located elsewhere in this press release.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Outlook</w:t>
      </w:r>
    </w:p>
    <w:p>
      <w:pPr>
        <w:spacing w:after="0" w:line="148" w:lineRule="exact"/>
        <w:rPr>
          <w:sz w:val="20"/>
          <w:szCs w:val="20"/>
          <w:color w:val="auto"/>
        </w:rPr>
      </w:pPr>
    </w:p>
    <w:p>
      <w:pPr>
        <w:ind w:left="40" w:right="20"/>
        <w:spacing w:after="0" w:line="245" w:lineRule="exact"/>
        <w:rPr>
          <w:sz w:val="20"/>
          <w:szCs w:val="20"/>
          <w:color w:val="auto"/>
        </w:rPr>
      </w:pPr>
      <w:r>
        <w:rPr>
          <w:rFonts w:ascii="Times New Roman" w:cs="Times New Roman" w:eastAsia="Times New Roman" w:hAnsi="Times New Roman"/>
          <w:sz w:val="18"/>
          <w:szCs w:val="18"/>
          <w:color w:val="auto"/>
        </w:rPr>
        <w:t>We continue to expect adjusted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diluted earnings per share to be in the range of $0.45 to $0.65 for the fiscal year ending December 31, 2026, compared to $0.31 per share in fiscal 2025, consistent with our prior guidance.</w:t>
      </w:r>
    </w:p>
    <w:p>
      <w:pPr>
        <w:spacing w:after="0" w:line="1" w:lineRule="exact"/>
        <w:rPr>
          <w:sz w:val="20"/>
          <w:szCs w:val="20"/>
          <w:color w:val="auto"/>
        </w:rPr>
      </w:pPr>
    </w:p>
    <w:p>
      <w:pPr>
        <w:ind w:left="40" w:right="60"/>
        <w:spacing w:after="0" w:line="277" w:lineRule="auto"/>
        <w:rPr>
          <w:sz w:val="20"/>
          <w:szCs w:val="20"/>
          <w:color w:val="auto"/>
        </w:rPr>
      </w:pPr>
      <w:r>
        <w:rPr>
          <w:rFonts w:ascii="Times New Roman" w:cs="Times New Roman" w:eastAsia="Times New Roman" w:hAnsi="Times New Roman"/>
          <w:sz w:val="17"/>
          <w:szCs w:val="17"/>
          <w:color w:val="auto"/>
        </w:rPr>
        <w:t>We have not provided guidance for GAAP diluted earnings (loss) per share or a reconciliation of forward-looking adjusted non-GAAP diluted earnings per share to the comparable GAAP measure because certain excluded items, including severance, litigation settlements, losses on assets held for sale, foreign currency gains and losses, and related tax effects, cannot be reasonably estimated without unreasonable effort and could materially affect GAAP results.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80"/>
          </w:cols>
          <w:pgMar w:left="28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Information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UEI’s management team will hold a conference call today, Thursday, November 5, 2026 at 4:30 p.m. ET / 1:30 p.m. PT, to discuss its </w:t>
      </w:r>
      <w:r>
        <w:rPr>
          <w:rFonts w:ascii="Times New Roman" w:cs="Times New Roman" w:eastAsia="Times New Roman" w:hAnsi="Times New Roman"/>
          <w:sz w:val="16"/>
          <w:szCs w:val="16"/>
          <w:color w:val="auto"/>
        </w:rPr>
        <w:t>third quarter</w:t>
      </w:r>
      <w:r>
        <w:rPr>
          <w:rFonts w:ascii="Times New Roman" w:cs="Times New Roman" w:eastAsia="Times New Roman" w:hAnsi="Times New Roman"/>
          <w:sz w:val="18"/>
          <w:szCs w:val="18"/>
          <w:color w:val="auto"/>
        </w:rPr>
        <w:t xml:space="preserve"> 2026 earnings results, review recent activity and answer questions. To attend the call please register at: https://edge.media-server.com/mmc/p/n7ydfz8z/ to receive a computer-generated dial-in number and a unique pin number. The conference call will also be broadcast live on the investor section of the UEI website where it will be available for replay for 90 days.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Metrics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reporting financial results in accordance with generally accepted accounting principles, or GAAP, UEI provides Adjusted non-GAAP information as additional information for its operating results. References to Adjusted non-GAAP information are to non-GAAP financial measures. These measures are not required by, in accordance with, or an alternative for, GAAP and may be different from non-GAAP financial measures used by other companies. UEI’s management uses these measures for reviewing the financial results of UEI for budget planning purposes and for making operational and financial decisions. Management believes that providing these non-GAAP financial measures to investors, as a supplement to GAAP financial measures, help investors evaluate UEI’s core operating and financial performance and business trends consistent with how management evaluates such performance and trends. Additionally, management believes these measures facilitate comparisons with the core operating and financial results and business trends of competitors and other companies.</w:t>
      </w:r>
    </w:p>
    <w:p>
      <w:pPr>
        <w:spacing w:after="0" w:line="20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Adjusted non-GAAP gross profit is defined as gross profit excluding stock-based compensation expense and impairment of long-lived assets. Adjusted non-GAAP operating expenses are defined as operating expenses excluding stock-based compensation expense, amortization of intangibles acquired, severance, factory restructuring charges, lease abandonment costs and litigation settlement costs. Adjusted non-GAAP operating income is defined as operating income (loss) excluding the items excluded from Adjusted non-GAAP gross profit and Adjusted non-GAAP operating expenses. Adjusted non-GAAP net income (loss) is defined as net loss excluding the aforementioned items, loss on assets held for sale, foreign currency gains and losses, and the related tax effects of all adjustments, as well as valuation allowances on certain deferred tax assets and certain net deferred tax adjustments. Adjusted non-GAAP earnings (loss) per diluted share is calculated using Adjusted non-GAAP net income (loss). EBITDA is defined as net income (loss) before interest expense, income tax provision, and depreciation and amortization expense. Adjusted EBITDA is defined as EBITDA excluding loss on assets held for sale, lease abandonment costs, impairment of long-lived assets, litigation settlement costs, stock-based compensation expense, factory restructuring costs and severance. A reconciliation of these financial measures to the most directly comparable GAAP financial measures is included at the end of this press release. We do not provide a reconciliation for forward-looking non-GAAP financial metrics because reconciliation information is not available without unreasonable effort, such as attempting to make assumptions that cannot reasonably be made on a forward-looking basis to determine the corresponding GAAP metric.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Universal Electronics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Universal Electronics Inc. (Nasdaq: UEIC) is a global leader in wireless universal control solutions for the home. The company brings to life millions of innovative control products each year that focus on a user-centric approach to building control products and applications that simplify user interaction with highly complex technologies in the home, removing interoperability challenges as a roadblock for user adoption, with privacy first and a secure by design approach to today's smart devices. Our products are offered by the world's leading brands in home entertainment and the connected home markets, including leading global companies such as Daikin, Carrier, Comcast, Vivint Smart Home, Samsung, Sony, Hunter Douglas and Somfy. The company's pioneering breakthrough innovations include its award-winning voice control entertainment remote controls and QuickSet Cloud, a leading platform for automated device and service discovery, set-up and control, and user experience personalization for the home. For more information, visit </w:t>
      </w:r>
      <w:r>
        <w:rPr>
          <w:rFonts w:ascii="Times New Roman" w:cs="Times New Roman" w:eastAsia="Times New Roman" w:hAnsi="Times New Roman"/>
          <w:sz w:val="18"/>
          <w:szCs w:val="18"/>
          <w:u w:val="single" w:color="auto"/>
          <w:color w:val="auto"/>
        </w:rPr>
        <w:t>www.uei.com</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UEI: Raymond Ho, CFO, UEI, </w:t>
      </w:r>
      <w:r>
        <w:rPr>
          <w:rFonts w:ascii="Times New Roman" w:cs="Times New Roman" w:eastAsia="Times New Roman" w:hAnsi="Times New Roman"/>
          <w:sz w:val="18"/>
          <w:szCs w:val="18"/>
          <w:u w:val="single" w:color="auto"/>
          <w:color w:val="auto"/>
        </w:rPr>
        <w:t>investors@uei.com</w:t>
      </w:r>
      <w:r>
        <w:rPr>
          <w:rFonts w:ascii="Times New Roman" w:cs="Times New Roman" w:eastAsia="Times New Roman" w:hAnsi="Times New Roman"/>
          <w:sz w:val="18"/>
          <w:szCs w:val="18"/>
          <w:color w:val="auto"/>
        </w:rPr>
        <w:t xml:space="preserve"> 480-530-3000</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including statements about our future financial results, including the expected benefits of our cost reduction actions; anticipated trends in our business and market conditions; and similar statements concerning anticipated future events and expectations that are not historical facts. We caution you that these statements are not guarantees of future performance and are subject to numerous risks and uncertainties, including those we identify below and other risk factors that we identify in our annual report on Form 10-K for the year ended December 31, 2025 and the periodic reports filed and furnished since then.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62" w:right="339" w:bottom="1440" w:gutter="0" w:footer="0" w:header="0"/>
        </w:sectPr>
      </w:pPr>
    </w:p>
    <w:bookmarkStart w:id="5" w:name="page6"/>
    <w:bookmarkEnd w:id="5"/>
    <w:p>
      <w:pPr>
        <w:jc w:val="both"/>
        <w:spacing w:after="0" w:line="252" w:lineRule="auto"/>
        <w:rPr>
          <w:sz w:val="20"/>
          <w:szCs w:val="20"/>
          <w:color w:val="auto"/>
        </w:rPr>
      </w:pPr>
      <w:r>
        <w:rPr>
          <w:rFonts w:ascii="Times New Roman" w:cs="Times New Roman" w:eastAsia="Times New Roman" w:hAnsi="Times New Roman"/>
          <w:sz w:val="18"/>
          <w:szCs w:val="18"/>
          <w:color w:val="auto"/>
        </w:rPr>
        <w:t>Risks that could affect forward-looking statements in this press release include: our continued ability to timely develop and deliver innovative control solutions and technologies that are accepted by our customers, both near- and long-term; our ability to attract new customers and to successfully capture sales in all markets we serve, including in the climate control and connected home markets as anticipated by management; our ability to manage management transition actions; our ability to continue optimizing our manufacturing footprint and realize the lower concentration risks as expected by management; our ability to maintain our market share in the traditional subscription broadcast market; our ability to manage through the worldwide inflationary pressures and macroeconomic conditions; our ability to successfully execute our strategic actions and plans; our ability to realize the anticipated cost savings and other benefits of our cost reduction actions; our ability to continue to manage our business, inventories and cash flows to achieve our net sales, margins and earnings through financial discipline, operational efficiency, product line management, liquidity requirements, capital expenditures and other investment spending expectations; our continued ability to successfully enforce our patented technology, including with respect to our litigation against Roku and Amazon; our continued ability to strategically enhance, expand, and monetize our IP portfolios; the continued fluctuation in our market capitalization; the use of artificial intelligence applications which could result in cybersecurity incidents that implicate the personal data of end users or other unintended ethical, reputational, competitive harm or legal liability; the direct and indirect impact we may experience with respect to our business and financial results and management’s ability to anticipate and mitigate the impact stemming from the continued economic uncertainty affecting consumers’ confidence and spending, natural disasters or other events beyond our control, public health crises (including an outbreak of infectious disease), governmental actions, including the changes in or enhanced use of laws, regulations and policies may have on our business including the impact of decreased governmental incentive programs worldwide or of enhanced or expanded trade regulations, including the expanded use of tariffs, pertaining to importation of our products, the effects of political unrest, war, terrorist activities, or other hostilities; the effects and uncertainties and other factors more fully described in our reports filed with the SEC.</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it is not possible to predict or identify all of the risks, uncertainties and other factors that may affect future results, the above list should not be considered a complete list. Further, any of these factors could cause actual results to differ materially from the expectations we express or imply in this press release. We make these forward-looking statements as of the date hereof, and we undertake no obligation to publicly update or revise any forward-looking statement, whether as a result of new information, future events or otherwise, except as required by law or regulation.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Tables Follow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9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32,306</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79,320</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77,793</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6,803</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207"/>
        </w:trPr>
        <w:tc>
          <w:tcPr>
            <w:tcW w:w="7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205,119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27,600</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21,968</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10,203</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3,611</w:t>
            </w:r>
          </w:p>
        </w:tc>
        <w:tc>
          <w:tcPr>
            <w:tcW w:w="0" w:type="dxa"/>
            <w:vAlign w:val="bottom"/>
          </w:tcPr>
          <w:p>
            <w:pPr>
              <w:spacing w:after="0"/>
              <w:rPr>
                <w:sz w:val="1"/>
                <w:szCs w:val="1"/>
                <w:color w:val="auto"/>
              </w:rPr>
            </w:pPr>
          </w:p>
        </w:tc>
      </w:tr>
      <w:tr>
        <w:trPr>
          <w:trHeight w:val="207"/>
        </w:trPr>
        <w:tc>
          <w:tcPr>
            <w:tcW w:w="7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271,782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273,997</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8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48,945</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Lines of credit and short term financing</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24,079</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17,496</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sales discounts, rebates and royalties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6,132</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income taxes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20,134</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119,310</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obligations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127,813</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none issued or outstanding</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Common stock, $0.01 par value, 50,000,000 shares authorized; 26,443,209 and 26,146,367 shares issued on</w:t>
            </w: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September 30, 2026 and December 31, 2025, respectively</w:t>
            </w: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Paid-in capital</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350,222</w:t>
            </w:r>
          </w:p>
        </w:tc>
        <w:tc>
          <w:tcPr>
            <w:tcW w:w="0" w:type="dxa"/>
            <w:vAlign w:val="bottom"/>
          </w:tcPr>
          <w:p>
            <w:pPr>
              <w:spacing w:after="0"/>
              <w:rPr>
                <w:sz w:val="1"/>
                <w:szCs w:val="1"/>
                <w:color w:val="auto"/>
              </w:rPr>
            </w:pPr>
          </w:p>
        </w:tc>
      </w:tr>
      <w:tr>
        <w:trPr>
          <w:trHeight w:val="165"/>
        </w:trPr>
        <w:tc>
          <w:tcPr>
            <w:tcW w:w="768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Treasury stock, at cost, 13,537,944 and 13,537,944 shares on September 30, 2026 and December 31, 2025,</w:t>
            </w: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(375,016)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(375,016)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189,832</w:t>
            </w:r>
          </w:p>
        </w:tc>
        <w:tc>
          <w:tcPr>
            <w:tcW w:w="0" w:type="dxa"/>
            <w:vAlign w:val="bottom"/>
          </w:tcPr>
          <w:p>
            <w:pPr>
              <w:spacing w:after="0"/>
              <w:rPr>
                <w:sz w:val="1"/>
                <w:szCs w:val="1"/>
                <w:color w:val="auto"/>
              </w:rPr>
            </w:pPr>
          </w:p>
        </w:tc>
      </w:tr>
      <w:tr>
        <w:trPr>
          <w:trHeight w:val="207"/>
        </w:trPr>
        <w:tc>
          <w:tcPr>
            <w:tcW w:w="7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139,638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146,184</w:t>
            </w:r>
          </w:p>
        </w:tc>
        <w:tc>
          <w:tcPr>
            <w:tcW w:w="0" w:type="dxa"/>
            <w:vAlign w:val="bottom"/>
          </w:tcPr>
          <w:p>
            <w:pPr>
              <w:spacing w:after="0"/>
              <w:rPr>
                <w:sz w:val="1"/>
                <w:szCs w:val="1"/>
                <w:color w:val="auto"/>
              </w:rPr>
            </w:pPr>
          </w:p>
        </w:tc>
      </w:tr>
      <w:tr>
        <w:trPr>
          <w:trHeight w:val="235"/>
        </w:trPr>
        <w:tc>
          <w:tcPr>
            <w:tcW w:w="7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273,997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3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280,543</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200,142</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80,401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20,877</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65,941</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Factory restructuring charges</w:t>
            </w: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9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(7,258)</w:t>
            </w: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0" w:type="dxa"/>
            <w:vAlign w:val="bottom"/>
          </w:tcPr>
          <w:p>
            <w:pPr>
              <w:spacing w:after="0"/>
              <w:rPr>
                <w:sz w:val="1"/>
                <w:szCs w:val="1"/>
                <w:color w:val="auto"/>
              </w:rPr>
            </w:pPr>
          </w:p>
        </w:tc>
      </w:tr>
      <w:tr>
        <w:trPr>
          <w:trHeight w:val="20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(17,515)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computing loss per share:</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13,207</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(17,515)</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w:t>
            </w:r>
          </w:p>
        </w:tc>
      </w:tr>
      <w:tr>
        <w:trPr>
          <w:trHeight w:val="219"/>
        </w:trPr>
        <w:tc>
          <w:tcPr>
            <w:tcW w:w="8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3"/>
        </w:trPr>
        <w:tc>
          <w:tcPr>
            <w:tcW w:w="84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19"/>
        </w:trPr>
        <w:tc>
          <w:tcPr>
            <w:tcW w:w="8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Shares issued for employee benefit plan and compensation</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3"/>
        </w:trPr>
        <w:tc>
          <w:tcPr>
            <w:tcW w:w="84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Employee and director stock-based compensation</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19"/>
        </w:trPr>
        <w:tc>
          <w:tcPr>
            <w:tcW w:w="8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13"/>
        </w:trPr>
        <w:tc>
          <w:tcPr>
            <w:tcW w:w="84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Loss on sale of property, plant, and equipment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38,895</w:t>
            </w:r>
          </w:p>
        </w:tc>
      </w:tr>
      <w:tr>
        <w:trPr>
          <w:trHeight w:val="219"/>
        </w:trPr>
        <w:tc>
          <w:tcPr>
            <w:tcW w:w="8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r>
      <w:tr>
        <w:trPr>
          <w:trHeight w:val="213"/>
        </w:trPr>
        <w:tc>
          <w:tcPr>
            <w:tcW w:w="8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5,666</w:t>
            </w:r>
          </w:p>
        </w:tc>
      </w:tr>
      <w:tr>
        <w:trPr>
          <w:trHeight w:val="219"/>
        </w:trPr>
        <w:tc>
          <w:tcPr>
            <w:tcW w:w="8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(22,166)</w:t>
            </w:r>
          </w:p>
        </w:tc>
      </w:tr>
      <w:tr>
        <w:trPr>
          <w:trHeight w:val="213"/>
        </w:trPr>
        <w:tc>
          <w:tcPr>
            <w:tcW w:w="844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6"/>
                <w:szCs w:val="16"/>
                <w:color w:val="auto"/>
              </w:rPr>
              <w:t>Accrued income taxes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w:t>
            </w:r>
          </w:p>
        </w:tc>
      </w:tr>
      <w:tr>
        <w:trPr>
          <w:trHeight w:val="212"/>
        </w:trPr>
        <w:tc>
          <w:tcPr>
            <w:tcW w:w="84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27,837</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 of Blue Chip Swap securities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 of Blue Chip Swap securities</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on sale of property, plant, and equipment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w:t>
            </w:r>
          </w:p>
        </w:tc>
      </w:tr>
      <w:tr>
        <w:trPr>
          <w:trHeight w:val="207"/>
        </w:trPr>
        <w:tc>
          <w:tcPr>
            <w:tcW w:w="84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(5,704)</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Borrowings under lines of credit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70,660</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Repayments on lines of credit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(89,714)</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short term financing</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Repayment on short term financing</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Treasury stock purchased</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2"/>
        </w:trPr>
        <w:tc>
          <w:tcPr>
            <w:tcW w:w="8440" w:type="dxa"/>
            <w:vAlign w:val="bottom"/>
            <w:tcBorders>
              <w:top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(19,834)</w:t>
            </w: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currency exchange rates on cash and cash equivalents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w:t>
            </w:r>
          </w:p>
        </w:tc>
      </w:tr>
      <w:tr>
        <w:trPr>
          <w:trHeight w:val="213"/>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26,783</w:t>
            </w:r>
          </w:p>
        </w:tc>
      </w:tr>
      <w:tr>
        <w:trPr>
          <w:trHeight w:val="23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21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8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FINANCIAL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52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08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9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sales - GAAP</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89,423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90,552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241,696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280,543</w:t>
            </w: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non-GAAP net sales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89,423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90,552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241,696</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280,543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 GAAP</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65,869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65,430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171,637</w:t>
            </w:r>
          </w:p>
        </w:tc>
        <w:tc>
          <w:tcPr>
            <w:tcW w:w="120" w:type="dxa"/>
            <w:vAlign w:val="bottom"/>
          </w:tcPr>
          <w:p>
            <w:pPr>
              <w:spacing w:after="0"/>
              <w:rPr>
                <w:sz w:val="18"/>
                <w:szCs w:val="18"/>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200,142</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Impairment of long-lived assets </w:t>
            </w:r>
            <w:r>
              <w:rPr>
                <w:rFonts w:ascii="Times New Roman" w:cs="Times New Roman" w:eastAsia="Times New Roman" w:hAnsi="Times New Roman"/>
                <w:sz w:val="21"/>
                <w:szCs w:val="21"/>
                <w:color w:val="auto"/>
                <w:vertAlign w:val="superscript"/>
              </w:rPr>
              <w:t>(5)</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non-GAAP cost of sales</w:t>
            </w:r>
          </w:p>
        </w:tc>
        <w:tc>
          <w:tcPr>
            <w:tcW w:w="9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65,857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64,230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171,600</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198,914</w:t>
            </w:r>
          </w:p>
        </w:tc>
        <w:tc>
          <w:tcPr>
            <w:tcW w:w="0" w:type="dxa"/>
            <w:vAlign w:val="bottom"/>
          </w:tcPr>
          <w:p>
            <w:pPr>
              <w:spacing w:after="0"/>
              <w:rPr>
                <w:sz w:val="1"/>
                <w:szCs w:val="1"/>
                <w:color w:val="auto"/>
              </w:rPr>
            </w:pPr>
          </w:p>
        </w:tc>
      </w:tr>
      <w:tr>
        <w:trPr>
          <w:trHeight w:val="20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non-GAAP gross profit</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23,566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26,322</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70,096</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81,629</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 - GAAP</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28.7 %</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Impairment of long-lived assets </w:t>
            </w:r>
            <w:r>
              <w:rPr>
                <w:rFonts w:ascii="Times New Roman" w:cs="Times New Roman" w:eastAsia="Times New Roman" w:hAnsi="Times New Roman"/>
                <w:sz w:val="21"/>
                <w:szCs w:val="21"/>
                <w:color w:val="auto"/>
                <w:vertAlign w:val="superscript"/>
              </w:rPr>
              <w:t>(5)</w:t>
            </w:r>
          </w:p>
        </w:tc>
        <w:tc>
          <w:tcPr>
            <w:tcW w:w="9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 %</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0" w:type="dxa"/>
            <w:vAlign w:val="bottom"/>
          </w:tcPr>
          <w:p>
            <w:pPr>
              <w:spacing w:after="0"/>
              <w:rPr>
                <w:sz w:val="1"/>
                <w:szCs w:val="1"/>
                <w:color w:val="auto"/>
              </w:rPr>
            </w:pPr>
          </w:p>
        </w:tc>
      </w:tr>
      <w:tr>
        <w:trPr>
          <w:trHeight w:val="20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non-GAAP gross profit %</w:t>
            </w:r>
          </w:p>
        </w:tc>
        <w:tc>
          <w:tcPr>
            <w:tcW w:w="9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26.3 %</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 GAAP</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20,698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29,634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66,315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87,659</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(1)</w:t>
            </w:r>
          </w:p>
        </w:tc>
        <w:tc>
          <w:tcPr>
            <w:tcW w:w="98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(1,980)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Factory restructuring charges </w:t>
            </w:r>
            <w:r>
              <w:rPr>
                <w:rFonts w:ascii="Times New Roman" w:cs="Times New Roman" w:eastAsia="Times New Roman" w:hAnsi="Times New Roman"/>
                <w:sz w:val="21"/>
                <w:szCs w:val="21"/>
                <w:color w:val="auto"/>
                <w:vertAlign w:val="superscript"/>
              </w:rPr>
              <w:t>(2)</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Lease abandonment </w:t>
            </w:r>
            <w:r>
              <w:rPr>
                <w:rFonts w:ascii="Times New Roman" w:cs="Times New Roman" w:eastAsia="Times New Roman" w:hAnsi="Times New Roman"/>
                <w:sz w:val="21"/>
                <w:szCs w:val="21"/>
                <w:color w:val="auto"/>
                <w:vertAlign w:val="superscript"/>
              </w:rPr>
              <w:t>(3)</w:t>
            </w:r>
          </w:p>
        </w:tc>
        <w:tc>
          <w:tcPr>
            <w:tcW w:w="9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costs </w:t>
            </w:r>
            <w:r>
              <w:rPr>
                <w:rFonts w:ascii="Times New Roman" w:cs="Times New Roman" w:eastAsia="Times New Roman" w:hAnsi="Times New Roman"/>
                <w:sz w:val="21"/>
                <w:szCs w:val="21"/>
                <w:color w:val="auto"/>
                <w:vertAlign w:val="superscript"/>
              </w:rPr>
              <w:t>(4)</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non-GAAP operating expenses</w:t>
            </w: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19,882</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24,752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62,274</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78,671</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 - GAAP</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3,744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(7,258)</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Impairment of long-lived assets </w:t>
            </w:r>
            <w:r>
              <w:rPr>
                <w:rFonts w:ascii="Times New Roman" w:cs="Times New Roman" w:eastAsia="Times New Roman" w:hAnsi="Times New Roman"/>
                <w:sz w:val="21"/>
                <w:szCs w:val="21"/>
                <w:color w:val="auto"/>
                <w:vertAlign w:val="superscript"/>
              </w:rPr>
              <w:t>(5)</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4,274</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98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(1)</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Factory restructuring costs </w:t>
            </w:r>
            <w:r>
              <w:rPr>
                <w:rFonts w:ascii="Times New Roman" w:cs="Times New Roman" w:eastAsia="Times New Roman" w:hAnsi="Times New Roman"/>
                <w:sz w:val="21"/>
                <w:szCs w:val="21"/>
                <w:color w:val="auto"/>
                <w:vertAlign w:val="superscript"/>
              </w:rPr>
              <w:t>(2)</w:t>
            </w:r>
          </w:p>
        </w:tc>
        <w:tc>
          <w:tcPr>
            <w:tcW w:w="9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Lease abandonment </w:t>
            </w:r>
            <w:r>
              <w:rPr>
                <w:rFonts w:ascii="Times New Roman" w:cs="Times New Roman" w:eastAsia="Times New Roman" w:hAnsi="Times New Roman"/>
                <w:sz w:val="21"/>
                <w:szCs w:val="21"/>
                <w:color w:val="auto"/>
                <w:vertAlign w:val="superscript"/>
              </w:rPr>
              <w:t>(3)</w:t>
            </w: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costs </w:t>
            </w:r>
            <w:r>
              <w:rPr>
                <w:rFonts w:ascii="Times New Roman" w:cs="Times New Roman" w:eastAsia="Times New Roman" w:hAnsi="Times New Roman"/>
                <w:sz w:val="21"/>
                <w:szCs w:val="21"/>
                <w:color w:val="auto"/>
                <w:vertAlign w:val="superscript"/>
              </w:rPr>
              <w:t>(4)</w:t>
            </w:r>
          </w:p>
        </w:tc>
        <w:tc>
          <w:tcPr>
            <w:tcW w:w="980" w:type="dxa"/>
            <w:vAlign w:val="bottom"/>
          </w:tcPr>
          <w:p>
            <w:pPr>
              <w:spacing w:after="0"/>
              <w:rPr>
                <w:sz w:val="18"/>
                <w:szCs w:val="18"/>
                <w:color w:val="auto"/>
              </w:rPr>
            </w:pP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2"/>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non-GAAP operating income</w:t>
            </w: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2,958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Adjusted non-GAAP operating income as a percentage of</w:t>
            </w:r>
          </w:p>
        </w:tc>
        <w:tc>
          <w:tcPr>
            <w:tcW w:w="9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9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NON-GAAP FINANCIAL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0880"/>
          </w:cols>
          <w:pgMar w:left="500" w:top="1089" w:right="5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45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 GAAP</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10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(17,515)</w:t>
            </w:r>
          </w:p>
        </w:tc>
      </w:tr>
      <w:tr>
        <w:trPr>
          <w:trHeight w:val="219"/>
        </w:trPr>
        <w:tc>
          <w:tcPr>
            <w:tcW w:w="4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Impairment of long-lived assets </w:t>
            </w:r>
            <w:r>
              <w:rPr>
                <w:rFonts w:ascii="Times New Roman" w:cs="Times New Roman" w:eastAsia="Times New Roman" w:hAnsi="Times New Roman"/>
                <w:sz w:val="21"/>
                <w:szCs w:val="21"/>
                <w:color w:val="auto"/>
                <w:vertAlign w:val="superscript"/>
              </w:rPr>
              <w:t>(5)</w:t>
            </w: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acquired intangible assets</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16"/>
        </w:trPr>
        <w:tc>
          <w:tcPr>
            <w:tcW w:w="4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r>
      <w:tr>
        <w:trPr>
          <w:trHeight w:val="216"/>
        </w:trPr>
        <w:tc>
          <w:tcPr>
            <w:tcW w:w="4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Factory restructuring costs </w:t>
            </w:r>
            <w:r>
              <w:rPr>
                <w:rFonts w:ascii="Times New Roman" w:cs="Times New Roman" w:eastAsia="Times New Roman" w:hAnsi="Times New Roman"/>
                <w:sz w:val="21"/>
                <w:szCs w:val="21"/>
                <w:color w:val="auto"/>
                <w:vertAlign w:val="superscript"/>
              </w:rPr>
              <w:t>(2)</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6"/>
        </w:trPr>
        <w:tc>
          <w:tcPr>
            <w:tcW w:w="4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Lease abandonment </w:t>
            </w:r>
            <w:r>
              <w:rPr>
                <w:rFonts w:ascii="Times New Roman" w:cs="Times New Roman" w:eastAsia="Times New Roman" w:hAnsi="Times New Roman"/>
                <w:sz w:val="21"/>
                <w:szCs w:val="21"/>
                <w:color w:val="auto"/>
                <w:vertAlign w:val="superscript"/>
              </w:rPr>
              <w:t>(3)</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16"/>
        </w:trPr>
        <w:tc>
          <w:tcPr>
            <w:tcW w:w="4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costs </w:t>
            </w:r>
            <w:r>
              <w:rPr>
                <w:rFonts w:ascii="Times New Roman" w:cs="Times New Roman" w:eastAsia="Times New Roman" w:hAnsi="Times New Roman"/>
                <w:sz w:val="21"/>
                <w:szCs w:val="21"/>
                <w:color w:val="auto"/>
                <w:vertAlign w:val="superscript"/>
              </w:rPr>
              <w:t>(4)</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on assets held for sale </w:t>
            </w:r>
            <w:r>
              <w:rPr>
                <w:rFonts w:ascii="Times New Roman" w:cs="Times New Roman" w:eastAsia="Times New Roman" w:hAnsi="Times New Roman"/>
                <w:sz w:val="21"/>
                <w:szCs w:val="21"/>
                <w:color w:val="auto"/>
                <w:vertAlign w:val="superscript"/>
              </w:rPr>
              <w:t>(6)</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(gain)/loss</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w:t>
            </w:r>
          </w:p>
        </w:tc>
      </w:tr>
      <w:tr>
        <w:trPr>
          <w:trHeight w:val="21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 on adjustments</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6,605</w:t>
            </w:r>
          </w:p>
        </w:tc>
      </w:tr>
      <w:tr>
        <w:trPr>
          <w:trHeight w:val="234"/>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non-GAAP net income</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 GAAP</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10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(17,515)</w:t>
            </w: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6,601</w:t>
            </w: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11,080</w:t>
            </w:r>
          </w:p>
        </w:tc>
      </w:tr>
      <w:tr>
        <w:trPr>
          <w:trHeight w:val="20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02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9,893</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45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6"/>
        </w:trPr>
        <w:tc>
          <w:tcPr>
            <w:tcW w:w="4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Loss on assets held for sale </w:t>
            </w:r>
            <w:r>
              <w:rPr>
                <w:rFonts w:ascii="Times New Roman" w:cs="Times New Roman" w:eastAsia="Times New Roman" w:hAnsi="Times New Roman"/>
                <w:sz w:val="21"/>
                <w:szCs w:val="21"/>
                <w:color w:val="auto"/>
                <w:vertAlign w:val="superscript"/>
              </w:rPr>
              <w:t>(6)</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Lease abandonment </w:t>
            </w:r>
            <w:r>
              <w:rPr>
                <w:rFonts w:ascii="Times New Roman" w:cs="Times New Roman" w:eastAsia="Times New Roman" w:hAnsi="Times New Roman"/>
                <w:sz w:val="21"/>
                <w:szCs w:val="21"/>
                <w:color w:val="auto"/>
                <w:vertAlign w:val="superscript"/>
              </w:rPr>
              <w:t>(3)</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16"/>
        </w:trPr>
        <w:tc>
          <w:tcPr>
            <w:tcW w:w="45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Impairment of long-lived assets </w:t>
            </w:r>
            <w:r>
              <w:rPr>
                <w:rFonts w:ascii="Times New Roman" w:cs="Times New Roman" w:eastAsia="Times New Roman" w:hAnsi="Times New Roman"/>
                <w:sz w:val="21"/>
                <w:szCs w:val="21"/>
                <w:color w:val="auto"/>
                <w:vertAlign w:val="superscript"/>
              </w:rPr>
              <w:t>(5)</w:t>
            </w:r>
          </w:p>
        </w:tc>
        <w:tc>
          <w:tcPr>
            <w:tcW w:w="10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r>
      <w:tr>
        <w:trPr>
          <w:trHeight w:val="216"/>
        </w:trPr>
        <w:tc>
          <w:tcPr>
            <w:tcW w:w="45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Litigation settlement costs </w:t>
            </w:r>
            <w:r>
              <w:rPr>
                <w:rFonts w:ascii="Times New Roman" w:cs="Times New Roman" w:eastAsia="Times New Roman" w:hAnsi="Times New Roman"/>
                <w:sz w:val="21"/>
                <w:szCs w:val="21"/>
                <w:color w:val="auto"/>
                <w:vertAlign w:val="superscript"/>
              </w:rPr>
              <w:t>(4)</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r>
      <w:tr>
        <w:trPr>
          <w:trHeight w:val="219"/>
        </w:trPr>
        <w:tc>
          <w:tcPr>
            <w:tcW w:w="4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Factory restructuring costs </w:t>
            </w:r>
            <w:r>
              <w:rPr>
                <w:rFonts w:ascii="Times New Roman" w:cs="Times New Roman" w:eastAsia="Times New Roman" w:hAnsi="Times New Roman"/>
                <w:sz w:val="21"/>
                <w:szCs w:val="21"/>
                <w:color w:val="auto"/>
                <w:vertAlign w:val="superscript"/>
              </w:rPr>
              <w:t>(2)</w:t>
            </w: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6"/>
        </w:trPr>
        <w:tc>
          <w:tcPr>
            <w:tcW w:w="45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Severance </w:t>
            </w:r>
            <w:r>
              <w:rPr>
                <w:rFonts w:ascii="Times New Roman" w:cs="Times New Roman" w:eastAsia="Times New Roman" w:hAnsi="Times New Roman"/>
                <w:sz w:val="21"/>
                <w:szCs w:val="21"/>
                <w:color w:val="auto"/>
                <w:vertAlign w:val="superscript"/>
              </w:rPr>
              <w:t>(1)</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w:t>
            </w:r>
          </w:p>
        </w:tc>
      </w:tr>
      <w:tr>
        <w:trPr>
          <w:trHeight w:val="232"/>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11,462</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28"/>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shares used in computing earnings (loss) per share:</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13,207</w:t>
            </w: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non-GAAP</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13,488</w:t>
            </w:r>
          </w:p>
        </w:tc>
      </w:tr>
      <w:tr>
        <w:trPr>
          <w:trHeight w:val="216"/>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(loss) per share:</w:t>
            </w: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 - GAAP</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10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per share</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10"/>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non-GAAP diluted earnings (loss) per share</w:t>
            </w: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108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right="220" w:hanging="329"/>
        <w:spacing w:after="0" w:line="239" w:lineRule="auto"/>
        <w:tabs>
          <w:tab w:leader="none" w:pos="43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three and nine months ended September 30, 2025 and September 30, 2026 include severance costs associated with a global reduction in force primarily impacting roles within the selling and general and administration functions as well as engineering and research and development functions. Additionally, the nine months ended September 30, 2025 include severance per the Transition Agreement and Release of Claims dated March 19, 2025 between Paul D. Arling and the Company.</w:t>
      </w:r>
    </w:p>
    <w:p>
      <w:pPr>
        <w:spacing w:after="0" w:line="225" w:lineRule="exact"/>
        <w:rPr>
          <w:rFonts w:ascii="Times New Roman" w:cs="Times New Roman" w:eastAsia="Times New Roman" w:hAnsi="Times New Roman"/>
          <w:sz w:val="23"/>
          <w:szCs w:val="23"/>
          <w:color w:val="auto"/>
          <w:vertAlign w:val="superscript"/>
        </w:rPr>
      </w:pPr>
    </w:p>
    <w:p>
      <w:pPr>
        <w:ind w:left="580" w:right="20" w:hanging="329"/>
        <w:spacing w:after="0" w:line="229" w:lineRule="auto"/>
        <w:tabs>
          <w:tab w:leader="none" w:pos="43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three and nine months ended September 30, 2025 include severance and other exit costs associated with the closure of our Mexico manufacturing facility.</w:t>
      </w:r>
    </w:p>
    <w:p>
      <w:pPr>
        <w:spacing w:after="0" w:line="195" w:lineRule="exact"/>
        <w:rPr>
          <w:rFonts w:ascii="Times New Roman" w:cs="Times New Roman" w:eastAsia="Times New Roman" w:hAnsi="Times New Roman"/>
          <w:sz w:val="23"/>
          <w:szCs w:val="23"/>
          <w:color w:val="auto"/>
          <w:vertAlign w:val="superscript"/>
        </w:rPr>
      </w:pPr>
    </w:p>
    <w:p>
      <w:pPr>
        <w:ind w:left="440" w:hanging="189"/>
        <w:spacing w:after="0"/>
        <w:tabs>
          <w:tab w:leader="none" w:pos="4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three and nine months ended September 30, 2025 include costs resulting from the abandonment of our office space in Carlsbad, California.</w:t>
      </w:r>
    </w:p>
    <w:p>
      <w:pPr>
        <w:spacing w:after="0" w:line="194" w:lineRule="exact"/>
        <w:rPr>
          <w:rFonts w:ascii="Times New Roman" w:cs="Times New Roman" w:eastAsia="Times New Roman" w:hAnsi="Times New Roman"/>
          <w:sz w:val="23"/>
          <w:szCs w:val="23"/>
          <w:color w:val="auto"/>
          <w:vertAlign w:val="superscript"/>
        </w:rPr>
      </w:pPr>
    </w:p>
    <w:p>
      <w:pPr>
        <w:ind w:left="440" w:hanging="189"/>
        <w:spacing w:after="0"/>
        <w:tabs>
          <w:tab w:leader="none" w:pos="4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three and nine months ended September 30, 2026 include costs resulting from litigation settlement reached during the period.</w:t>
      </w:r>
    </w:p>
    <w:p>
      <w:pPr>
        <w:spacing w:after="0" w:line="224" w:lineRule="exact"/>
        <w:rPr>
          <w:rFonts w:ascii="Times New Roman" w:cs="Times New Roman" w:eastAsia="Times New Roman" w:hAnsi="Times New Roman"/>
          <w:sz w:val="23"/>
          <w:szCs w:val="23"/>
          <w:color w:val="auto"/>
          <w:vertAlign w:val="superscript"/>
        </w:rPr>
      </w:pPr>
    </w:p>
    <w:p>
      <w:pPr>
        <w:ind w:left="580" w:right="140" w:hanging="329"/>
        <w:spacing w:after="0" w:line="229" w:lineRule="auto"/>
        <w:tabs>
          <w:tab w:leader="none" w:pos="43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three and nine months ended September 30, 2025 include impairment charges related to machinery and equipment and leasehold improvements associated with the shut down of our Mexico manufacturing facility.</w:t>
      </w:r>
    </w:p>
    <w:p>
      <w:pPr>
        <w:spacing w:after="0" w:line="225" w:lineRule="exact"/>
        <w:rPr>
          <w:rFonts w:ascii="Times New Roman" w:cs="Times New Roman" w:eastAsia="Times New Roman" w:hAnsi="Times New Roman"/>
          <w:sz w:val="23"/>
          <w:szCs w:val="23"/>
          <w:color w:val="auto"/>
          <w:vertAlign w:val="superscript"/>
        </w:rPr>
      </w:pPr>
    </w:p>
    <w:p>
      <w:pPr>
        <w:ind w:left="580" w:right="440" w:hanging="329"/>
        <w:spacing w:after="0" w:line="235" w:lineRule="auto"/>
        <w:tabs>
          <w:tab w:leader="none" w:pos="437"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three and nine months ended September 30, 2026, include a loss on assets held for sale related to certain manufacturing equipment that was previously sold by the Company’s Mexico facility in December 2025, subsequently re-acquired and returned to the Company during the three months ended June 30, 2026, and classified as held for sale as of June 30, 2026.</w:t>
      </w:r>
    </w:p>
    <w:p>
      <w:pPr>
        <w:sectPr>
          <w:pgSz w:w="11900" w:h="16838" w:orient="portrait"/>
          <w:cols w:equalWidth="0" w:num="1">
            <w:col w:w="11240"/>
          </w:cols>
          <w:pgMar w:left="320" w:top="155" w:right="339" w:bottom="659"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sectPr>
      <w:pgSz w:w="11900" w:h="16838" w:orient="portrait"/>
      <w:cols w:equalWidth="0" w:num="1">
        <w:col w:w="11240"/>
      </w:cols>
      <w:pgMar w:left="320" w:top="155" w:right="339" w:bottom="6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2026-11-05T15:29:22Z</dcterms:created>
  <dcterms:modified xsi:type="dcterms:W3CDTF">2026-11-05T15:29:22Z</dcterms:modified>
</cp:coreProperties>
</file>