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(State or Other Jurisdiction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of 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2"/>
              </w:rPr>
              <w:t>6101 Gateway Drive</w:t>
            </w:r>
          </w:p>
        </w:tc>
        <w:tc>
          <w:tcPr>
            <w:tcW w:w="3300" w:type="dxa"/>
            <w:vAlign w:val="bottom"/>
          </w:tcPr>
          <w:p>
            <w:pPr>
              <w:spacing w:after="0"/>
              <w:rPr>
                <w:sz w:val="24"/>
                <w:szCs w:val="24"/>
                <w:color w:val="auto"/>
              </w:rPr>
            </w:pP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Cypress, California</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3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44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1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 Large accelerated filer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 Non-accelerated filer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o Smaller Reporting Company</w:t>
      </w:r>
    </w:p>
    <w:p>
      <w:pPr>
        <w:spacing w:after="0" w:line="323" w:lineRule="exact"/>
        <w:rPr>
          <w:sz w:val="20"/>
          <w:szCs w:val="20"/>
          <w:color w:val="auto"/>
        </w:rPr>
      </w:pPr>
    </w:p>
    <w:p>
      <w:pPr>
        <w:sectPr>
          <w:pgSz w:w="11900" w:h="16838" w:orient="portrait"/>
          <w:cols w:equalWidth="0" w:num="4">
            <w:col w:w="2800" w:space="720"/>
            <w:col w:w="1400" w:space="580"/>
            <w:col w:w="3340" w:space="180"/>
            <w:col w:w="2360"/>
          </w:cols>
          <w:pgMar w:left="240" w:top="122" w:right="27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13,616,847 shares of Common Stock, par value $0.01 per share, of the registrant were outstanding on May 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60" w:type="dxa"/>
            <w:vAlign w:val="bottom"/>
            <w:gridSpan w:val="4"/>
          </w:tcPr>
          <w:p>
            <w:pPr>
              <w:jc w:val="center"/>
              <w:ind w:right="3180"/>
              <w:spacing w:after="0"/>
              <w:rPr>
                <w:sz w:val="20"/>
                <w:szCs w:val="20"/>
                <w:color w:val="auto"/>
              </w:rPr>
            </w:pPr>
            <w:r>
              <w:rPr>
                <w:rFonts w:ascii="Arial" w:cs="Arial" w:eastAsia="Arial" w:hAnsi="Arial"/>
                <w:sz w:val="18"/>
                <w:szCs w:val="18"/>
                <w:b w:val="1"/>
                <w:bCs w:val="1"/>
                <w:color w:val="auto"/>
              </w:rPr>
              <w:t>UNIVERSAL ELECTRONICS INC.</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2"/>
          </w:tcPr>
          <w:p>
            <w:pPr>
              <w:jc w:val="center"/>
              <w:ind w:right="416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1"/>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40" w:type="dxa"/>
            <w:vAlign w:val="bottom"/>
            <w:gridSpan w:val="7"/>
            <w:vMerge w:val="restart"/>
          </w:tcPr>
          <w:p>
            <w:pPr>
              <w:spacing w:after="0"/>
              <w:rPr>
                <w:sz w:val="24"/>
                <w:szCs w:val="2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1"/>
            <w:vMerge w:val="continue"/>
          </w:tcPr>
          <w:p>
            <w:pPr>
              <w:spacing w:after="0"/>
              <w:rPr>
                <w:sz w:val="14"/>
                <w:szCs w:val="14"/>
                <w:color w:val="auto"/>
              </w:rPr>
            </w:pPr>
          </w:p>
        </w:tc>
        <w:tc>
          <w:tcPr>
            <w:tcW w:w="77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6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6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4.</w:t>
              </w:r>
            </w:hyperlink>
          </w:p>
        </w:tc>
        <w:tc>
          <w:tcPr>
            <w:tcW w:w="18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Controls and Procedures</w:t>
              </w:r>
            </w:hyperlink>
          </w:p>
        </w:tc>
        <w:tc>
          <w:tcPr>
            <w:tcW w:w="830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PART II. OTHER INFORMATION</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7"/>
                <w:szCs w:val="17"/>
                <w:color w:val="auto"/>
              </w:rPr>
            </w:pPr>
          </w:p>
        </w:tc>
        <w:tc>
          <w:tcPr>
            <w:tcW w:w="806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Item 1A. Risk Factors</w:t>
              </w:r>
            </w:hyperlink>
          </w:p>
        </w:tc>
        <w:tc>
          <w:tcPr>
            <w:tcW w:w="904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2.</w:t>
              </w:r>
            </w:hyperlink>
          </w:p>
        </w:tc>
        <w:tc>
          <w:tcPr>
            <w:tcW w:w="43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57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6.</w:t>
              </w:r>
            </w:hyperlink>
          </w:p>
        </w:tc>
        <w:tc>
          <w:tcPr>
            <w:tcW w:w="10100" w:type="dxa"/>
            <w:vAlign w:val="bottom"/>
            <w:gridSpan w:val="16"/>
          </w:tcPr>
          <w:p>
            <w:pPr>
              <w:ind w:left="2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Signature</w:t>
              </w:r>
            </w:hyperlink>
          </w:p>
        </w:tc>
        <w:tc>
          <w:tcPr>
            <w:tcW w:w="460" w:type="dxa"/>
            <w:vAlign w:val="bottom"/>
            <w:tcBorders>
              <w:top w:val="single" w:sz="8" w:color="0000EE"/>
            </w:tcBorders>
            <w:gridSpan w:val="2"/>
          </w:tcPr>
          <w:p>
            <w:pPr>
              <w:spacing w:after="0"/>
              <w:rPr>
                <w:sz w:val="17"/>
                <w:szCs w:val="17"/>
                <w:color w:val="auto"/>
              </w:rPr>
            </w:pPr>
          </w:p>
        </w:tc>
        <w:tc>
          <w:tcPr>
            <w:tcW w:w="948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Exhibit Index</w:t>
              </w:r>
            </w:hyperlink>
          </w:p>
        </w:tc>
        <w:tc>
          <w:tcPr>
            <w:tcW w:w="964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44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17,357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Term deposit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48,930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54,674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41,929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167,284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Equipment, furniture and fixtures,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8,121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13,555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12,014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7,231</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208,706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60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37,164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sales discounts, rebates and royalties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3,608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Other accrued expenses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54,963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Long-term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Income tax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1,442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80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56,717</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tcPr>
          <w:p>
            <w:pPr>
              <w:ind w:left="200"/>
              <w:spacing w:after="0" w:line="201" w:lineRule="exact"/>
              <w:rPr>
                <w:sz w:val="20"/>
                <w:szCs w:val="20"/>
                <w:color w:val="auto"/>
              </w:rPr>
            </w:pPr>
            <w:r>
              <w:rPr>
                <w:rFonts w:ascii="Arial" w:cs="Arial" w:eastAsia="Arial" w:hAnsi="Arial"/>
                <w:sz w:val="18"/>
                <w:szCs w:val="18"/>
                <w:color w:val="auto"/>
                <w:w w:val="98"/>
              </w:rPr>
              <w:t>Common stock, $0.01 par value, 50,000,000 shares authorized; 18,760,034 and 18,715,833 shares issued at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March 31, 2009 and December 31, 2008, respectively</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121,789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105,110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225,969</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Less cost of common stock in treasury, 5,169,380 and 5,070,319 shares at March 31, 2009 and December 31, 2008,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(73,980)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80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151,989</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208,706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71,126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Cost of sales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49,689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39,456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21,437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21,735</w:t>
            </w: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2,110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17,791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16,856</w:t>
            </w: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1,536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60" w:type="dxa"/>
            <w:vAlign w:val="bottom"/>
            <w:gridSpan w:val="2"/>
            <w:vMerge w:val="continue"/>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Basic</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13,658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13,831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796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1,596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Provision for doubtful accounts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Provision for inventory write-downs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Benefit for deferred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Tax benefit from exercise of stock options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Shares issued for employee benefit plan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(7,887)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Term Deposit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(48,930)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Acquisition of intangible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assets from Zilog, Inc.</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000"/>
              <w:spacing w:after="0"/>
              <w:rPr>
                <w:sz w:val="20"/>
                <w:szCs w:val="20"/>
                <w:color w:val="auto"/>
              </w:rPr>
            </w:pPr>
            <w:r>
              <w:rPr>
                <w:rFonts w:ascii="Arial" w:cs="Arial" w:eastAsia="Arial" w:hAnsi="Arial"/>
                <w:sz w:val="18"/>
                <w:szCs w:val="18"/>
                <w:color w:val="auto"/>
              </w:rPr>
              <w:t>Net cash used for investing activities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(59,330)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purchased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used for financing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(11,212)</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(558)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(57,881)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75,238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86,610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17,357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jc w:val="center"/>
              <w:ind w:left="249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8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20" w:type="dxa"/>
            <w:vAlign w:val="bottom"/>
            <w:gridSpan w:val="2"/>
          </w:tcPr>
          <w:p>
            <w:pPr>
              <w:jc w:val="right"/>
              <w:ind w:right="297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21"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prior-year amounts in order to conform to the current-year presentation.</w:t>
      </w:r>
    </w:p>
    <w:p>
      <w:pPr>
        <w:ind w:right="80"/>
        <w:spacing w:after="0" w:line="254" w:lineRule="auto"/>
        <w:rPr>
          <w:sz w:val="20"/>
          <w:szCs w:val="20"/>
          <w:color w:val="auto"/>
        </w:rPr>
      </w:pPr>
      <w:r>
        <w:rPr>
          <w:rFonts w:ascii="Arial" w:cs="Arial" w:eastAsia="Arial" w:hAnsi="Arial"/>
          <w:sz w:val="18"/>
          <w:szCs w:val="18"/>
          <w:color w:val="auto"/>
        </w:rPr>
        <w:t>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8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results of operations for the three months ended March 31, 2009 are not necessarily indicative of the results to be expected for the full year. These financial statements should be read in conjunction with the “Risk Factors,” “Management Discussion and Analysis of Financial Conditions and Results of Operations,” “Quantitative and Qualitative Disclosures About Market Risk,” and the Consolidated Financial Statements and notes thereto included in Items 1A, 7, 7A, and 8, respectively, of our Annual Report on Form 10-K for the fiscal year ended December 31, 2008.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impairment of long-lived assets, intangible assets and goodwill, income taxes and stock-based compensation expense. Actual results may differ from these judgments and estimates, and they may be adjusted as more information becomes available. Any adjustment may be material.</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1 to the consolidated financial statements included in our Annual Report on Form 10-K for the year ended December 31, 2008 for a summary of our significant accounting policies.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April 2009, the FASB issued Staff Position FSP 157-4 “Determining Fair Value When the Volume and Level of Activity for the Asset or Liability Have Significantly Decreased and Identifying Transactions That Are Not Orderly” (“FSP 157-4”). FSP 157-4 applies to all assets and liabilities within the scope of accounting pronouncements that require or permit fair value measurements, except as discussed in paragraphs 2 and 3 of Statement 157 “Fair Value Measurements”, providing additional guidance for estimating fair value when the volume and level of activity for the asset or liability have significantly decreased. FSP 157-4 also includes guidance on identifying circumstances that indicate a transaction is not orderly. FSP 157-4 emphasizes that even if there has been a significant decrease in the volume and level of activity for the asset or liability and regardless of the valuation technique(s) used, the objective of a fair value measurement remains the same. Fair value is the price that would be received to sell an asset or paid to transfer a liability in an orderly transaction (that is, not a forced liquidation or distressed sale) between market participants at the measurement date under current market conditions. FSP 157-4 is effective for interim and annual reporting periods ending after June 15, 2009, and will be applied prospectively. The implementation of this standard is not expected to have a material effect on our consolidated financial position and results of operations.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April 2009, the FASB issued Staff Position FSP 107-1 and APB 28-1 “Interim Disclosures about Fair Value of Financial Instruments” (“FSP 107-1 and APB 28-1”). FSP 107-1 and APB 28-1 amends FASB Statement No. 107 “Disclosures about Fair Value of Financial Instruments” to require disclosures about fair value of financial instruments for interim reporting periods of publicly traded companies as well as in annual financial statements. This FSP also amends APB Opinion No. 28 “Interim Financial Reporting” to require those disclosures in summarized financial information at interim reporting periods. FSP 107-1and APB 28-1 is effective for interim and annual reporting periods ending after June 15, 2009, with early adoption permitted for periods ending after March 15, 2009. The implementation of this standard is not expected to have a material effect on our consolidated financial position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2007, the FASB issued SFAS No. 141 (revised 2007), “Business Combinations” (“SFAS 141R”). SFAS 141R establishes principles and requirements for how an acquirer recognizes and measures in its financial statements the identifiable assets acquired, the liabilities assumed, any noncontrolling interest in the acquiree and the goodwill acquired. SFAS 141R also establishes disclosure requirements to enable the evaluation of the nature and financial effects of the business combination. The adoption of Statement 141R will affect the total purchase price of future acquisitions, as acquisition costs will now be expensed, and the allocation of fair value to specific assets and liabilities will be different. SFAS 141R was effective for us January 1, 2009. As a result of adopting SFAS 141R we recognized $1.1 million of acquisition costs during the three months ended March 31, 2009 related to our purchase of assets from Zilog, Inc. The acquisition costs recognized during the three months ended March 31, 2009 included $0.1 million of acquisition costs that were capitalized at December 31, 2008.</w:t>
      </w:r>
    </w:p>
    <w:p>
      <w:pPr>
        <w:spacing w:after="0" w:line="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to the recently adopted accounting standard above, we adopted the following accounting standards during the first quarter of 2009, none of which had a material effect on our consolidated financial position and results of operations:</w:t>
      </w:r>
    </w:p>
    <w:p>
      <w:pPr>
        <w:spacing w:after="0" w:line="62"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FSP FAS 141(R)-1, “Accounting for Assets Acquired and Liabilities Assumed in a Business Combination That Arise from Contingencies”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FSP FAS 132(R)-1, “Employers’ Disclosures about Postretirement Benefit Plan Assets”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EITF Issue No. 08-7, “Accounting for Defensive Intangible Assets”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EITF Issue No. 08-6, “Equity Method Investment Accounting Considerations”</w:t>
      </w:r>
    </w:p>
    <w:p>
      <w:pPr>
        <w:spacing w:after="0" w:line="130" w:lineRule="exact"/>
        <w:rPr>
          <w:rFonts w:ascii="Arial" w:cs="Arial" w:eastAsia="Arial" w:hAnsi="Arial"/>
          <w:sz w:val="18"/>
          <w:szCs w:val="18"/>
          <w:b w:val="1"/>
          <w:bCs w:val="1"/>
          <w:color w:val="auto"/>
        </w:rPr>
      </w:pPr>
    </w:p>
    <w:p>
      <w:pPr>
        <w:ind w:left="220" w:right="360" w:hanging="212"/>
        <w:spacing w:after="0" w:line="277" w:lineRule="auto"/>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FSP FAS 133-1 and FIN 45-4, “Disclosures about Credit Derivatives and Certain Guarantees: An Amendment of FASB Statement No. 133 and FASB Interpretation No. 45; and Clarification of the Effective Date of FASB Statement No. 161”</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FSP EITF 03-6-1, “Determining Whether Instruments Granted in Share-Based Payment Transactions Are Participating Securities”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EITF Issue No. 08-3, “Accounting by Lessees for Nonrefundable Maintenance Deposits”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FSP FAS 142-3, “Determination of the Useful Life of Intangible Assets”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SFAS No. 161, “Disclosures About Derivative Instruments and Hedging Activities-an amendment of FASB Statement No. 133”</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SFAS 160, “Noncontrolling Interests in Consolidated Financial Statements—an amendment of ARB No. 51”</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EITF Issue No. 07-1, “Accounting for Collaborative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2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account for our stock-based compensation plans under SFAS No. 123R, “Share-Based Payment” (“SFAS 123R”). Stock-based compensation expense for each employee and director is presented in the same income statement caption as their cash compensation. We recorded $1.0 million and $1.2 million of pre-tax stock-based compensation expense during the three months ended March 31, 2009 and 2008, respectively.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income statement caption for the three months ended March 31, 2009 and 2008 was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Selling, general and administrative expense (“SG&amp;A”) includes stock-based compensation related to restricted stock awards granted to outside directors of $0.1 million and $0.2 million for the three months ended March 31, 2009 and 2008, respectively, and pre-tax stock-based compensation related to stock option awards granted to outside directors of $0.1 million and $0.2 million for the three months ended March 31, 2009 and 2008, respectively.</w:t>
      </w:r>
    </w:p>
    <w:p>
      <w:pPr>
        <w:spacing w:after="0" w:line="3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income tax benefit under SFAS 123R from the recognition of stock-based compensation for the three months ended March 31, 2009 and 2008 was $0.3 million and $0.4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accordance with SFAS 123R, compensation expense related to stock option awards is determined based on the fair value of the shares awarded on the grant date. We recognize the compensation expense related to stock option awards net of estimated forfeitures over the service period of the award, which is the option vesting term ranging from three to four years. We estimated the annual forfeiture rate based upon our historical forfeitures. The compensation expense recognized for stock option awards at any date is equal to the portion of the grant-date fair value that is vested on that date.</w:t>
      </w:r>
    </w:p>
    <w:p>
      <w:pPr>
        <w:spacing w:after="0" w:line="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estimate the fair value of stock option awards using the Black-Scholes option pricing model utilizing the following assumptions and weighted average fair values:</w:t>
      </w:r>
    </w:p>
    <w:p>
      <w:pPr>
        <w:spacing w:after="0" w:line="162"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7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r>
              <w:rPr>
                <w:rFonts w:ascii="Arial" w:cs="Arial" w:eastAsia="Arial" w:hAnsi="Arial"/>
                <w:sz w:val="12"/>
                <w:szCs w:val="12"/>
                <w:b w:val="1"/>
                <w:bCs w:val="1"/>
                <w:color w:val="auto"/>
              </w:rPr>
              <w:t>(1)</w:t>
            </w:r>
          </w:p>
        </w:tc>
        <w:tc>
          <w:tcPr>
            <w:tcW w:w="54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2008</w:t>
            </w:r>
            <w:r>
              <w:rPr>
                <w:rFonts w:ascii="Arial" w:cs="Arial" w:eastAsia="Arial" w:hAnsi="Arial"/>
                <w:sz w:val="12"/>
                <w:szCs w:val="12"/>
                <w:b w:val="1"/>
                <w:bCs w:val="1"/>
                <w:color w:val="auto"/>
              </w:rPr>
              <w:t>(1)</w:t>
            </w: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$ 7.01</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$ 8.71</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1.94%</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2.67%</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49.59%</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40.70%</w:t>
            </w: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080" w:type="dxa"/>
            <w:vAlign w:val="bottom"/>
          </w:tcPr>
          <w:p>
            <w:pPr>
              <w:jc w:val="right"/>
              <w:ind w:right="254"/>
              <w:spacing w:after="0"/>
              <w:rPr>
                <w:sz w:val="20"/>
                <w:szCs w:val="20"/>
                <w:color w:val="auto"/>
              </w:rPr>
            </w:pPr>
            <w:r>
              <w:rPr>
                <w:rFonts w:ascii="Arial" w:cs="Arial" w:eastAsia="Arial" w:hAnsi="Arial"/>
                <w:sz w:val="18"/>
                <w:szCs w:val="18"/>
                <w:color w:val="auto"/>
              </w:rPr>
              <w:t>4.85</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fair value calculation was based on stock options granted during each respective period.</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first quarter of 2009, the Board of Directors granted our executives 185,900 stock options under various stock incentive plans. The grants, dated March 10, 2009, are subject to a four-year vesting period (one-sixteenth each quarter). The stock-based compensation expense included in SG&amp;A related to this award was $20 thousand for the three months ended March 31, 2009. In addition, during the first quarter of 2009, we granted a minimal amount of options to new hires.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three months ended March 31, 2009 was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80" w:type="dxa"/>
            <w:vAlign w:val="bottom"/>
          </w:tcPr>
          <w:p>
            <w:pPr>
              <w:spacing w:after="0"/>
              <w:rPr>
                <w:sz w:val="12"/>
                <w:szCs w:val="12"/>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480" w:type="dxa"/>
            <w:vAlign w:val="bottom"/>
          </w:tcPr>
          <w:p>
            <w:pPr>
              <w:spacing w:after="0"/>
              <w:rPr>
                <w:sz w:val="12"/>
                <w:szCs w:val="12"/>
                <w:color w:val="auto"/>
              </w:rPr>
            </w:pPr>
          </w:p>
        </w:tc>
        <w:tc>
          <w:tcPr>
            <w:tcW w:w="1140" w:type="dxa"/>
            <w:vAlign w:val="bottom"/>
            <w:gridSpan w:val="2"/>
          </w:tcPr>
          <w:p>
            <w:pPr>
              <w:jc w:val="right"/>
              <w:ind w:right="3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48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1,729</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$17.64</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218</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15.84</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8.20</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Forfeited/cancelled/ expired</w:t>
            </w:r>
          </w:p>
        </w:tc>
        <w:tc>
          <w:tcPr>
            <w:tcW w:w="3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26.54</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2009</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1,918</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$17.56</w:t>
            </w:r>
          </w:p>
        </w:tc>
        <w:tc>
          <w:tcPr>
            <w:tcW w:w="14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1"/>
              </w:rPr>
              <w:t>5.46</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4"/>
              </w:rPr>
              <w:t>4,868</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tcPr>
          <w:p>
            <w:pPr>
              <w:spacing w:after="0"/>
              <w:rPr>
                <w:sz w:val="20"/>
                <w:szCs w:val="20"/>
                <w:color w:val="auto"/>
              </w:rPr>
            </w:pPr>
            <w:r>
              <w:rPr>
                <w:rFonts w:ascii="Arial" w:cs="Arial" w:eastAsia="Arial" w:hAnsi="Arial"/>
                <w:sz w:val="18"/>
                <w:szCs w:val="18"/>
                <w:color w:val="auto"/>
              </w:rPr>
              <w:t>Vested and expected to vest at March 31, 2009</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1,883</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$17.44</w:t>
            </w:r>
          </w:p>
        </w:tc>
        <w:tc>
          <w:tcPr>
            <w:tcW w:w="1460" w:type="dxa"/>
            <w:vAlign w:val="bottom"/>
            <w:gridSpan w:val="2"/>
          </w:tcPr>
          <w:p>
            <w:pPr>
              <w:jc w:val="center"/>
              <w:ind w:left="410"/>
              <w:spacing w:after="0"/>
              <w:rPr>
                <w:sz w:val="20"/>
                <w:szCs w:val="20"/>
                <w:color w:val="auto"/>
              </w:rPr>
            </w:pPr>
            <w:r>
              <w:rPr>
                <w:rFonts w:ascii="Arial" w:cs="Arial" w:eastAsia="Arial" w:hAnsi="Arial"/>
                <w:sz w:val="18"/>
                <w:szCs w:val="18"/>
                <w:color w:val="auto"/>
                <w:w w:val="91"/>
              </w:rPr>
              <w:t>5.39</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w w:val="84"/>
              </w:rPr>
              <w:t>4,827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2009</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1,361</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$15.82</w:t>
            </w:r>
          </w:p>
        </w:tc>
        <w:tc>
          <w:tcPr>
            <w:tcW w:w="14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1"/>
              </w:rPr>
              <w:t>4.06</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4"/>
              </w:rPr>
              <w:t>4,348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aggregate intrinsic value in the table above represents the total pre-tax intrinsic value that option holders would have received had all option holders exercised their options on March 31, 2009. The aggregate intrinsic value is the difference between the closing price of Universal Electronics Inc.’s common stock on the last trading day of the first quarter of 2009 and the option exercise price, multiplied by the number of the in-the-money options. The total intrinsic value of options exercised for the three months ended March 31, 2009 and 2008, was $0.2 million and $0.1 million, respectively.</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March 31, 2009, there was $3.9 million of unrecognized pre-tax stock-based compensation expense related to non-vested stock options which we expect to recognize over a weighted-average life of 2.8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Grants</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accordance with SFAS 123R, compensation expense related to restricted stock awards is determined based on the fair value of the shares awarded on the grant date. We determined the fair value of the restricted stock utilizing the average of the high and low trade prices of our Company’s shares on the grant date. We recognize the employee compensation expense over the service period of the award, which is the vesting term ranging from two to four years. The compensation expense recognized for restricted stock awards at any date is equal to the portion of the grant-date fair value that is vested on that date.</w:t>
      </w:r>
    </w:p>
    <w:p>
      <w:pPr>
        <w:spacing w:after="0" w:line="4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the first quarter of 2009, the Compensation Committee and Board of Directors granted 290,062 shares of restricted stock to employees under the 2006 Stock Incentive Plan. The first grant of 77,146 shares, dated February 12, 2009, is subject to a three-year vesting period (5% each quarter during the first two years and 15% each quarter during the third year). The second grant of 24,723 shares, dated March 4, 2009, is subject to a two-year vesting period (12.5% each quarter). The third grant of 147,693 shares, dated March 10, 2009, is subject to a three-year vesting period (8.75% each quarter during the first two years and 7.5% each quarter during the third year). The fourth grant of 40,500 shares, dated March 10, 2009, is subject to a four-year vesting period (6.25% each quarter). The pre-tax stock-based compensation expense related to these awards was $0.1 million for the three months ended March 31, 2009.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awards activity during the three months ended and as of March 31, 2009, was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5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2008</w:t>
            </w:r>
          </w:p>
        </w:tc>
        <w:tc>
          <w:tcPr>
            <w:tcW w:w="57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90</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5720" w:type="dxa"/>
            <w:vAlign w:val="bottom"/>
            <w:gridSpan w:val="4"/>
          </w:tcPr>
          <w:p>
            <w:pPr>
              <w:jc w:val="right"/>
              <w:ind w:right="360"/>
              <w:spacing w:after="0"/>
              <w:rPr>
                <w:sz w:val="20"/>
                <w:szCs w:val="20"/>
                <w:color w:val="auto"/>
              </w:rPr>
            </w:pPr>
            <w:r>
              <w:rPr>
                <w:rFonts w:ascii="Arial" w:cs="Arial" w:eastAsia="Arial" w:hAnsi="Arial"/>
                <w:sz w:val="18"/>
                <w:szCs w:val="18"/>
                <w:color w:val="auto"/>
              </w:rPr>
              <w:t>290</w:t>
            </w:r>
          </w:p>
        </w:tc>
        <w:tc>
          <w:tcPr>
            <w:tcW w:w="1620" w:type="dxa"/>
            <w:vAlign w:val="bottom"/>
            <w:gridSpan w:val="2"/>
          </w:tcPr>
          <w:p>
            <w:pPr>
              <w:jc w:val="right"/>
              <w:ind w:right="264"/>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7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Forfeited</w:t>
            </w:r>
          </w:p>
        </w:tc>
        <w:tc>
          <w:tcPr>
            <w:tcW w:w="4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26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2009</w:t>
            </w:r>
          </w:p>
        </w:tc>
        <w:tc>
          <w:tcPr>
            <w:tcW w:w="57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360</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720" w:type="dxa"/>
            <w:vAlign w:val="bottom"/>
            <w:vMerge w:val="restart"/>
          </w:tcPr>
          <w:p>
            <w:pPr>
              <w:jc w:val="right"/>
              <w:ind w:right="295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31, 2009, we expect to recognize $6.0 million in unrecognized pre-tax compensation expense related to non-vested restricted stock awards over a weighted-average life of 2.6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Cash Equivalents, and Term Deposits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located in many different geographic regions. As part of our cash and risk management processes, we perform periodic evaluations of the relative credit standing of the financial institutions. We attempt to mitigate our exposure to interest rate, liquidity, credit and other relevant risks by placing our cash and cash equivalents with financial institutions we believe are high quality. We have not sustained credit losses from instruments held at financial institutions.</w:t>
      </w:r>
    </w:p>
    <w:p>
      <w:pPr>
        <w:spacing w:after="0" w:line="8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At March 31, 2009, we had approximately $5.9 million, $8.7 million, and $2.8 million of cash and cash equivalents in the United States, Europe, and Asia, respectively. In addition, we had a term deposit of $48.9 million in Asia at March 31, 2009. At December 31, 2008, we had approximately $8.4 million, $6.1 million, and $60.7 million of cash and cash equivalents in the United States, Europe, and Asia, respectively.</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March 31, 2009 we had a six month term deposit cash account in Hong Kong with ABN Amro Bank. The term began on January 13, 2009 and ends on July 13, 2009. The term deposit earns interest at a rate of 1.05%. The interest is receivable on July 13, 2009. The deposit amount and accrued interest related to this account as of March 31, 2009 was $48.8 million and $0.1 million, respectively. If we withdraw the funds prior to the end of the term a penalty will be assessed only if the interest rate on the date of withdrawal is higher than the rate on January 13, 2009. The penalty amount is equal to the interest the bank will have to pay another depositor with the same principal balance over the remaining term using the rate in effect on the withdrawal date, less the interest the bank would have had to pay us.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at March 31, 2009 and December 31,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 gross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58,096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65,014</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(2,417)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(2,439)</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(1,316)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(2,823)</w:t>
            </w: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Net trade receivable</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54,363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59,752</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54,674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59,825</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Other receivables as of March 31, 2009 consisted of $237 thousand in sales tax and VAT tax receivable. As of March 31, 2009 and December 31, 2008, $73 thousand of other receivables related to a discount receivable from a vendor for tooling.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three months ended March 31, 2009 and 2008, we had net sales to two significant customers that each amounted to more than 10% of our total net sales.</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Net sales to the first significant customer, when combined with its sub-contractors, totaled $16.6 million and $9.3 million, accounting for 23.3% and 15.1% of our total net sales, for the three months ended March 31, 2009 and 2008, respectively. Trade receivables with this customer and its sub-contractors amounted to $12.5 million and $11.7 million, or 22.9% and 19.5% of our net trade receivable at March 31, 2009 and December 31, 2008, respectively.</w:t>
      </w:r>
    </w:p>
    <w:p>
      <w:pPr>
        <w:spacing w:after="0" w:line="3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sales to our second significant customer and its sub-contractors totaled $8.3 million and $6.4 million, accounting for 11.7% and 10.5% of our total net sales, for the three months ended March 31, 2009 and 2008,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Trade receivables with this customer amounted to $3.8 million and $9.1 million, or 7.0% and 15.3% of our net trade receivable at March 31, 2009 and December 31, 2008, respectively.</w:t>
      </w:r>
    </w:p>
    <w:p>
      <w:pPr>
        <w:spacing w:after="0" w:line="6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loss of these customers, either in the United States or abroad, due to their financial weakness or bankruptcy, or our inability to obtain orders or maintain order volume with them, may have a material adverse effect on our financial condition, results of operations and cash flows.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Inventories consist of remote controls, audio-video accessories and the related component parts. Inventoriable costs include materials, labor, freight-in and manufacturing overhead related to the purchase and production of inventories. We value our inventories at the lower of cost or market. Cost is determined using the first-in, first-out method. We attempt to carry inventories in amounts necessary to satisfy our customer requirements on a timely basis.</w:t>
      </w:r>
    </w:p>
    <w:p>
      <w:pPr>
        <w:spacing w:after="0" w:line="39"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Product innovations and technological advances may shorten a given product’s life cycle. We continually monitor our inventories to identify any excess or obsolete items on hand. We write down our inventories for estimated excess and obsolescence in an amount equal to the difference between the cost of the inventories and its estimated market value. These estimates are based upon management’s judgment about future demand and market conditions. If actual market conditions are less favorable than those projected by management, additional write-downs may be required.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35,427</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37,331</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scrap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(1,574)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(1,535)</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41,929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43,675</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three months ended March 31, 2009 and 2008, inventory write-downs totaled $0.9 million and $0.3 million, respectively. Inventory write-downs are a normal part of our business and result primarily from product life cycle estimation variances.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Most of the components used in our products are available from multiple sources. We have elected to purchase integrated circuits (“IC”), used principally in our wireless control products, from two main sources. Purchases from one of these suppliers amounted to more than 10% of total inventory purchases. Purchases from this supplier amounted to $6.3 million and $6.7 million, representing 14.7% and 17.2% of total inventory purchases for the three months ended March 31, 2009 and 2008, respectively. Accounts payable with this supplier amounted to $3.7 million and $3.6 million, representing 10.0% and 8.1% of total accounts payable at March 31, 2009 and December 31, 2008, respectively.</w:t>
      </w:r>
    </w:p>
    <w:p>
      <w:pPr>
        <w:spacing w:after="0" w:line="64"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During the three months ended March 31, 2009, purchases from three of our component and finished good suppliers amounted to more than 10% of total inventory purchases. Purchases from these three suppliers amounted to $10.7 million, $9.2 million and $7.6 million, representing 24.9%, 21.5% and 17.7%, respectively, of total inventory purchases for the three months ended March 31, 2009. During the three months ended March 31, 2008, purchases from these three suppliers amounted to $11.9 million, $6.6 million and $3.5 million, representing 30.7%, 17.0% and 9.1%, respectively, of total inventory purchases. Accounts payable with these component and finished suppliers amounted to $7.6 million, $9.7 million and $7.3 million, representing 20.5%, 26.0% and 19.7%, respectively, of total accounts payable at March 31, 2009. At December 31, 2008, accounts payable with the same suppliers amounted to</w:t>
      </w:r>
    </w:p>
    <w:p>
      <w:pPr>
        <w:spacing w:after="0" w:line="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$11.0 million, $15.6 million and $5.4 million, representing 24.7%, 35.0% and 12.0%, respectively, of total accounts payable. No other suppliers accounted for more than 10% of total inventory purchases during the quarters ended March 31, 2009 or 2008.</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identified alternative sources of supply for these ICs, components, and finished goods; however, there can be no assurance that we will be able to continue to obtain these inventory purchases on a timely basis. We generally maintain inventories of our integrated chips,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use our estimated annual effective tax rate to determine our provision for income taxes for interim periods. We recorded income tax expense of</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$0.5 million for the three months ended March 31, 2009 compared to $1.3 million for the same period last year. Our estimated effective tax rate was 39.1% and 34.3% during the three months ended March 31, 2009 and 2008, respectively. The increase in our effective tax rate for the first quarter is due to fixed interest expense on tax contingencies representing a higher percentage of pre-tax income coupled with a higher percentage of income earned in higher tax rate jurisdictions.</w:t>
      </w:r>
    </w:p>
    <w:p>
      <w:pPr>
        <w:spacing w:after="0" w:line="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Effective January 1, 2007, we adopted the provisions of FASB Interpretation 48, “Accounting for Uncertainty in Income Taxes- an interpretation of FASB Statement No. 109” (“FIN 48”). At March 31, 2009, we had gross unrecognized tax benefits of approximately $9.1 million, including interest and penalties, of which approximately $8.3 million of this amount would affect the annual effective tax rate, if these tax benefits are realized. Further, we are unaware of any positions for which it is reasonably possible that the total amounts of unrecognized tax benefits will significantly increase within the next twelve months. However, based on federal, state and foreign statute expirations in various jurisdictions, we anticipate a decrease in unrecognized tax benefits of approximately $0.1 million within the next twelve months.</w:t>
      </w:r>
    </w:p>
    <w:p>
      <w:pPr>
        <w:spacing w:after="0" w:line="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accordance with FIN 48, we have elected to classify interest and penalties as components of tax expense. Accrued interest and penalties were $1.3 million at March 31, 2009 and $1.2 million at December, 31, 2008 and are included in the unrecognized tax benefits.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file income tax returns in the U.S. federal jurisdiction, and in various state and foreign jurisdictions. As of March 31, 2009, the open statutes of limitations in our significant tax jurisdictions are as follows: federal and state for 2004 through 2008, and non-U.S. for 2001 through 2008. Unrecognized tax benefits at March 31, 2009 of $6.0 million, including related interest of $1.0 million, are classified as short term as we expect to settle certain foreign audits during 2009. The remainder of the gross unrecognized tax benefits of $3.1 million are classified as long term as prescribed by FIN 48 because we do not anticipate payment of cash related to those unrecognized tax benefits within one year of the operating cycle.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three months ended March 31, 2009 and 2008, we have excluded 1,219,237 and 356,700 stock options, respectively, with exercise prices greater than the average market price of the underlying common stock, because their inclusion would have been anti-dilutive. In addition, for the three months ended March 31, 2009 and 2008, we have excluded 183,104 and 90,503 of unvested shares of restricted stock, respectively, whose combined unamortized fair value and excess tax benefits were greater in each of those periods than the average market price for our common stock, as their effect would be anti-dilutive.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months ended March 31, 2009 and 2008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9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ind w:left="4260"/>
              <w:spacing w:after="0"/>
              <w:rPr>
                <w:sz w:val="20"/>
                <w:szCs w:val="20"/>
                <w:color w:val="auto"/>
              </w:rPr>
            </w:pPr>
            <w:r>
              <w:rPr>
                <w:rFonts w:ascii="Arial" w:cs="Arial" w:eastAsia="Arial" w:hAnsi="Arial"/>
                <w:sz w:val="18"/>
                <w:szCs w:val="18"/>
                <w:b w:val="1"/>
                <w:bCs w:val="1"/>
                <w:color w:val="auto"/>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588"/>
              <w:spacing w:after="0"/>
              <w:rPr>
                <w:sz w:val="20"/>
                <w:szCs w:val="20"/>
                <w:color w:val="auto"/>
              </w:rPr>
            </w:pPr>
            <w:r>
              <w:rPr>
                <w:rFonts w:ascii="Arial" w:cs="Arial" w:eastAsia="Arial" w:hAnsi="Arial"/>
                <w:sz w:val="18"/>
                <w:szCs w:val="18"/>
                <w:color w:val="auto"/>
              </w:rPr>
              <w:t>796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w w:val="94"/>
              </w:rPr>
              <w:t>13,658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14,474</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588"/>
              <w:spacing w:after="0"/>
              <w:rPr>
                <w:sz w:val="20"/>
                <w:szCs w:val="20"/>
                <w:color w:val="auto"/>
              </w:rPr>
            </w:pPr>
            <w:r>
              <w:rPr>
                <w:rFonts w:ascii="Arial" w:cs="Arial" w:eastAsia="Arial" w:hAnsi="Arial"/>
                <w:sz w:val="18"/>
                <w:szCs w:val="18"/>
                <w:color w:val="auto"/>
              </w:rPr>
              <w:t>796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w w:val="94"/>
              </w:rPr>
              <w:t>13,658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588"/>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w w:val="94"/>
              </w:rPr>
              <w:t>13,831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14,957</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Comprehensive (Loss) Income</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The components of comprehensive (loss) income are listed below:</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9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796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Foreign currency translations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(1,868)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7,846</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Comprehensive (loss) income</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660" w:type="dxa"/>
            <w:vAlign w:val="bottom"/>
            <w:gridSpan w:val="2"/>
          </w:tcPr>
          <w:p>
            <w:pPr>
              <w:jc w:val="right"/>
              <w:ind w:right="528"/>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0" w:hanging="452"/>
        <w:spacing w:after="0" w:line="259"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foreign currency translation loss of $1.9 million for the three months ended March 31, 2009 was due to the strengthening of the U.S. dollar against the Euro. The foreign currency translation gain of $7.8 million for the three months ended March 31, 2008, was due to the weakening of the U.S. dollar against the Euro. The U.S. dollar/Euro spot rate was 1.33 and 1.39 at March 31, 2009 and December 31, 2008, respectively, and 1.58 and 1.46 at March 31, 2008 and December 31, 2007,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Revolving Credit Line</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have a $15 million unsecured revolving credit agreement (“Credit Facility”) with Comerica Bank, which expires on August 31, 2009. Under the Credit Facility, the interest payable is variable and is based on the bank’s cost of funds or 12-month LIBOR plus a fixed margin of 1.25%. The interest rate in effect as of March 31, 2009 using 12-month LIBOR plus a fixed margin of 1.25% was 3.22%. We pay a commitment fee ranging from zero to a maximum rate of 0.25% per year on the unused portion of the credit line depending on the amount of cash investment retained with Comerica during each quarter. At</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March 31, 2009, the commitment fee rate was 0.25%. Under the terms of the Credit Facility, dividend payments are allowed for up to 100% of the prior fiscal year’s net income, to be paid within 90 days of the current fiscal year end. We are subject to certain financial covenants related to our net worth, quick ratio and net income. Amounts available for borrowing under the Credit Facility are reduced by the outstanding balance of import letters of credit. As of March 31, 2009, we did not have any outstanding import letters of credit and the available balance on the line of credit was $15 million. Furthermore, as of March 31, 2009, we were in compliance with all financial covenants required by the Credit Facility.</w:t>
      </w:r>
    </w:p>
    <w:p>
      <w:pPr>
        <w:spacing w:after="0" w:line="8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Under our Credit Facility, we were authorized to acquire up to 2,000,000 shares of our common stock in the open market. Effective February 26, 2009, Comerica amended our Credit Facility by authorizing an additional 1,000,000 shares to be repurchased, capped at a maximum cost of $13.0 million. Given our closing stock price at March 31, 2009, we were authorized to repurchase 2,718,232 million shares. As of March 31, 2009, we have purchased 1,791,529 shares of our common stock, leaving 926,703 shares available for purchase under the Credit Facility.</w:t>
      </w:r>
    </w:p>
    <w:p>
      <w:pPr>
        <w:spacing w:after="0" w:line="63"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Presently, we have no borrowings under this Credit Facility, however we cannot make any assurances that we will not need to borrow amounts under this facility or that this facility will be extended to us beyond its expiration date of August 31, 2009 under comparable terms or at all. If this or any other credit facility is not available to us at a time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when we need to borrow, we would have to use our cash reserves, which could have a material adverse effect on our earnings, cash flow and financial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at March 31, 2009 and December 31, 2008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727</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Accrued third-party commissions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Accrued sales and VAT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 other accrued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Treasury Stock</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During the three months ended March 31, 2009 and 2008, we repurchased 105,311 and 500,000 shares of our common stock at a cost of $1.6 million and $11.5 million, respectively. Repurchased shares are recorded as shares held in treasury at cost. We generally hold these shares for future use as our management and Board of Directors deem appropriate, which may include compensating outside directors and executives of the Company. During the three months ended March 31, 2009 and 2008, we issued 6,250 and 5,000 shares, respectively, to outside directors for services performed (see Note 2).</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Goodwill and Intangible Assets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Under the requirements of SFAS 142, “Goodwill and Intangible Assets”, the unit of accounting for goodwill is at a level of reporting referred to as a “reporting unit.” SFAS 142 defines a reporting unit as either (1) an operating segment — as defined in SFAS 131, “Disclosures about Segments of an Enterprise and Related Information” or (2) one level below an operating segment — referred to as a component. Our domestic and international components are “reporting units” within our single operating segment “Core Business.” Goodwill is evaluated for impairment as of December 31st of each year and between annual evaluations, if events occur or circumstances change indicating that it is more likely than not the fair value of a reporting unit has been reduced below its carrying amount.</w:t>
      </w:r>
    </w:p>
    <w:p>
      <w:pPr>
        <w:spacing w:after="0" w:line="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Goodwill related to the domestic component was the result of our acquisition of a remote control company in 1998, a software company (SimpleDevices, Inc.) in 2004 and certain assets and intellectual property from Zilog, Inc. in the first quarter of 2009. Goodwill related to our international component resulted from the acquisition of remote control distributors in the UK in 1998, Spain in 1999 and France in 2000.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goodwill amounts related to our domestic and international components at March 31, 2009 and December 31, 2008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11,216</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8,314</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13,555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first quarter of 2009, we acquired certain assets and intellectual property from Zilog, Inc. which resulted in $2.9 million of goodwill. Refer to Note 16 for further discussion related to the purchase.</w:t>
      </w:r>
    </w:p>
    <w:p>
      <w:pPr>
        <w:spacing w:after="0" w:line="21" w:lineRule="exact"/>
        <w:rPr>
          <w:rFonts w:ascii="Arial" w:cs="Arial" w:eastAsia="Arial" w:hAnsi="Arial"/>
          <w:sz w:val="18"/>
          <w:szCs w:val="18"/>
          <w:color w:val="auto"/>
        </w:rPr>
      </w:pPr>
    </w:p>
    <w:p>
      <w:pPr>
        <w:ind w:left="460" w:right="5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difference in international goodwill reported at March 31, 2009, as compared to the goodwill reported at December 31, 2008, is the result of fluctuations in the foreign currency exchange rates used to translate the balance into U.S. dollars.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other intangible assets consist primarily of distribution rights, patents, trademarks, purchased technologies and capitalized software development costs. Capitalized amounts related to our patents represent external legal costs incurred for their applications and maintenance. Intangible assets are amortized utilizing the straight-line method over our estimated period of benefit, ranging from one to fifteen years.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other intangible assets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1"/>
              </w:rPr>
              <w:t>2009</w:t>
            </w:r>
            <w:r>
              <w:rPr>
                <w:rFonts w:ascii="Arial" w:cs="Arial" w:eastAsia="Arial" w:hAnsi="Arial"/>
                <w:sz w:val="12"/>
                <w:szCs w:val="12"/>
                <w:b w:val="1"/>
                <w:bCs w:val="1"/>
                <w:color w:val="auto"/>
                <w:w w:val="91"/>
              </w:rPr>
              <w:t>(1)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2008</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7,115</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Trademark and trade names (10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840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Developed and core technology (5-15 years)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Capitalized software development costs (1-2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1,107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Customer relationships (15 years)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 carrying amount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17,811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11,014</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Capitalized software development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 accumulated amortization</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Capitalized software development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712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 net carrying amount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12,014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table excludes fully amortized intangible assets of $5.9 million as of March 31, 2009 and December 31, 2008.</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first quarter of 2009, we purchased core technology from Zilog, Inc. valued at $3.5 million, which is being amortized ratably over 15 years. Refer to Note 16 for further discussion regarding the purchase.</w:t>
      </w:r>
    </w:p>
    <w:p>
      <w:pPr>
        <w:spacing w:after="0" w:line="21"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first quarter of 2009, we purchased customer relationships from Zilog, Inc. valued at $3.1 million, which is being amortized ratably over 15 years. Refer to Note 16 for further discussion regarding the purchase.</w:t>
      </w:r>
    </w:p>
    <w:p>
      <w:pPr>
        <w:spacing w:after="0" w:line="6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Amortization expense is recorded in selling, general and administrative expenses, except for capitalized software development amortization which is recorded in cost of sales. Amortization expense for the three months ended March 31, 2009 and 2008 was approximately $0.1 million and $0.4 million, respectively.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our other intangible assets at March 31, 2009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2009 (remaining 9 months)</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2010</w:t>
            </w: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1,664</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2012</w:t>
            </w: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1,294</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Thereafter</w:t>
            </w:r>
          </w:p>
        </w:tc>
        <w:tc>
          <w:tcPr>
            <w:tcW w:w="4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12,014</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adjustments for intangibles measured at fair value on a nonrecurring basis during the quarter ended March 31, 2009 were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Fair Value Measurement Using</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500" w:type="dxa"/>
            <w:vAlign w:val="bottom"/>
          </w:tcPr>
          <w:p>
            <w:pPr>
              <w:spacing w:after="0"/>
              <w:rPr>
                <w:sz w:val="10"/>
                <w:szCs w:val="10"/>
                <w:color w:val="auto"/>
              </w:rPr>
            </w:pPr>
          </w:p>
        </w:tc>
        <w:tc>
          <w:tcPr>
            <w:tcW w:w="15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Significant Other</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Quarter Ended</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5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Assets</w:t>
            </w:r>
          </w:p>
        </w:tc>
        <w:tc>
          <w:tcPr>
            <w:tcW w:w="2040" w:type="dxa"/>
            <w:vAlign w:val="bottom"/>
            <w:gridSpan w:val="3"/>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80" w:type="dxa"/>
            <w:vAlign w:val="bottom"/>
          </w:tcPr>
          <w:p>
            <w:pPr>
              <w:spacing w:after="0"/>
              <w:rPr>
                <w:sz w:val="12"/>
                <w:szCs w:val="12"/>
                <w:color w:val="auto"/>
              </w:rPr>
            </w:pPr>
          </w:p>
        </w:tc>
        <w:tc>
          <w:tcPr>
            <w:tcW w:w="19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3/31/09</w:t>
            </w:r>
          </w:p>
        </w:tc>
        <w:tc>
          <w:tcPr>
            <w:tcW w:w="66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5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4"/>
              </w:rPr>
              <w:t>(Level 3)</w:t>
            </w:r>
          </w:p>
        </w:tc>
        <w:tc>
          <w:tcPr>
            <w:tcW w:w="68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Gains (Losses)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Patents</w:t>
            </w:r>
          </w:p>
        </w:tc>
        <w:tc>
          <w:tcPr>
            <w:tcW w:w="5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3,803</w:t>
            </w:r>
          </w:p>
        </w:tc>
        <w:tc>
          <w:tcPr>
            <w:tcW w:w="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In accordance with SFAS 144 “Accounting for the Impairment or Disposal of Long-Lived Assets,” two patents with a carrying amount of $4 thousand were disposed of, resulting in impairment charges of $4 thousand during the first quarter of 2009, which was included in selling, general and administrative expenses. These assets no longer held any probable future economic benefits and were written-off. For further information about the valuation methodology utilized, see Note 2 under the caption </w:t>
      </w:r>
      <w:r>
        <w:rPr>
          <w:rFonts w:ascii="Arial" w:cs="Arial" w:eastAsia="Arial" w:hAnsi="Arial"/>
          <w:sz w:val="17"/>
          <w:szCs w:val="17"/>
          <w:i w:val="1"/>
          <w:iCs w:val="1"/>
          <w:color w:val="auto"/>
        </w:rPr>
        <w:t>Long-Lived Assets and Intangible Assets</w:t>
      </w:r>
      <w:r>
        <w:rPr>
          <w:rFonts w:ascii="Arial" w:cs="Arial" w:eastAsia="Arial" w:hAnsi="Arial"/>
          <w:sz w:val="17"/>
          <w:szCs w:val="17"/>
          <w:color w:val="auto"/>
        </w:rPr>
        <w:t xml:space="preserve"> in our Annual Report on Form 10-K.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SFAS 131, “Disclosures about Segments of an Enterprise and Related Information,” defines an operating segment, in part, as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the standard. We currently operate in one business segment “Core Business”.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sales to external customers by geographic area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46,723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32,359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620"/>
              <w:spacing w:after="0"/>
              <w:rPr>
                <w:sz w:val="20"/>
                <w:szCs w:val="20"/>
                <w:color w:val="auto"/>
              </w:rPr>
            </w:pPr>
            <w:r>
              <w:rPr>
                <w:rFonts w:ascii="Arial" w:cs="Arial" w:eastAsia="Arial" w:hAnsi="Arial"/>
                <w:sz w:val="18"/>
                <w:szCs w:val="18"/>
                <w:color w:val="auto"/>
              </w:rPr>
              <w:t>Asia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10,032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8,358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United Kingdom</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16"/>
        </w:trPr>
        <w:tc>
          <w:tcPr>
            <w:tcW w:w="9280" w:type="dxa"/>
            <w:vAlign w:val="bottom"/>
          </w:tcPr>
          <w:p>
            <w:pPr>
              <w:ind w:left="6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1,718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South Africa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9280" w:type="dxa"/>
            <w:vAlign w:val="bottom"/>
          </w:tcPr>
          <w:p>
            <w:pPr>
              <w:ind w:left="62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France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6"/>
        </w:trPr>
        <w:tc>
          <w:tcPr>
            <w:tcW w:w="9280" w:type="dxa"/>
            <w:vAlign w:val="bottom"/>
          </w:tcPr>
          <w:p>
            <w:pPr>
              <w:ind w:left="62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994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Switzerland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23"/>
        </w:trPr>
        <w:tc>
          <w:tcPr>
            <w:tcW w:w="9280" w:type="dxa"/>
            <w:vAlign w:val="bottom"/>
          </w:tcPr>
          <w:p>
            <w:pPr>
              <w:ind w:left="620"/>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International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24,403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28,832</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71,126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61,191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customer’s location was the basis used for attributing revenues from external customers to individual countries.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by our domestic and international components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5,846</w:t>
            </w:r>
          </w:p>
        </w:tc>
        <w:tc>
          <w:tcPr>
            <w:tcW w:w="66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6,525</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9,295</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Derivatives</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September 2006, the FASB issued SFAS No. 157, “Fair Value Measurements” (“SFAS 157”), which defines fair value, establishes a framework for measuring fair value in accordance with generally accepted accounting principles in the United States of America, and expands disclosures about fair value measurements for assets and liabilities. SFAS 157 applies when other accounting pronouncements require or permit assets or liabilities to be measured at fair value. Accordingly, SFAS 157 does not require new fair value measurements. Effective January 1, 2008, we implemented the requirements of SFAS 157.</w:t>
      </w:r>
    </w:p>
    <w:p>
      <w:pPr>
        <w:spacing w:after="0" w:line="46"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SFAS 157 defines fair value as the price that would be received to sell an asset or paid to transfer a liability in an orderly transaction between market participants at the measurement date (exit price). SFAS 157 classifies the inputs used to measure fair value into the following hierarchy: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Level 1</w:t>
            </w:r>
          </w:p>
        </w:tc>
        <w:tc>
          <w:tcPr>
            <w:tcW w:w="10560" w:type="dxa"/>
            <w:vAlign w:val="bottom"/>
          </w:tcPr>
          <w:p>
            <w:pPr>
              <w:ind w:left="300"/>
              <w:spacing w:after="0"/>
              <w:rPr>
                <w:sz w:val="20"/>
                <w:szCs w:val="20"/>
                <w:color w:val="auto"/>
              </w:rPr>
            </w:pPr>
            <w:r>
              <w:rPr>
                <w:rFonts w:ascii="Arial" w:cs="Arial" w:eastAsia="Arial" w:hAnsi="Arial"/>
                <w:sz w:val="18"/>
                <w:szCs w:val="18"/>
                <w:color w:val="auto"/>
              </w:rPr>
              <w:t>Unadjusted quoted prices in active markets for identical assets or liabilities</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Level 2</w:t>
            </w:r>
          </w:p>
        </w:tc>
        <w:tc>
          <w:tcPr>
            <w:tcW w:w="10560" w:type="dxa"/>
            <w:vAlign w:val="bottom"/>
          </w:tcPr>
          <w:p>
            <w:pPr>
              <w:ind w:left="300"/>
              <w:spacing w:after="0"/>
              <w:rPr>
                <w:sz w:val="20"/>
                <w:szCs w:val="20"/>
                <w:color w:val="auto"/>
              </w:rPr>
            </w:pPr>
            <w:r>
              <w:rPr>
                <w:rFonts w:ascii="Arial" w:cs="Arial" w:eastAsia="Arial" w:hAnsi="Arial"/>
                <w:sz w:val="18"/>
                <w:szCs w:val="18"/>
                <w:color w:val="auto"/>
              </w:rPr>
              <w:t>Unadjusted quoted prices in active markets for similar assets or liabilities, or</w:t>
            </w:r>
          </w:p>
        </w:tc>
      </w:tr>
      <w:tr>
        <w:trPr>
          <w:trHeight w:val="432"/>
        </w:trPr>
        <w:tc>
          <w:tcPr>
            <w:tcW w:w="860" w:type="dxa"/>
            <w:vAlign w:val="bottom"/>
          </w:tcPr>
          <w:p>
            <w:pPr>
              <w:spacing w:after="0"/>
              <w:rPr>
                <w:sz w:val="24"/>
                <w:szCs w:val="24"/>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Unadjusted quoted prices for identical or similar assets or liabilities in markets that are not active, or</w:t>
            </w:r>
          </w:p>
        </w:tc>
      </w:tr>
      <w:tr>
        <w:trPr>
          <w:trHeight w:val="432"/>
        </w:trPr>
        <w:tc>
          <w:tcPr>
            <w:tcW w:w="860" w:type="dxa"/>
            <w:vAlign w:val="bottom"/>
          </w:tcPr>
          <w:p>
            <w:pPr>
              <w:spacing w:after="0"/>
              <w:rPr>
                <w:sz w:val="24"/>
                <w:szCs w:val="24"/>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Inputs other than quoted prices that are observable for the asset or liability</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Level 3</w:t>
            </w:r>
          </w:p>
        </w:tc>
        <w:tc>
          <w:tcPr>
            <w:tcW w:w="10560" w:type="dxa"/>
            <w:vAlign w:val="bottom"/>
          </w:tcPr>
          <w:p>
            <w:pPr>
              <w:ind w:left="300"/>
              <w:spacing w:after="0"/>
              <w:rPr>
                <w:sz w:val="20"/>
                <w:szCs w:val="20"/>
                <w:color w:val="auto"/>
              </w:rPr>
            </w:pPr>
            <w:r>
              <w:rPr>
                <w:rFonts w:ascii="Arial" w:cs="Arial" w:eastAsia="Arial" w:hAnsi="Arial"/>
                <w:sz w:val="18"/>
                <w:szCs w:val="18"/>
                <w:color w:val="auto"/>
              </w:rPr>
              <w:t>Unobservable inputs for the asset or liability</w:t>
            </w:r>
          </w:p>
        </w:tc>
      </w:tr>
      <w:tr>
        <w:trPr>
          <w:trHeight w:val="405"/>
        </w:trPr>
        <w:tc>
          <w:tcPr>
            <w:tcW w:w="860" w:type="dxa"/>
            <w:vAlign w:val="bottom"/>
          </w:tcPr>
          <w:p>
            <w:pPr>
              <w:spacing w:after="0"/>
              <w:rPr>
                <w:sz w:val="24"/>
                <w:szCs w:val="24"/>
                <w:color w:val="auto"/>
              </w:rPr>
            </w:pPr>
          </w:p>
        </w:tc>
        <w:tc>
          <w:tcPr>
            <w:tcW w:w="10560" w:type="dxa"/>
            <w:vAlign w:val="bottom"/>
          </w:tcPr>
          <w:p>
            <w:pPr>
              <w:ind w:left="4760"/>
              <w:spacing w:after="0"/>
              <w:rPr>
                <w:sz w:val="20"/>
                <w:szCs w:val="20"/>
                <w:color w:val="auto"/>
              </w:rPr>
            </w:pPr>
            <w:r>
              <w:rPr>
                <w:rFonts w:ascii="Arial" w:cs="Arial" w:eastAsia="Arial" w:hAnsi="Arial"/>
                <w:sz w:val="18"/>
                <w:szCs w:val="18"/>
                <w:color w:val="auto"/>
              </w:rPr>
              <w:t>17</w:t>
            </w:r>
          </w:p>
        </w:tc>
      </w:tr>
      <w:tr>
        <w:trPr>
          <w:trHeight w:val="226"/>
        </w:trPr>
        <w:tc>
          <w:tcPr>
            <w:tcW w:w="860" w:type="dxa"/>
            <w:vAlign w:val="bottom"/>
            <w:tcBorders>
              <w:bottom w:val="single" w:sz="8" w:color="808080"/>
            </w:tcBorders>
          </w:tcPr>
          <w:p>
            <w:pPr>
              <w:spacing w:after="0"/>
              <w:rPr>
                <w:sz w:val="19"/>
                <w:szCs w:val="19"/>
                <w:color w:val="auto"/>
              </w:rPr>
            </w:pPr>
          </w:p>
        </w:tc>
        <w:tc>
          <w:tcPr>
            <w:tcW w:w="10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Measured at Fair Value on a Recurring Basis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exposed to market risks from foreign currency exchange rates, which may adversely affect our operating results and financial position. Our foreign currency exposures are primarily concentrated in the Euro, British Pound, and Hong Kong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5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gains and losses on both the derivatives and the foreign currency-denominated balances are recorded as foreign exchange transaction gains or losses and are classified in other (expense) income, net. Derivatives are recorded on the balance sheet at fair value. The estimated fair values of our derivative financial instruments represent the amount required to enter into offsetting contracts with similar remaining maturities based on quoted market prices.</w:t>
      </w:r>
    </w:p>
    <w:p>
      <w:pPr>
        <w:spacing w:after="0" w:line="3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determined that the fair value of our financial assets and liabilities are derived from Level 2 inputs in the fair value hierarchy. The following table sets forth our financial assets that were accounted for at fair value on a recurring basis as of March 31,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20" w:type="dxa"/>
            <w:vAlign w:val="bottom"/>
            <w:tcBorders>
              <w:bottom w:val="single" w:sz="8" w:color="auto"/>
            </w:tcBorders>
            <w:gridSpan w:val="6"/>
          </w:tcPr>
          <w:p>
            <w:pPr>
              <w:ind w:left="980"/>
              <w:spacing w:after="0"/>
              <w:rPr>
                <w:sz w:val="20"/>
                <w:szCs w:val="20"/>
                <w:color w:val="auto"/>
              </w:rPr>
            </w:pPr>
            <w:r>
              <w:rPr>
                <w:rFonts w:ascii="Arial" w:cs="Arial" w:eastAsia="Arial" w:hAnsi="Arial"/>
                <w:sz w:val="14"/>
                <w:szCs w:val="14"/>
                <w:b w:val="1"/>
                <w:bCs w:val="1"/>
                <w:color w:val="auto"/>
                <w:w w:val="99"/>
              </w:rPr>
              <w:t>Fair Value Measurement Using</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320" w:type="dxa"/>
            <w:vAlign w:val="bottom"/>
          </w:tcPr>
          <w:p>
            <w:pPr>
              <w:spacing w:after="0"/>
              <w:rPr>
                <w:sz w:val="10"/>
                <w:szCs w:val="10"/>
                <w:color w:val="auto"/>
              </w:rPr>
            </w:pPr>
          </w:p>
        </w:tc>
        <w:tc>
          <w:tcPr>
            <w:tcW w:w="136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8"/>
              </w:rPr>
              <w:t>Quarter</w:t>
            </w: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6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Ended</w:t>
            </w: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Inputs</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3/31/09</w:t>
            </w:r>
          </w:p>
        </w:tc>
        <w:tc>
          <w:tcPr>
            <w:tcW w:w="6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(Level 2)</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Foreign currency exchange futures contract</w:t>
            </w:r>
          </w:p>
        </w:tc>
        <w:tc>
          <w:tcPr>
            <w:tcW w:w="5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40" w:type="dxa"/>
            <w:vAlign w:val="bottom"/>
          </w:tcPr>
          <w:p>
            <w:pPr>
              <w:spacing w:after="0"/>
              <w:rPr>
                <w:sz w:val="18"/>
                <w:szCs w:val="18"/>
                <w:color w:val="auto"/>
              </w:rPr>
            </w:pP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6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loss of approximately $0.6 million and a net pre-tax gain of approximately $0.6 million for the three months ended March 31, 2009 and 2008,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11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held one US dollar/Euro futures contract with a notional value of $4.0 million and a forward rate of $1.3527 USD/Euro at March 31, 2009. We held the Euro position on this contract, which settled on April 24, 2009. The loss on this contract as of March 31, 2009 was $73 thousand and is included in accrued expenses. This contract was settled at a loss of $183 thousand resulting in an incremental loss of $110 thousand in the month of April 2009.</w:t>
      </w:r>
    </w:p>
    <w:p>
      <w:pPr>
        <w:spacing w:after="0" w:line="3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held one US dollar/Euro futures contract with a notional value of $9.0 million and a forward rate of $1.277 USD/Euro at December 31, 2008. We held the Euro position on this contract, which settled on January 7, 2009. The gain on this contract as of December 31, 2008 was $0.8 million and was included in prepaid expenses and other current assets. This contract was settled at $0.4 million, resulting in a loss of $0.4 million in January 2009.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2009, we did not enter into any put option contracts.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August 2008, we entered into a USD/GBP put option with a notional value of $5.0 million. That contract expired on December 31, 2008 and settled on January 5, 2009. The fair value of this put option was approximately $0.6 million at December 31, 2008, which was included in prepaid expenses and other current assets.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60"/>
        <w:spacing w:after="0" w:line="375" w:lineRule="auto"/>
        <w:rPr>
          <w:sz w:val="20"/>
          <w:szCs w:val="20"/>
          <w:color w:val="auto"/>
        </w:rPr>
      </w:pPr>
      <w:r>
        <w:rPr>
          <w:rFonts w:ascii="Arial" w:cs="Arial" w:eastAsia="Arial" w:hAnsi="Arial"/>
          <w:sz w:val="18"/>
          <w:szCs w:val="18"/>
          <w:color w:val="auto"/>
        </w:rPr>
        <w:t xml:space="preserve">period as dictated by market conditions. Management is not aware of any matters that require indemnification of its officers or directors. </w:t>
      </w:r>
      <w:r>
        <w:rPr>
          <w:rFonts w:ascii="Arial" w:cs="Arial" w:eastAsia="Arial" w:hAnsi="Arial"/>
          <w:sz w:val="18"/>
          <w:szCs w:val="18"/>
          <w:i w:val="1"/>
          <w:iCs w:val="1"/>
          <w:color w:val="auto"/>
        </w:rPr>
        <w:t>Product Warranties</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sales, as we sell the related products. Warranty expense is a forecast based on primarily historical claims experience. Actual claim costs may differ from the amounts provided.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Balance at</w:t>
            </w: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Accruals for</w:t>
            </w: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Settlements</w:t>
            </w:r>
          </w:p>
        </w:tc>
        <w:tc>
          <w:tcPr>
            <w:tcW w:w="300" w:type="dxa"/>
            <w:vAlign w:val="bottom"/>
          </w:tcPr>
          <w:p>
            <w:pPr>
              <w:spacing w:after="0"/>
              <w:rPr>
                <w:sz w:val="14"/>
                <w:szCs w:val="14"/>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Warranties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Cash or in</w:t>
            </w:r>
          </w:p>
        </w:tc>
        <w:tc>
          <w:tcPr>
            <w:tcW w:w="3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Issued During</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Kind) During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Period</w:t>
            </w:r>
          </w:p>
        </w:tc>
        <w:tc>
          <w:tcPr>
            <w:tcW w:w="6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the Period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660" w:type="dxa"/>
            <w:vAlign w:val="bottom"/>
          </w:tcPr>
          <w:p>
            <w:pPr>
              <w:spacing w:after="0" w:line="195" w:lineRule="exact"/>
              <w:rPr>
                <w:sz w:val="20"/>
                <w:szCs w:val="20"/>
                <w:color w:val="auto"/>
              </w:rPr>
            </w:pPr>
            <w:r>
              <w:rPr>
                <w:rFonts w:ascii="Arial" w:cs="Arial" w:eastAsia="Arial" w:hAnsi="Arial"/>
                <w:sz w:val="18"/>
                <w:szCs w:val="18"/>
                <w:color w:val="auto"/>
              </w:rPr>
              <w:t>Three Months Ended March 31, 2009</w:t>
            </w:r>
          </w:p>
        </w:tc>
        <w:tc>
          <w:tcPr>
            <w:tcW w:w="540" w:type="dxa"/>
            <w:vAlign w:val="bottom"/>
          </w:tcPr>
          <w:p>
            <w:pPr>
              <w:spacing w:after="0"/>
              <w:rPr>
                <w:sz w:val="16"/>
                <w:szCs w:val="16"/>
                <w:color w:val="auto"/>
              </w:rPr>
            </w:pPr>
          </w:p>
        </w:tc>
        <w:tc>
          <w:tcPr>
            <w:tcW w:w="1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90</w:t>
            </w:r>
          </w:p>
        </w:tc>
        <w:tc>
          <w:tcPr>
            <w:tcW w:w="640" w:type="dxa"/>
            <w:vAlign w:val="bottom"/>
          </w:tcPr>
          <w:p>
            <w:pPr>
              <w:spacing w:after="0"/>
              <w:rPr>
                <w:sz w:val="16"/>
                <w:szCs w:val="16"/>
                <w:color w:val="auto"/>
              </w:rPr>
            </w:pPr>
          </w:p>
        </w:tc>
        <w:tc>
          <w:tcPr>
            <w:tcW w:w="860" w:type="dxa"/>
            <w:vAlign w:val="bottom"/>
          </w:tcPr>
          <w:p>
            <w:pPr>
              <w:ind w:left="680"/>
              <w:spacing w:after="0" w:line="195" w:lineRule="exact"/>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line="195"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Three Months Ended March 31, 2008</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178</w:t>
            </w:r>
          </w:p>
        </w:tc>
        <w:tc>
          <w:tcPr>
            <w:tcW w:w="15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During the quarter ended March 31, 2009, we entered into an agreement with a vendor to purchase a minimum percentage of our total requirements for a component part over a five year period. The contract allows a ramp-up period of one year. Based on our current volume, we estimate our total financial commitment to be approximately $40 million over the five year period. As of March 31, 2009, we purchased $0.1 million in component parts from this vendor.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are awaiting the expert to finalize and file his pre-trial report with the court and when completed, we will respond. Management is unable to estimate the likelihood of an unfavorable outcome, and the amount of loss, if any, in the case of an unfavorable outcome.</w:t>
      </w:r>
    </w:p>
    <w:p>
      <w:pPr>
        <w:spacing w:after="0" w:line="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February 7, 2008, we filed suit against Gibson Audio, a Division of Gibson Guitar Corp., Gibson Guitar Corp., and Gibson Musical Instruments, Inc. seeking payment of the remaining balance of a minimum royalty fee due us under a software agreement. On March 10, 2008, the Gibson companies answered our complaint with a general denial of all of our allegations. Also, the Gibson companies counterclaimed that we breached various aspects of the software agreement and that they are seeking unspecified damages. On January 6, 2009, we filed a motion for partial summary judgment which remains pending. On March 27, 2009, we entered into a confidential Mutual Release and Covenant Not To Sue Agreement with the Gibson Companies in which we were paid an immaterial amount and all claims between the parties have been settled and release with prejudice. Due confidentiality, the amount of payment to us by the Gibson companies and the other terms of the settlement and agreement may not be disclosed.</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February 19, 2009, we filed suit against Warren Communications News, Inc. claiming that through the unauthorized use of embedded email tracking and intercepting software and code, Warren has violated the Computer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Fraud and Abuse Act, the Stored Communications Act, and various applicable California laws. In addition we are asking for a declaration that we are not infringing Warren’s copyright to a daily electronic publication. On March 19, 2009, Warren answered our complaint with a general denial of all of our allegations. On the same date as filing their answer, Warren counterclaimed alleging copyright infringement seeking unspecified damages. On or about April 13, 2009, we answered Warren’s counterclaim denying their claim of copyright infringement and asserted numerous affirmative defenses. In addition, the initial discovery has just commenced. Thus, at this time we are unable to estimate the likely outcome of this matter and the amount, if any, of recovery to be awarded to any party at this time.</w:t>
      </w:r>
    </w:p>
    <w:p>
      <w:pPr>
        <w:spacing w:after="0" w:line="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maintain directors’ and officers’ liability insurance to insure our individual directors and officers against certain claims and attorney’s fees and related expenses incurred in connection with the defense of such claims.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second quarter of 2007, we adopted an Executive Long-Term Incentive Plan (“ELTIP”). The ELTIP provided a bonus pool for our executive management team contingent on achieving certain performance goals during a two-year performance period commencing on January 1, 2007 and ending on December 31, 2008. The performance goals were based on the compound annual growth rate of net sales and earnings per diluted share during the performance period. The ELTIP had a maximum pay out of $12 million if the highest performance goals were met. Based on our performance during 2007, management accrued $1.0 million for bonuses under the ELTIP, however, based on the 2008 results, it was determined that no bonus was earned under the terms of the ELTIP. As a result, we lowered our ELTIP accrual from $1.0 million at December 31, 2007 to $0 at December 31, 2008. This adjustment resulted in a $1.0 million benefit to pre-tax income for the twelve months ended December 31, 2008.</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Notwithstanding the ELTIP results, our Compensation Committee decided to award a discretionary bonus of $1.0 million, to be paid out quarterly over the next two years (2009 and 2010). The Compensation Committee came to this decision after reviewing the economic environment and our relative financial and operating performance. The Compensation Committee believes this bonus is in alignment with our stockholders’ interests as well as our performance, and retention objectives. As a result, on December 31, 2008 we accrued $0.5 million for this discretionary bonus which is included in accrued compensation. The amount of a participant’s earned award will be paid in cash. A participant’s earned award will vest in eight equal quarterly installments beginning March 31, 2009 and ending December 31, 2010. In the event a participant terminates their employment during the service period (January 1, 2009 through December 31, 2010), they will forfeit their right to any remaining installments where the payment date has not yet occurred. The amount expensed related to this discretionary bonus in first quarter 2009 was $0.1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Generally, an election to defer compensation is irrevocable for the entire plan year. A participant is always fully vested in their elective deferrals and may direct these funds into various investment options available under the plan. These investment options are utilized for measurement purposes only, and may not represent the actual investment made by us. In this respect, the participant is an unsecured creditor of ours. At March 31, 2009, the amounts deferred under the plan were immaterial to our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India subsidiary maintains a defined benefit pension plan (“India Plan”) for local employees, which is consistent with local statutes and practices. As of March 31, 2009, based on its latest actuarial report, the pension plan was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adequately funded. The India Plan has an independent external manager that advises us of the appropriate funding contribution requirements to which we comply. At March 31, 2009, approximately 20 percent of our India subsidiary employees had qualified for eligibility. Generally, an employee must be employed by the company for a minimum of five years before becoming eligible. At the time of eligibility we are liable, on termination, resignation or retirement, to pay the employee an effective amount of fifteen days salary for each full year of service completed. The total amount of liability outstanding at March 31, 2009 for the India Plan is not material. During the three months ended March 31, 2009 the net periodic benefit costs were also not 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Business Acquisition</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February 18, 2009, we acquired certain patents, intellectual property and other assets related to the universal remote control business from Zilog, Inc. (NASDAQ: ZILG) for approximately $9.5 million in cash. The purchase included Zilog’s full library and database of infrared codes, software tools and certain fixed assets. We also hired 115 of Zilog’s sales and engineering personnel, including all 103 of Zilog’s personnel located in India. In a related transaction, Maxim Integrated Products (NASDAQ: MXIM) acquired two of Zilog’s product lines, namely, the hardware portion of Zilog’s remote control business and Zilog’s secured transaction product line.</w:t>
      </w:r>
    </w:p>
    <w:p>
      <w:pPr>
        <w:spacing w:after="0" w:line="8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cross–licensed the remote control technology and intellectual property with Maxim Integrated Products for purpose of conducting our respective businesses. The arrangement involves an agreement to source silicon chips from Maxim. For the first year we will be the exclusive sales agent of universal remote control chips for Maxim, selling the Zilog designs to Zilog’s former customers. We expect this arrangement to be mildly accretive to our earnings in 2009. Beginning in the second year, we will take over full sales and distribution rights to Zilog’s former customers, and we anticipate this position will lead to growth in revenue and earnings going forward. Our consolidated financial statements include the operating results of the acquired assets, employees hired, and the related agreement with Maxim from February 18, 2009. We recognized $0.6 million of net revenue and earnings of $0.2 million related to the transaction during the quarter-ended March 31, 2009, excluding acquisition costs of $1.1 million.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total purchase price of approximately $9.5 million has been allocated to the net assets acquired based on their estimated fair values as follow:</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Database</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40" w:type="dxa"/>
            <w:vAlign w:val="bottom"/>
            <w:vMerge w:val="restart"/>
          </w:tcPr>
          <w:p>
            <w:pPr>
              <w:spacing w:after="0"/>
              <w:rPr>
                <w:sz w:val="20"/>
                <w:szCs w:val="20"/>
                <w:color w:val="auto"/>
              </w:rPr>
            </w:pPr>
            <w:r>
              <w:rPr>
                <w:rFonts w:ascii="Arial" w:cs="Arial" w:eastAsia="Arial" w:hAnsi="Arial"/>
                <w:sz w:val="18"/>
                <w:szCs w:val="18"/>
                <w:color w:val="auto"/>
              </w:rPr>
              <w:t>Purchase price</w:t>
            </w: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Of the total purchase price, approximately $6.6 million was allocated to intangible assets subject to amortization including the database and customer relationships.</w:t>
      </w:r>
    </w:p>
    <w:p>
      <w:pPr>
        <w:spacing w:after="0" w:line="6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database intangible is composed of the estimated fair value of patents, intellectual property and other assets related to Zilog’s database of infrared codes, and software tools. When determining the fair value of the database, we utilized the cost approach. In our valuation, we estimated the total costs to recreate the database, including the associated opportunity costs (or revenue lost while recreating). We discounted the after-tax cash flows to present value to arrive at our estimate of the fair value of the database. We are amortizing the database on a straight-line basis over an estimated useful life of approximately 15 years.</w:t>
      </w:r>
    </w:p>
    <w:p>
      <w:pPr>
        <w:spacing w:after="0" w:line="4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customer relationship intangible is composed of the fair value of customer relationships acquired as a result of the Zilog purchase. We utilized the income approach to estimate the fair value of the customer relationships intangible. We developed after-tax cash flows based on forecasted revenue from these customers assuming a customer attrition rate based on our analysis of customer data for UEI and Zilog. We discounted the after-tax cash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flows to present value to arrive at our estimate of the fair value of the customer relationships intangible. We are amortizing the customer relationships intangible on a straight-line basis over an estimated useful life of approximately 15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Goodwill represents the excess of the cost (purchase price) over the estimated fair value of identifiable tangible and intangible assets acquired. Goodwill from this transaction of $2.9 million will not be amortized, but will be analyzed for impairment at least on an annual basis in accordance with SFAS No. 142. We review our goodwill for impairment annually as of December 31 and whenever events or changes in circumstances indicate that an impairment loss may have occurred. Of the total goodwill recorded, none is expected to be deductible for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goodwill recognized is attributable to the following value we received from this acquisition:</w:t>
      </w:r>
    </w:p>
    <w:p>
      <w:pPr>
        <w:spacing w:after="0" w:line="117" w:lineRule="exact"/>
        <w:rPr>
          <w:sz w:val="20"/>
          <w:szCs w:val="20"/>
          <w:color w:val="auto"/>
        </w:rPr>
      </w:pPr>
    </w:p>
    <w:p>
      <w:pPr>
        <w:ind w:left="660" w:right="2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This acquisition will expand the breadth and depth of our customer base in both subscription broadcasting and original equipment manufacturing, particularly in Asia.</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We believe integrating Zilog’s technologies with and into our own technology will reduce design cycle times, lower costs, and lead to improvements in our integrated circuit design, product quality and overall functional performance.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acquisition of former Zilog employees will allow us to leverage their experience to our advantage in the wireless control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recognized $1.1 million of total costs related to the Zilog transaction in selling, general and administrative expenses during the quarter ended March 31, 2009. The acquisition costs consisted of primarily legal and investment banking services. Of the $1.1 million of transaction costs recognized during the quarter ended March 31, 2009, $0.1 million was capitalized at December 31, 2008.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the acquisition from Zilog as if the acquisition had occurred at the beginning of the periods presented. Adjustments of $0.1 million for the quarter-ended ended March 31, 2009 have been made to the combined results of operations, reflecting primarily amortization of purchased intangible assets, net of tax. Adjustments of $0.7 million for the quarter-ended March 31, 2008 have been made to the combined results of operations, reflecting primarily amortization of purchased intangible assets, net of tax and the acquisition costs, net of tax.</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were as follows for the quarters ended March 31,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March 31, 2009</w:t>
            </w:r>
          </w:p>
        </w:tc>
        <w:tc>
          <w:tcPr>
            <w:tcW w:w="500" w:type="dxa"/>
            <w:vAlign w:val="bottom"/>
          </w:tcPr>
          <w:p>
            <w:pPr>
              <w:spacing w:after="0"/>
              <w:rPr>
                <w:sz w:val="14"/>
                <w:szCs w:val="14"/>
                <w:color w:val="auto"/>
              </w:rPr>
            </w:pPr>
          </w:p>
        </w:tc>
        <w:tc>
          <w:tcPr>
            <w:tcW w:w="13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March 31, 2008</w:t>
            </w: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7"/>
              </w:rPr>
              <w:t>71,613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7"/>
              </w:rPr>
              <w:t>62,316</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757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1,802</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0.06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0.12</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0.12</w:t>
            </w:r>
          </w:p>
        </w:tc>
      </w:tr>
    </w:tbl>
    <w:p>
      <w:pPr>
        <w:spacing w:after="0" w:line="9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dates presented, and should not be taken as a projection of the future consolidated results of our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developed a broad line of pre-programmed universal wireless control products and audio-video accessories that are marketed to enhance home entertainment systems. Our customers operate in the consumer electronics market and include OEMs, MSOs (cable and satellite service providers), international retailers, CEDIA (Custom Electronic Design and Installation Association), U.S. retailers, private labels, and companies in the computing industry. We also sell integrated circuits, on which our software and IR code database is embedded, to OEMs that manufacture wireless control devices, cable converters or satellite receivers for resale in their products. We believe that our universal remote control database contains device codes that are capable of controlling virtually all infrared remote (“IR”) controlled TVs, VCRs, DVD players, cable converters, CD players, audio components and satellite receivers, as well as most other infrared remote controlled devices worldwide.</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Beginning in 1986 and continuing today, we have compiled an extensive library that covers over 405,000 individual device functions and over 3,600 individual consumer electronic equipment brand names. Our library is regularly updated with IR codes used in newly introduced video and audio devices. All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twelve subsidiaries located in Argentina, Cayman Islands, France, Germany (2), Hong Kong, India, Italy, the Netherlands, Singapore, Spain and the United Kingdom.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first quarter 2009:</w:t>
      </w:r>
    </w:p>
    <w:p>
      <w:pPr>
        <w:spacing w:after="0" w:line="117" w:lineRule="exact"/>
        <w:rPr>
          <w:sz w:val="20"/>
          <w:szCs w:val="20"/>
          <w:color w:val="auto"/>
        </w:rPr>
      </w:pPr>
    </w:p>
    <w:p>
      <w:pPr>
        <w:ind w:left="660" w:right="40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revenue grew 16.2% from $61.2 million for the three months ended March 31, 2008 to $71.1 million for the three months ended March 31, 2009.</w:t>
      </w:r>
    </w:p>
    <w:p>
      <w:pPr>
        <w:spacing w:after="0" w:line="75" w:lineRule="exact"/>
        <w:rPr>
          <w:rFonts w:ascii="Arial" w:cs="Arial" w:eastAsia="Arial" w:hAnsi="Arial"/>
          <w:sz w:val="18"/>
          <w:szCs w:val="18"/>
          <w:b w:val="1"/>
          <w:bCs w:val="1"/>
          <w:color w:val="auto"/>
        </w:rPr>
      </w:pPr>
    </w:p>
    <w:p>
      <w:pPr>
        <w:ind w:left="660" w:right="6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Our sales growth in the first quarter 2009 was the result of strong demand from the customers in our business category, due in part to the continuation of the upgrade cycle from analog to digital, consumer demand for advanced-function offerings from subscription broadcasters, increased share with existing customers, and new customer wins.</w:t>
      </w:r>
    </w:p>
    <w:p>
      <w:pPr>
        <w:spacing w:after="0" w:line="86" w:lineRule="exact"/>
        <w:rPr>
          <w:rFonts w:ascii="Arial" w:cs="Arial" w:eastAsia="Arial" w:hAnsi="Arial"/>
          <w:sz w:val="18"/>
          <w:szCs w:val="18"/>
          <w:b w:val="1"/>
          <w:bCs w:val="1"/>
          <w:color w:val="auto"/>
        </w:rPr>
      </w:pPr>
    </w:p>
    <w:p>
      <w:pPr>
        <w:ind w:left="660" w:hanging="436"/>
        <w:spacing w:after="0" w:line="284"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Our operating income for the first three months of 2009 decreased 42.7% to $1.5 million from operating income of $2.7 million in the first three months of 2008. Our operating margin percentage decreased from 4.4% in the first three months of 2008 to 2.1% in the first three months of 2009 due primarily to the decrease in our gross margin percentage offset partially by the decrease in operating expenses as a percentage of revenue. Our gross margin percentage decreased from 35.5% in the first three months of 2008 to 30.1% in the first three months of 2009. The decrease in our gross margin rate was due primarily to sales mix, as a higher percentage of our total sales was comprised of our lower-margin Business category. In addition, sales mix within our sales categories also contributed to the decrease in our gross margin rate as consumers trended towards value-oriented products. The weakening of the Euro and British pound also contributed to the decline in our gross margin percentage. Operating expenses decreased from 31.1% of revenue for the three months ended March 31, 2008 to 28.0% for the three months ended March 31, 2009, despite incurring</w:t>
      </w:r>
    </w:p>
    <w:p>
      <w:pPr>
        <w:spacing w:after="0" w:line="1"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$1.1 million of deal related costs in the first quarter of 2009 relating to the acquisition of remote control related assets from Zilog, Inc.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2009 include the following:</w:t>
      </w:r>
    </w:p>
    <w:p>
      <w:pPr>
        <w:spacing w:after="0" w:line="11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increase our share with existing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acquire new customers in historically strong regions;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continue our expansion into new regions, Asia in particular;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continue to develop industry-leading technologies and products;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continue to evaluate potential acquisition and joint venture opportunities that may enhance our business.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intend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w:t>
      </w:r>
    </w:p>
    <w:p>
      <w:pPr>
        <w:spacing w:after="0" w:line="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months ended March 31, 2009 to the items that we disclosed as our critical accounting policies and estimates in Item 7, “Management’s Discussion and Analysis of Financial Condition and Results of Operations” contained in our Annual Report on Form 10-K for our fiscal year ended December 31, 2008.</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Consolidated Financial Statements for a discussion of recent accounting pronouncements.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as a percentage of net sales for the three months ended March 31, 2009 and 2008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46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sales</w:t>
            </w:r>
          </w:p>
        </w:tc>
        <w:tc>
          <w:tcPr>
            <w:tcW w:w="4780" w:type="dxa"/>
            <w:vAlign w:val="bottom"/>
            <w:gridSpan w:val="2"/>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69.</w:t>
            </w:r>
            <w:r>
              <w:rPr>
                <w:rFonts w:ascii="Arial" w:cs="Arial" w:eastAsia="Arial" w:hAnsi="Arial"/>
                <w:sz w:val="18"/>
                <w:szCs w:val="18"/>
                <w:u w:val="single" w:color="auto"/>
                <w:color w:val="auto"/>
                <w:w w:val="85"/>
              </w:rPr>
              <w:t>9</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64.</w:t>
            </w:r>
            <w:r>
              <w:rPr>
                <w:rFonts w:ascii="Arial" w:cs="Arial" w:eastAsia="Arial" w:hAnsi="Arial"/>
                <w:sz w:val="18"/>
                <w:szCs w:val="18"/>
                <w:u w:val="single" w:color="auto"/>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78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30.1</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10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54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0</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27.</w:t>
            </w:r>
            <w:r>
              <w:rPr>
                <w:rFonts w:ascii="Arial" w:cs="Arial" w:eastAsia="Arial" w:hAnsi="Arial"/>
                <w:sz w:val="18"/>
                <w:szCs w:val="18"/>
                <w:u w:val="single" w:color="auto"/>
                <w:color w:val="auto"/>
              </w:rPr>
              <w:t>5</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78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28.0</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31.1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income, net</w:t>
            </w:r>
          </w:p>
        </w:tc>
        <w:tc>
          <w:tcPr>
            <w:tcW w:w="510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54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78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78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(0.7)</w:t>
            </w:r>
          </w:p>
        </w:tc>
        <w:tc>
          <w:tcPr>
            <w:tcW w:w="1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478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gridSpan w:val="2"/>
            <w:vMerge w:val="continue"/>
          </w:tcPr>
          <w:p>
            <w:pPr>
              <w:spacing w:after="0"/>
              <w:rPr>
                <w:sz w:val="19"/>
                <w:szCs w:val="19"/>
                <w:color w:val="auto"/>
              </w:rPr>
            </w:pPr>
          </w:p>
        </w:tc>
        <w:tc>
          <w:tcPr>
            <w:tcW w:w="478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90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460" w:type="dxa"/>
            <w:vAlign w:val="bottom"/>
            <w:vMerge w:val="restart"/>
          </w:tcPr>
          <w:p>
            <w:pPr>
              <w:jc w:val="right"/>
              <w:ind w:right="299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2009 versus Three Months Ended March 31,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three months ended March 31, 2009 and 2008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60.9</w:t>
            </w:r>
          </w:p>
        </w:tc>
        <w:tc>
          <w:tcPr>
            <w:tcW w:w="6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85.7%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48.3</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12.9</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w:t>
            </w:r>
            <w:r>
              <w:rPr>
                <w:rFonts w:ascii="Arial" w:cs="Arial" w:eastAsia="Arial" w:hAnsi="Arial"/>
                <w:sz w:val="18"/>
                <w:szCs w:val="18"/>
                <w:u w:val="single" w:color="auto"/>
                <w:color w:val="auto"/>
              </w:rPr>
              <w:t>1</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61.</w:t>
            </w:r>
            <w:r>
              <w:rPr>
                <w:rFonts w:ascii="Arial" w:cs="Arial" w:eastAsia="Arial" w:hAnsi="Arial"/>
                <w:sz w:val="18"/>
                <w:szCs w:val="18"/>
                <w:u w:val="single" w:color="auto"/>
                <w:color w:val="auto"/>
                <w:w w:val="79"/>
              </w:rPr>
              <w:t>2</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Net sales for the first quarter of 2009 were $71.1 million, an increase of 16% compared to $61.2 million for the first quarter of 2008. Net income for the first quarter of 2009 was $0.8 million or $0.06 per diluted share compared to $2.5 million or $0.17 per diluted share for the first quarter of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86% of net sales in the first quarter of 2009 compared to approximately 79% in the first quarter of 2008. Net sales in our Business lines for the first quarter of 2009 increased by 26% to $60.9 million from $48.3 million in the first quarter of 2008. This increase in sales resulted primarily from an increase in the volume of remote control sales, which was partially offset by lower prices. The increase in remote control sales volume was attributable to the continued deployment of advanced function set-top boxes by the service operators, market share gains with a few key subscription broadcast customers and new customer wins. These advanced functions include digital video recording (“DVR”), video-on-demand (“VOD”), and high definition television (“HDTV”). We expect that the deployment of the advanced function set-top boxes by the service operators will continue into the foreseeable future as penetration for each of the functions cited continues to increase.</w:t>
      </w:r>
    </w:p>
    <w:p>
      <w:pPr>
        <w:spacing w:after="0" w:line="5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Net sales in our Consumer lines (One For All</w:t>
      </w:r>
      <w:r>
        <w:rPr>
          <w:rFonts w:ascii="Arial" w:cs="Arial" w:eastAsia="Arial" w:hAnsi="Arial"/>
          <w:sz w:val="14"/>
          <w:szCs w:val="14"/>
          <w:color w:val="auto"/>
        </w:rPr>
        <w:t>®</w:t>
      </w:r>
      <w:r>
        <w:rPr>
          <w:rFonts w:ascii="Arial" w:cs="Arial" w:eastAsia="Arial" w:hAnsi="Arial"/>
          <w:sz w:val="17"/>
          <w:szCs w:val="17"/>
          <w:color w:val="auto"/>
        </w:rPr>
        <w:t xml:space="preserve"> retail, private label, custom installers and direct import) were approximately 14% of net sales for the first quarter of 2009 compared to approximately 21% for the first quarter of 2008. Net sales in our Consumer lines decreased by 21% to $10.2 million for the first quarter of 2009, from $12.9 million in the first quarter of 2008. European retail sales decreased by $3.0 million compared to the first quarter of 2008. Europe retail sales were unfavorably impacted by the weakening of both the Euro and the British Pound compared to the U.S. Dollar, which resulted in a decrease in net sales of approximately $2.0 million. Net of this currency effect, European retail sales decreased $1.0 million, primarily due to the downturn of the economy in the United Kingdom. Private label sales in the U.S. decreased $0.5 million, to $0.1 million in the first quarter of 2009 from $0.6 million in the first quarter of 2008. This was driven by a decline in the volume of remote control sales to our private label partners. Partially offsetting these decreases were the North American retail sales, which increased by $0.4 million compared to the first quarter of 2008, as a result of a new partnership agreement with a distributor in the U.S market. CEDIA sales increased by $0.4 million compared to the first quarter of 2008, primarily due to the launch of a new product that occurred in the second quarter of 2008.</w:t>
      </w:r>
    </w:p>
    <w:p>
      <w:pPr>
        <w:spacing w:after="0" w:line="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Gross profit for the first quarter of 2009 was $21.4 million compared to $21.7 million for the first quarter of 2008. Gross profit as a percent of sales for the first quarter of 2009 was 30.1% compared to 35.5% for the same period in the prior year, due primarily to the following reasons:</w:t>
      </w:r>
    </w:p>
    <w:p>
      <w:pPr>
        <w:spacing w:after="0" w:line="38" w:lineRule="exact"/>
        <w:rPr>
          <w:sz w:val="20"/>
          <w:szCs w:val="20"/>
          <w:color w:val="auto"/>
        </w:rPr>
      </w:pPr>
    </w:p>
    <w:p>
      <w:pPr>
        <w:ind w:left="660" w:right="340" w:hanging="436"/>
        <w:spacing w:after="0" w:line="264"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Sales mix, as a higher percentage of our total sales was comprised of our lower margin Business category. In addition, sales mix within our sales categories also contributed to the decrease in our gross margin rate as consumers trended towards value-oriented products. Collectively, the aforementioned resulted in a decrease of 2.7% in the gross margin rate;</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Foreign currency fluctuations caused a decrease of 1.8% in the gross margin rate;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 increase in scrap expense caused a decrease of 0.8% in the gross margin rate.</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Research and development expenses decreased 4% from $2.2 million in the first quarter of 2008 to $2.1 million in the first quarter of 2009, relatively consistent with prior year levels.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increased 6% from $16.9 million in the first quarter of 2008 to $17.8 million in the first quarter of 2009.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weakening of the Euro compared to the U.S. Dollar resulted in a decrease of $1.0 million. Net of this favorable currency effect, expenses increased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 million. Legal, accounting, and advisory professional service expense increased by $1.1 million, due to the acquisition of assets from Zilog, Inc,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completed during the first quarter. Payroll and fringe expense increased by $0.6 million. Employee bonus expense increased $0.2 million, and long-term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incentive compensation expense increased $0.2 million. These increases were partially offset by lower freight expense, which decreased by $0.2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commission expense, which decreased by $0.1 million.</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first quarter of 2009, we recorded $0.1 million of net interest income compared to $0.9 million in the first quarter of 2008. The decrease is primarily due to significantly lower interest rates.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first quarter of 2009, net other expense was $0.4 million as compared to net other income of $0.2 million for the first quarter of 2008 which was driven by foreign exchange losses.</w:t>
      </w:r>
    </w:p>
    <w:p>
      <w:pPr>
        <w:spacing w:after="0" w:line="62"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recorded income tax expense of $0.5 million in the first quarter of 2009 compared to $1.3 million in the first quarter of 2008. Our effective tax rate was 39.1% in the first quarter of 2009 compared to 34.3% in the first quarter of 2008. The increase in our effective tax rate is due to fixed interest expense on tax contingencies representing a higher percentage of pre-tax income coupled with a higher percentage of income earned in higher tax rate jurisdictions.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760" w:type="dxa"/>
            <w:vAlign w:val="bottom"/>
            <w:gridSpan w:val="4"/>
          </w:tcPr>
          <w:p>
            <w:pPr>
              <w:ind w:left="2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(Decrease)/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0" w:type="dxa"/>
            <w:vAlign w:val="bottom"/>
          </w:tcPr>
          <w:p>
            <w:pPr>
              <w:spacing w:after="0"/>
              <w:rPr>
                <w:sz w:val="14"/>
                <w:szCs w:val="14"/>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March 31, 2009</w:t>
            </w:r>
          </w:p>
        </w:tc>
        <w:tc>
          <w:tcPr>
            <w:tcW w:w="500" w:type="dxa"/>
            <w:vAlign w:val="bottom"/>
          </w:tcPr>
          <w:p>
            <w:pPr>
              <w:spacing w:after="0"/>
              <w:rPr>
                <w:sz w:val="14"/>
                <w:szCs w:val="14"/>
                <w:color w:val="auto"/>
              </w:rPr>
            </w:pPr>
          </w:p>
        </w:tc>
        <w:tc>
          <w:tcPr>
            <w:tcW w:w="14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Increase in cash</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March 31, 2008</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3,395</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5,578</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(59,330)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(56,616)</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9,824</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(11,212)</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(558)</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(5,682)</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350"/>
        </w:trPr>
        <w:tc>
          <w:tcPr>
            <w:tcW w:w="494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2000" w:type="dxa"/>
            <w:vAlign w:val="bottom"/>
          </w:tcPr>
          <w:p>
            <w:pPr>
              <w:spacing w:after="0"/>
              <w:rPr>
                <w:sz w:val="24"/>
                <w:szCs w:val="24"/>
                <w:color w:val="auto"/>
              </w:rPr>
            </w:pPr>
          </w:p>
        </w:tc>
        <w:tc>
          <w:tcPr>
            <w:tcW w:w="17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March 31, 2009</w:t>
            </w:r>
          </w:p>
        </w:tc>
        <w:tc>
          <w:tcPr>
            <w:tcW w:w="140" w:type="dxa"/>
            <w:vAlign w:val="bottom"/>
          </w:tcPr>
          <w:p>
            <w:pPr>
              <w:spacing w:after="0"/>
              <w:rPr>
                <w:sz w:val="24"/>
                <w:szCs w:val="2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(Decrease)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2008</w:t>
            </w:r>
          </w:p>
        </w:tc>
        <w:tc>
          <w:tcPr>
            <w:tcW w:w="0" w:type="dxa"/>
            <w:vAlign w:val="bottom"/>
          </w:tcPr>
          <w:p>
            <w:pPr>
              <w:spacing w:after="0"/>
              <w:rPr>
                <w:sz w:val="1"/>
                <w:szCs w:val="1"/>
                <w:color w:val="auto"/>
              </w:rPr>
            </w:pPr>
          </w:p>
        </w:tc>
      </w:tr>
      <w:tr>
        <w:trPr>
          <w:trHeight w:val="195"/>
        </w:trPr>
        <w:tc>
          <w:tcPr>
            <w:tcW w:w="494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340" w:type="dxa"/>
            <w:vAlign w:val="bottom"/>
            <w:tcBorders>
              <w:top w:val="single" w:sz="8" w:color="auto"/>
            </w:tcBorders>
          </w:tcPr>
          <w:p>
            <w:pPr>
              <w:jc w:val="right"/>
              <w:ind w:right="79"/>
              <w:spacing w:after="0" w:line="195"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17,357</w:t>
            </w:r>
          </w:p>
        </w:tc>
        <w:tc>
          <w:tcPr>
            <w:tcW w:w="5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(57,881)</w:t>
            </w:r>
          </w:p>
        </w:tc>
        <w:tc>
          <w:tcPr>
            <w:tcW w:w="500" w:type="dxa"/>
            <w:vAlign w:val="bottom"/>
          </w:tcPr>
          <w:p>
            <w:pPr>
              <w:spacing w:after="0"/>
              <w:rPr>
                <w:sz w:val="16"/>
                <w:szCs w:val="16"/>
                <w:color w:val="auto"/>
              </w:rPr>
            </w:pPr>
          </w:p>
        </w:tc>
        <w:tc>
          <w:tcPr>
            <w:tcW w:w="340" w:type="dxa"/>
            <w:vAlign w:val="bottom"/>
            <w:tcBorders>
              <w:top w:val="single" w:sz="8" w:color="auto"/>
            </w:tcBorders>
          </w:tcPr>
          <w:p>
            <w:pPr>
              <w:jc w:val="right"/>
              <w:ind w:right="81"/>
              <w:spacing w:after="0" w:line="195"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75,238</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Working capital</w:t>
            </w: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112,321</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(9,982)</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122,303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decreased by $2.2 million from $5.6 million in the first quarter 2008 to $3.4 million in the first quarter of 2009.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cash provided by operating activities was primarily driven by the decrease in net income from approximately $2.5 million for the three months ended March 31, 2008 to approximately $0.8 million for the three months ended March 31, 2009. Total working capital requirements were relatively consistent for the three months ended March 31, 2009 and 2008.</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for the first three months of 2009 was $59.3 million compared to $2.7 million for the first three months of 2008.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cash used for investing activities was primarily due to the acquisition of intangible assets and goodwill of $9.5 million from Zilog, Inc. and our term deposit of $48.9 million, offset by a decrease in the acquisition of equipment, furniture, and fixtures. The purchase of equipment, furniture and fixtures decreased as a result of the renovation of our corporate headquarters being completed during the first quarter of 2008. Refer to Note 16 for further discussion about our purchase of assets from Zilog, Inc.</w:t>
      </w:r>
    </w:p>
    <w:p>
      <w:pPr>
        <w:spacing w:after="0" w:line="8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We plan to make a significant investment to upgrade our information systems, which we expect to cost approximately $1.0 million. We expect implementation to be completed in 2010. In addition, in order to support our future sales growth, we expect annual purchases of tooling equipment to increase.</w:t>
      </w:r>
    </w:p>
    <w:p>
      <w:pPr>
        <w:spacing w:after="0" w:line="7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i w:val="1"/>
          <w:iCs w:val="1"/>
          <w:color w:val="auto"/>
        </w:rPr>
        <w:t xml:space="preserve">Net cash used for financing activities </w:t>
      </w:r>
      <w:r>
        <w:rPr>
          <w:rFonts w:ascii="Arial" w:cs="Arial" w:eastAsia="Arial" w:hAnsi="Arial"/>
          <w:sz w:val="16"/>
          <w:szCs w:val="16"/>
          <w:color w:val="auto"/>
        </w:rPr>
        <w:t>for the first three months of 2009 was $1.4 million as compared to $11.2 million in the first three months of 2008. We</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repurchased fewer shares of our common stock during the first quarter of 2009 compared to the first quarter of 2008. During the first quarter of 2009 we repurchased 105,311 shares of our common stock for $1.6 million compared to our repurchase of 500,000 shares of our common stock for $11.5</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million during the first quarter of 2008.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a Credit Facility with Comerica which expires on August 31, 2009. Under our Credit Facility, we were authorized to acquire up to 2,000,000 shares of our common stock in the open market. Effective February 26, 2009, Comerica amended our Credit Facility by authorizing an additional 1,000,000 shares to be repurchased, capped at a maximum cost of $13.0 million. Given our closing stock price at March 31, 2009, we were authorized to repurchase 2,718,232 million shares. As of March 31, 2009, we have purchased 1,791,529 shares of our common stock, leaving 926,703 shares available for purchase under the Credit Facility. During 2009 we may continue to purchase shares of our common stock if we believe conditions are favorable and to offset the dilutive effect of our equity compensation programs.</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Presently, we have no borrowings under this Credit Facility, however we cannot make any assurances that we will not need to borrow amounts under this facility or that this facility will continue to be extended to us under comparable terms or at all. If this or any other credit facility is not available to us at a time when we need to borrow, we would have to use our cash reserves which could have a material adverse effect on our earnings, cash flow and financial position.</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six month term deposit cash account in Hong Kong with ABN Amro Bank. The term began on January 13, 2009 and ends on July 13, 2009. The term deposit earns interest at a rate of 1.05%. The interest is receivable on July 13, 2009. The deposit amount and accrued interest related to this account as of March 31, 2009 was $48.8 million and $0.1 million, respectively. If we were to withdraw the funds prior to the end of the term a penalty will be assessed only if the interest rate on the date of withdrawal is higher than the rate on January 13, 2009. The penalty amount is equal to the interest the bank will have to pay another depositor with the same principal balance over the remaining term using the rate in effect on the withdrawal date, less the interest the bank would have had to pay us.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At March 31, 2009, our contractual obligations were $65.5 million compared to $66.0 million reported in our Annual Report on Form 10-K as of December 31, 2008. The following table summarizes our contractual obligations at March 31, 2009 and the effect these obligations are expected to have on our liquidity and cash flow in future periods.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1-3</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4-5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Operating lease obligations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4,879</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1,810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2,406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663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60,645</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27,040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21,520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65,524</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29,446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22,183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Purchase obligations include contractual payments to purchase minimum quantities of inventory under vendor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We’ve utilized cash provided from operations as our primary source of liquidity, since internally generated cash flows have been sufficient to support our business operations, capital expenditures and discretionary share repurchases. We are able to supplement this near term liquidity, if necessary, with our Credit Facility, as discussed below.</w:t>
      </w:r>
    </w:p>
    <w:p>
      <w:pPr>
        <w:spacing w:after="0" w:line="7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Historically, our working capital needs have been greatest during the third and fourth quarters when accounts receivable and inventories increase in connection with the fourth quarter holiday selling season. At March 31, 2009, we had $112.3 million of working capital as compared to $122.3 million at December 31, 2008.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cash and cash equivalent balances are held in the United States, Europe and Asia. At March 31, 2009, we had approximately $5.9 million, $8.7 million, and $2.8 million of cash and cash equivalents in the United States, Europe and Asia, respectively. In addition, we had a term deposit of $48.9 million in Asia. We maintain our cash, cash equivalents, and term deposits with various financial institutions located in many different geographic regions. We attempt to mitigate our exposure to interest rate, liquidity, credit and other relevant risks by placing our cash and cash equivalents with financial institutions we believe are high quality.</w:t>
      </w:r>
    </w:p>
    <w:p>
      <w:pPr>
        <w:spacing w:after="0" w:line="8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a $15 million unsecured revolving credit agreement (“Credit Facility”) with Comerica Bank, which expires on August 31, 2009. Under the Credit Facility, the interest payable is variable and is based on the bank’s cost of funds or 12-month LIBOR plus a fixed margin of 1.25%. The interest rate in effect as of March 31, 2009 using 12-month LIBOR plus a fixed margin of 1.25% was 3.22%. We pay a commitment fee ranging from zero to a maximum rate of 1/4 of 1% per year on the unused portion of the credit line depending on the amount of cash investment retained with Comerica during each quarter. At March 31, 2009, the commitment fee rate was 0.25%. Under the terms of the Credit Facility, dividend payments are allowed for up to 100% of the prior fiscal year’s net income, to be paid within 90 days of the current fiscal year end. We are subject to certain financial covenants related to our net worth, quick ratio and net income. Amounts available for borrowing under the Credit Facility are reduced by the outstanding balance of import letters of credit. As of March 31, 2009, we did not have any outstanding import letters of credit and the available balance on the line of credit was $15 million. Furthermore, as of March 31, 2009, we were in compliance with all financial covenants required by the Credit Facility.</w:t>
      </w:r>
    </w:p>
    <w:p>
      <w:pPr>
        <w:spacing w:after="0" w:line="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It is our policy to carefully monitor the state of our business, cash requirements and capital structure. As previously mentioned, we believe that cash generated from our operations and, so long as our Credit Facility is available, funds from our borrowing facility will be sufficient to fund our current business operations and anticipated growth at least over the next twelve months; however, there can be no assurance that such funds will be adequate for that purpose. In addition, our Credit Facility is set to expire on August 31, 2009 and we cannot make any assurances that our Credit Facility will be extended to us beyond its expiration date of August 31, 2009 under comparable terms or at all. If this or any other credit facility is not available to us at a time when we need to borrow, we would have to use our cash reserves which could have a material adverse effect on our earnings, cash flow and financial position.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2008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While we believe that the forward-looking statements made in this report are based on reasonable assumptions, the actual outcome of such statements is subject to a number of risks and uncertainties, including the following: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failure of our markets or customers to continue growing and expanding in the manner we anticipated;</w:t>
      </w:r>
    </w:p>
    <w:p>
      <w:pPr>
        <w:spacing w:after="0" w:line="130" w:lineRule="exact"/>
        <w:rPr>
          <w:rFonts w:ascii="Arial" w:cs="Arial" w:eastAsia="Arial" w:hAnsi="Arial"/>
          <w:sz w:val="18"/>
          <w:szCs w:val="18"/>
          <w:b w:val="1"/>
          <w:bCs w:val="1"/>
          <w:color w:val="auto"/>
        </w:rPr>
      </w:pPr>
    </w:p>
    <w:p>
      <w:pPr>
        <w:ind w:left="660" w:right="58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effects of natural or other events beyond our control, including the effects a war or terrorist activities may have on us, the economy or our customers;</w:t>
      </w:r>
    </w:p>
    <w:p>
      <w:pPr>
        <w:spacing w:after="0" w:line="75" w:lineRule="exact"/>
        <w:rPr>
          <w:rFonts w:ascii="Arial" w:cs="Arial" w:eastAsia="Arial" w:hAnsi="Arial"/>
          <w:sz w:val="18"/>
          <w:szCs w:val="18"/>
          <w:b w:val="1"/>
          <w:bCs w:val="1"/>
          <w:color w:val="auto"/>
        </w:rPr>
      </w:pPr>
    </w:p>
    <w:p>
      <w:pPr>
        <w:ind w:left="660" w:right="440" w:hanging="436"/>
        <w:spacing w:after="0" w:line="264"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growth of, acceptance of and the demand for our products and technologies in various markets and geographical regions, including cable, satellite, consumer electronics, retail, digital media/technology, CEDIA, interactive TV, automotive, and cellular industries not materializing or growing as we believed;</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inability to obtain orders or maintain our order volume with new and existing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inability to add profitable complementary products which are accepted by the marketplace;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inability to continue selling our products or licensing our technologies at higher or profitable margins;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inability to continue to maintain our operating costs at acceptable levels through our cost containment efforts;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possible dilutive effect our stock incentive programs may have on our earnings per share and stock price;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our inability to continue to obtain adequate quantities of component parts or secure adequate factory production capacity on a timely basis;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inability to successfully integrate any strategic business transaction;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other factors listed from time to time in our press releases and filings with the Securities and Exchange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HDTV and home theater solutions, to name only a few, has transformed control of the home entertainment center into a complex challenge for the consumer. The more recent introduction and projected growth of digital media technologies in the consumer’s life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are continuing to seek ways to use our technology to make the set-up and use of control products, and the access to and control of digital entertainment within the home entertainment network, easier and more affordable. In addition, we are working on product line extensions to our One For All</w:t>
      </w:r>
      <w:r>
        <w:rPr>
          <w:rFonts w:ascii="Arial" w:cs="Arial" w:eastAsia="Arial" w:hAnsi="Arial"/>
          <w:sz w:val="15"/>
          <w:szCs w:val="15"/>
          <w:color w:val="auto"/>
        </w:rPr>
        <w:t>®</w:t>
      </w:r>
      <w:r>
        <w:rPr>
          <w:rFonts w:ascii="Arial" w:cs="Arial" w:eastAsia="Arial" w:hAnsi="Arial"/>
          <w:sz w:val="18"/>
          <w:szCs w:val="18"/>
          <w:color w:val="auto"/>
        </w:rPr>
        <w:t xml:space="preserve"> branded products which include digital antennas, signal boosters, and other A/V accessories.</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also seeking ways to increase our customer base worldwide, particularly in the areas of subscription broadcasting, OEM and One For All</w:t>
      </w:r>
      <w:r>
        <w:rPr>
          <w:rFonts w:ascii="Arial" w:cs="Arial" w:eastAsia="Arial" w:hAnsi="Arial"/>
          <w:sz w:val="15"/>
          <w:szCs w:val="15"/>
          <w:color w:val="auto"/>
        </w:rPr>
        <w:t>®</w:t>
      </w:r>
      <w:r>
        <w:rPr>
          <w:rFonts w:ascii="Arial" w:cs="Arial" w:eastAsia="Arial" w:hAnsi="Arial"/>
          <w:sz w:val="18"/>
          <w:szCs w:val="18"/>
          <w:color w:val="auto"/>
        </w:rPr>
        <w:t xml:space="preserve">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7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will continue developing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in the remainder of 2009 we look to continue to build relationships with our customers in this category.</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Throughout 2009,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 Credit Facility expiring on August 31, 2009. The interest payable under our revolving Credit Facility with our bank is variable and based on (i) the bank’s cost of funds or (ii) the 12-month LIBOR rate plus a fixed margin of 1.25%. The cost of the Credit Facility is affected by changes in market interest rates, credit risk spreads and credit availability. The interest rate in effect on the credit facility as of March 31, 2009 using the 12-month LIBOR Rate option plus a fixed margin of 1.25% was 3.22%.</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March 31, 2009, we had no borrowings on our Credit Facility, however we cannot make any assurances that we will not need to borrow amounts under this facility or that this facility will be extended to us beyond its expiration date of August 31, 2009 under comparable terms or at all. If this or any other credit facility is not available to us at a time when we need to borrow, we would have to use our cash reserves which could have a material adverse effect on our earnings, cash flow and financial position.</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March 31, 2009, we had wholly owned subsidiaries in the Argentina, Cayman Islands, France, Germany, Hong Kong, India, Italy, the Netherlands, Singapore, Spain, and the United Kingdom. On February 18, 2009, we acquired certain patents, intellectual property and other assets related to the universal remote control business from Zilog, Inc. (“Zilog” — NASDAQ: ZILG) for approximately $9.5 million in cash. In connection with this transaction, we formed our Cayman Islands subsidiary. Sales are typically denominated in local currencies, thereby creating exposure to changes in exchange rates. Changes in local currency exchange rates relative to the U.S. dollar and, in some cases, to each other, may positively or negatively affect our sales, gross margins, operating expenses and net income. The value of our net balance sheet positions held in foreign currencies may also be impacted by fluctuating exchange rates.</w:t>
      </w:r>
    </w:p>
    <w:p>
      <w:pPr>
        <w:spacing w:after="0" w:line="5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From time to time, we enter into foreign currency exchange agreements to manage our exposure arising from fluctuating exchange rates that affect cash flows and our reported income. Contract terms for the foreign currency exchange agreements normally last less than nine months. We do not enter into any derivative transactions for speculative purposes. 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w:t>
      </w:r>
    </w:p>
    <w:p>
      <w:pPr>
        <w:spacing w:after="0" w:line="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foreign currency exposures are primarily concentrated in the Euro, British Pound and Hong Kong Dollars. 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March 31, 2009, we believe that movements in foreign currency rates could have a material affect on our financial position. We estimate that if the exchange rates for the Euro and the British Pound relative to the U.S. Dollar fluctuate 10% from March 31, 2009, net income and cash flows in the second quarter of 2009 would fluctuate by approximately $0.5 million and $6.1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above under Note 15 contained in the “Notes to Consolidated Condensed Financial Statements”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on pages 9 through 16 of the Company’s 2008 Annual Report on Form 10-K incorporated herein by reference. These factors could cause our actual results to differ materially from those stated in forward-looking statements contained in this document and elsewhere.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2009, we did not sell any equity securities that were not registered under the Securities Act of 1933.</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our Credit Facility, we were authorized to acquire up to 2,000,000 shares of our common stock in the open market. Effective February 26, 2009, Comerica amended our Credit Facility by authorizing an additional 1,000,000 shares to be repurchased, capped at a maximum cost of $13.0 million. Given our closing stock price at March 31, 2009, we were authorized to repurchase 2,718,232 million shares. As of March 31, 2009, we have purchased 1,791,529 shares of our common stock, leaving 926,703 shares available for purchase under the Credit Facility. We repurchased 105,311 shares during the quarter ended March 31, 2009, and we may continue to repurchase shares of our common stock during the remainder of the year, if we believe conditions are favorable, or to manage dilution created by shares issued under our stock-based compensation plans. Repurchase information for the first quarter of 2009 is set forth by month in the following table: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440" w:type="dxa"/>
            <w:vAlign w:val="bottom"/>
          </w:tcPr>
          <w:p>
            <w:pPr>
              <w:spacing w:after="0"/>
              <w:rPr>
                <w:sz w:val="14"/>
                <w:szCs w:val="14"/>
                <w:color w:val="auto"/>
              </w:rPr>
            </w:pPr>
          </w:p>
        </w:tc>
        <w:tc>
          <w:tcPr>
            <w:tcW w:w="14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4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44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44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3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of Shares</w:t>
            </w: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44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1040" w:type="dxa"/>
            <w:vAlign w:val="bottom"/>
            <w:gridSpan w:val="2"/>
            <w:vMerge w:val="continue"/>
          </w:tcPr>
          <w:p>
            <w:pPr>
              <w:spacing w:after="0"/>
              <w:rPr>
                <w:sz w:val="14"/>
                <w:szCs w:val="14"/>
                <w:color w:val="auto"/>
              </w:rPr>
            </w:pPr>
          </w:p>
        </w:tc>
        <w:tc>
          <w:tcPr>
            <w:tcW w:w="3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4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4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44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January 1, 2009 — January 31, 2009</w:t>
            </w:r>
          </w:p>
        </w:tc>
        <w:tc>
          <w:tcPr>
            <w:tcW w:w="420" w:type="dxa"/>
            <w:vAlign w:val="bottom"/>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3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rPr>
              <w:t>$16.33</w:t>
            </w:r>
          </w:p>
        </w:tc>
        <w:tc>
          <w:tcPr>
            <w:tcW w:w="4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center"/>
              <w:ind w:right="52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February 1, 2009 — February 28, 2009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7,900</w:t>
            </w:r>
          </w:p>
        </w:tc>
        <w:tc>
          <w:tcPr>
            <w:tcW w:w="380" w:type="dxa"/>
            <w:vAlign w:val="bottom"/>
          </w:tcPr>
          <w:p>
            <w:pPr>
              <w:spacing w:after="0"/>
              <w:rPr>
                <w:sz w:val="18"/>
                <w:szCs w:val="18"/>
                <w:color w:val="auto"/>
              </w:rPr>
            </w:pPr>
          </w:p>
        </w:tc>
        <w:tc>
          <w:tcPr>
            <w:tcW w:w="1460" w:type="dxa"/>
            <w:vAlign w:val="bottom"/>
            <w:gridSpan w:val="2"/>
          </w:tcPr>
          <w:p>
            <w:pPr>
              <w:jc w:val="right"/>
              <w:ind w:right="244"/>
              <w:spacing w:after="0"/>
              <w:rPr>
                <w:sz w:val="20"/>
                <w:szCs w:val="20"/>
                <w:color w:val="auto"/>
              </w:rPr>
            </w:pPr>
            <w:r>
              <w:rPr>
                <w:rFonts w:ascii="Arial" w:cs="Arial" w:eastAsia="Arial" w:hAnsi="Arial"/>
                <w:sz w:val="18"/>
                <w:szCs w:val="18"/>
                <w:color w:val="auto"/>
              </w:rPr>
              <w:t>15.53</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center"/>
              <w:ind w:right="52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2009 — March 31, 2009</w:t>
            </w:r>
          </w:p>
        </w:tc>
        <w:tc>
          <w:tcPr>
            <w:tcW w:w="17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92,798</w:t>
            </w:r>
          </w:p>
        </w:tc>
        <w:tc>
          <w:tcPr>
            <w:tcW w:w="146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15.38</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w w:val="89"/>
              </w:rPr>
              <w:t>Total Q1 2009</w:t>
            </w:r>
          </w:p>
        </w:tc>
        <w:tc>
          <w:tcPr>
            <w:tcW w:w="350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105,311</w:t>
            </w:r>
          </w:p>
        </w:tc>
        <w:tc>
          <w:tcPr>
            <w:tcW w:w="380" w:type="dxa"/>
            <w:vAlign w:val="bottom"/>
          </w:tcPr>
          <w:p>
            <w:pPr>
              <w:spacing w:after="0"/>
              <w:rPr>
                <w:sz w:val="19"/>
                <w:szCs w:val="19"/>
                <w:color w:val="auto"/>
              </w:rPr>
            </w:pPr>
          </w:p>
        </w:tc>
        <w:tc>
          <w:tcPr>
            <w:tcW w:w="1460" w:type="dxa"/>
            <w:vAlign w:val="bottom"/>
            <w:gridSpan w:val="2"/>
          </w:tcPr>
          <w:p>
            <w:pPr>
              <w:jc w:val="right"/>
              <w:ind w:right="244"/>
              <w:spacing w:after="0"/>
              <w:rPr>
                <w:sz w:val="20"/>
                <w:szCs w:val="20"/>
                <w:color w:val="auto"/>
              </w:rPr>
            </w:pPr>
            <w:r>
              <w:rPr>
                <w:rFonts w:ascii="Arial" w:cs="Arial" w:eastAsia="Arial" w:hAnsi="Arial"/>
                <w:sz w:val="18"/>
                <w:szCs w:val="18"/>
                <w:color w:val="auto"/>
              </w:rPr>
              <w:t>$15.44</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ITEM 6. EXHIBITS</w:t>
            </w: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4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rPr>
              <w:t>31.1</w:t>
            </w:r>
          </w:p>
        </w:tc>
        <w:tc>
          <w:tcPr>
            <w:tcW w:w="10380" w:type="dxa"/>
            <w:vAlign w:val="bottom"/>
            <w:gridSpan w:val="15"/>
          </w:tcPr>
          <w:p>
            <w:pPr>
              <w:spacing w:after="0"/>
              <w:rPr>
                <w:sz w:val="20"/>
                <w:szCs w:val="20"/>
                <w:color w:val="auto"/>
              </w:rPr>
            </w:pPr>
            <w:r>
              <w:rPr>
                <w:rFonts w:ascii="Arial" w:cs="Arial" w:eastAsia="Arial" w:hAnsi="Arial"/>
                <w:sz w:val="18"/>
                <w:szCs w:val="18"/>
                <w:color w:val="auto"/>
              </w:rPr>
              <w:t>Rule 13a-14(a) Certifications of Paul D. Arling, Chief Executive Officer (principal executive officer) of Universal Electronics Inc.</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31.2</w:t>
            </w:r>
          </w:p>
        </w:tc>
        <w:tc>
          <w:tcPr>
            <w:tcW w:w="10380" w:type="dxa"/>
            <w:vAlign w:val="bottom"/>
            <w:gridSpan w:val="15"/>
          </w:tcPr>
          <w:p>
            <w:pPr>
              <w:spacing w:after="0"/>
              <w:rPr>
                <w:sz w:val="20"/>
                <w:szCs w:val="20"/>
                <w:color w:val="auto"/>
              </w:rPr>
            </w:pPr>
            <w:r>
              <w:rPr>
                <w:rFonts w:ascii="Arial" w:cs="Arial" w:eastAsia="Arial" w:hAnsi="Arial"/>
                <w:sz w:val="18"/>
                <w:szCs w:val="18"/>
                <w:color w:val="auto"/>
                <w:w w:val="97"/>
              </w:rPr>
              <w:t>Rule 13a-14(a) Certifications of Bryan Hackworth, Chief Financial Officer (principal financial officer and principal accounting officer)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Universal Electronics Inc.</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040" w:right="280" w:hanging="1032"/>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May 8, 2009</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14605</wp:posOffset>
            </wp:positionV>
            <wp:extent cx="29330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Bryan Hackworth</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57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6350</wp:posOffset>
            </wp:positionV>
            <wp:extent cx="66890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Certifications of Paul D. Arling, Chief Executive Officer (principal executive officer) of Universal Electronics Inc.</w:t>
      </w:r>
    </w:p>
    <w:p>
      <w:pPr>
        <w:spacing w:after="0" w:line="209" w:lineRule="exact"/>
        <w:rPr>
          <w:sz w:val="20"/>
          <w:szCs w:val="20"/>
          <w:color w:val="auto"/>
        </w:rPr>
      </w:pPr>
    </w:p>
    <w:p>
      <w:pPr>
        <w:ind w:left="880" w:right="140" w:hanging="877"/>
        <w:spacing w:after="0" w:line="277" w:lineRule="auto"/>
        <w:tabs>
          <w:tab w:leader="none" w:pos="8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Rule 13a-14(a) Certifications of Bryan M. Hackworth, Chief Financial Officer (principal financial officer and principal accounting officer) of Universal Electronics Inc.</w:t>
      </w:r>
    </w:p>
    <w:p>
      <w:pPr>
        <w:spacing w:after="0" w:line="170" w:lineRule="exact"/>
        <w:rPr>
          <w:sz w:val="20"/>
          <w:szCs w:val="20"/>
          <w:color w:val="auto"/>
        </w:rPr>
      </w:pPr>
    </w:p>
    <w:p>
      <w:pPr>
        <w:ind w:left="880" w:hanging="872"/>
        <w:spacing w:after="0" w:line="264"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19"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40" w:hanging="436"/>
        <w:spacing w:after="0" w:line="342"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277"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40" w:hanging="436"/>
        <w:spacing w:after="0" w:line="342"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277"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(i) Company’s Form 10-Q for the fiscal quarter ended March 31, 2009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187"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Dated: May 8, 2009</w:t>
      </w:r>
      <w:r>
        <w:rPr>
          <w:sz w:val="20"/>
          <w:szCs w:val="20"/>
          <w:color w:val="auto"/>
        </w:rPr>
        <w:tab/>
      </w:r>
      <w:r>
        <w:rPr>
          <w:rFonts w:ascii="Arial" w:cs="Arial" w:eastAsia="Arial" w:hAnsi="Arial"/>
          <w:sz w:val="17"/>
          <w:szCs w:val="17"/>
          <w:color w:val="auto"/>
        </w:rPr>
        <w:t>By: /s/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22726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 /s/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22726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and principal accounting officer)</w:t>
      </w:r>
    </w:p>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32"/>
    </w:lvl>
  </w:abstractNum>
  <w:abstractNum w:abstractNumId="15">
    <w:nsid w:val="25E45D32"/>
    <w:multiLevelType w:val="hybridMultilevel"/>
    <w:lvl w:ilvl="0">
      <w:lvlJc w:val="left"/>
      <w:lvlText w:val="%1"/>
      <w:numFmt w:val="decimal"/>
      <w:start w:val="32"/>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2019-12-10T03:26:14Z</dcterms:created>
  <dcterms:modified xsi:type="dcterms:W3CDTF">2019-12-10T03:26:14Z</dcterms:modified>
</cp:coreProperties>
</file>