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3"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ANNUAL AND TRANSITION REPORTS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SECTIONS 13 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15(d) OF THE SECURITIES EXCHANGE ACT OF 1934</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2014</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720" w:right="18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440"/>
        <w:spacing w:after="0"/>
        <w:tabs>
          <w:tab w:leader="none" w:pos="3860" w:val="left"/>
        </w:tabs>
        <w:rPr>
          <w:sz w:val="20"/>
          <w:szCs w:val="20"/>
          <w:color w:val="auto"/>
        </w:rPr>
      </w:pPr>
      <w:r>
        <w:rPr>
          <w:rFonts w:ascii="Times New Roman" w:cs="Times New Roman" w:eastAsia="Times New Roman" w:hAnsi="Times New Roman"/>
          <w:sz w:val="22"/>
          <w:szCs w:val="22"/>
          <w:b w:val="1"/>
          <w:bCs w:val="1"/>
          <w:color w:val="auto"/>
        </w:rPr>
        <w:t>For the transition period from</w:t>
      </w:r>
      <w:r>
        <w:rPr>
          <w:sz w:val="20"/>
          <w:szCs w:val="20"/>
          <w:color w:val="auto"/>
        </w:rPr>
        <w:tab/>
      </w:r>
      <w:r>
        <w:rPr>
          <w:rFonts w:ascii="Times New Roman" w:cs="Times New Roman" w:eastAsia="Times New Roman" w:hAnsi="Times New Roman"/>
          <w:sz w:val="21"/>
          <w:szCs w:val="21"/>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906" w:orient="portrait"/>
          <w:cols w:equalWidth="0" w:num="1">
            <w:col w:w="11420"/>
          </w:cols>
          <w:pgMar w:left="240" w:top="223" w:right="239" w:bottom="0" w:gutter="0" w:footer="0" w:header="0"/>
        </w:sectPr>
      </w:pPr>
    </w:p>
    <w:p>
      <w:pPr>
        <w:spacing w:after="0" w:line="33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33-0204817</w:t>
      </w:r>
    </w:p>
    <w:p>
      <w:pPr>
        <w:spacing w:after="0" w:line="72" w:lineRule="exact"/>
        <w:rPr>
          <w:sz w:val="24"/>
          <w:szCs w:val="24"/>
          <w:color w:val="auto"/>
        </w:rPr>
      </w:pPr>
    </w:p>
    <w:p>
      <w:pPr>
        <w:sectPr>
          <w:pgSz w:w="11900" w:h="16906" w:orient="portrait"/>
          <w:cols w:equalWidth="0" w:num="2">
            <w:col w:w="7540" w:space="720"/>
            <w:col w:w="3160"/>
          </w:cols>
          <w:pgMar w:left="240" w:top="223" w:right="239" w:bottom="0" w:gutter="0" w:footer="0" w:header="0"/>
          <w:type w:val="continuous"/>
        </w:sect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8" w:lineRule="exact"/>
        <w:rPr>
          <w:sz w:val="24"/>
          <w:szCs w:val="24"/>
          <w:color w:val="auto"/>
        </w:rPr>
      </w:pPr>
    </w:p>
    <w:p>
      <w:pPr>
        <w:sectPr>
          <w:pgSz w:w="11900" w:h="16906" w:orient="portrait"/>
          <w:cols w:equalWidth="0" w:num="2">
            <w:col w:w="7400" w:space="720"/>
            <w:col w:w="3300"/>
          </w:cols>
          <w:pgMar w:left="240" w:top="223" w:right="239" w:bottom="0" w:gutter="0" w:footer="0" w:header="0"/>
          <w:type w:val="continuous"/>
        </w:sect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201 E. Sandpointe Avenue, 8</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Santa Ana,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92707</w:t>
      </w:r>
    </w:p>
    <w:p>
      <w:pPr>
        <w:spacing w:after="0" w:line="60" w:lineRule="exact"/>
        <w:rPr>
          <w:sz w:val="24"/>
          <w:szCs w:val="24"/>
          <w:color w:val="auto"/>
        </w:rPr>
      </w:pPr>
    </w:p>
    <w:p>
      <w:pPr>
        <w:sectPr>
          <w:pgSz w:w="11900" w:h="16906" w:orient="portrait"/>
          <w:cols w:equalWidth="0" w:num="2">
            <w:col w:w="7740" w:space="720"/>
            <w:col w:w="2960"/>
          </w:cols>
          <w:pgMar w:left="240" w:top="223" w:right="239" w:bottom="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79" w:lineRule="exact"/>
        <w:rPr>
          <w:sz w:val="24"/>
          <w:szCs w:val="24"/>
          <w:color w:val="auto"/>
        </w:rPr>
      </w:pPr>
    </w:p>
    <w:p>
      <w:pPr>
        <w:sectPr>
          <w:pgSz w:w="11900" w:h="16906" w:orient="portrait"/>
          <w:cols w:equalWidth="0" w:num="2">
            <w:col w:w="7640" w:space="720"/>
            <w:col w:w="3060"/>
          </w:cols>
          <w:pgMar w:left="240" w:top="223" w:right="2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(714) 918-9500</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906" w:orient="portrait"/>
          <w:cols w:equalWidth="0" w:num="1">
            <w:col w:w="11420"/>
          </w:cols>
          <w:pgMar w:left="240" w:top="223" w:right="239" w:bottom="0" w:gutter="0" w:footer="0" w:header="0"/>
          <w:type w:val="continuous"/>
        </w:sectPr>
      </w:pPr>
    </w:p>
    <w:p>
      <w:pPr>
        <w:spacing w:after="0" w:line="360"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Common Stock, par value $.01 per share</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NASDAQ Global Select Market</w:t>
      </w:r>
    </w:p>
    <w:p>
      <w:pPr>
        <w:spacing w:after="0" w:line="72" w:lineRule="exact"/>
        <w:rPr>
          <w:sz w:val="24"/>
          <w:szCs w:val="24"/>
          <w:color w:val="auto"/>
        </w:rPr>
      </w:pPr>
    </w:p>
    <w:p>
      <w:pPr>
        <w:sectPr>
          <w:pgSz w:w="11900" w:h="16906" w:orient="portrait"/>
          <w:cols w:equalWidth="0" w:num="2">
            <w:col w:w="6580" w:space="720"/>
            <w:col w:w="4120"/>
          </w:cols>
          <w:pgMar w:left="240" w:top="223" w:right="239" w:bottom="0" w:gutter="0" w:footer="0" w:header="0"/>
          <w:type w:val="continuous"/>
        </w:sectPr>
      </w:pPr>
    </w:p>
    <w:p>
      <w:pPr>
        <w:ind w:left="2300"/>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98" w:lineRule="exact"/>
        <w:rPr>
          <w:sz w:val="24"/>
          <w:szCs w:val="24"/>
          <w:color w:val="auto"/>
        </w:rPr>
      </w:pPr>
    </w:p>
    <w:p>
      <w:pPr>
        <w:sectPr>
          <w:pgSz w:w="11900" w:h="16906" w:orient="portrait"/>
          <w:cols w:equalWidth="0" w:num="2">
            <w:col w:w="6580" w:space="720"/>
            <w:col w:w="4120"/>
          </w:cols>
          <w:pgMar w:left="240" w:top="223" w:right="2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8"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ectPr>
          <w:pgSz w:w="11900" w:h="16906" w:orient="portrait"/>
          <w:cols w:equalWidth="0" w:num="1">
            <w:col w:w="11420"/>
          </w:cols>
          <w:pgMar w:left="240" w:top="223" w:right="239" w:bottom="0" w:gutter="0" w:footer="0" w:header="0"/>
          <w:type w:val="continuous"/>
        </w:sectPr>
      </w:pP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whether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906" w:orient="portrait"/>
          <w:cols w:equalWidth="0" w:num="5">
            <w:col w:w="9160" w:space="180"/>
            <w:col w:w="260" w:space="100"/>
            <w:col w:w="160" w:space="180"/>
            <w:col w:w="220" w:space="80"/>
            <w:col w:w="1080"/>
          </w:cols>
          <w:pgMar w:left="240" w:top="223" w:right="239" w:bottom="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6" w:lineRule="exact"/>
        <w:rPr>
          <w:sz w:val="24"/>
          <w:szCs w:val="24"/>
          <w:color w:val="auto"/>
        </w:rPr>
      </w:pPr>
    </w:p>
    <w:p>
      <w:pPr>
        <w:sectPr>
          <w:pgSz w:w="11900" w:h="16906" w:orient="portrait"/>
          <w:cols w:equalWidth="0" w:num="5">
            <w:col w:w="8620" w:space="180"/>
            <w:col w:w="260" w:space="80"/>
            <w:col w:w="160" w:space="180"/>
            <w:col w:w="220" w:space="100"/>
            <w:col w:w="1620"/>
          </w:cols>
          <w:pgMar w:left="240" w:top="223" w:right="239" w:bottom="0" w:gutter="0" w:footer="0" w:header="0"/>
          <w:type w:val="continuous"/>
        </w:sectPr>
      </w:pPr>
    </w:p>
    <w:p>
      <w:pPr>
        <w:ind w:right="4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906" w:orient="portrait"/>
          <w:cols w:equalWidth="0" w:num="1">
            <w:col w:w="11420"/>
          </w:cols>
          <w:pgMar w:left="240" w:top="223" w:right="239" w:bottom="0" w:gutter="0" w:footer="0" w:header="0"/>
          <w:type w:val="continuous"/>
        </w:sect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906" w:orient="portrait"/>
          <w:cols w:equalWidth="0" w:num="4">
            <w:col w:w="1660" w:space="540"/>
            <w:col w:w="5560" w:space="720"/>
            <w:col w:w="1900" w:space="720"/>
            <w:col w:w="320"/>
          </w:cols>
          <w:pgMar w:left="240" w:top="223" w:right="239" w:bottom="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906" w:orient="portrait"/>
          <w:cols w:equalWidth="0" w:num="5">
            <w:col w:w="1560" w:space="640"/>
            <w:col w:w="180" w:space="80"/>
            <w:col w:w="5300" w:space="720"/>
            <w:col w:w="1980" w:space="640"/>
            <w:col w:w="320"/>
          </w:cols>
          <w:pgMar w:left="240" w:top="223" w:right="239" w:bottom="0" w:gutter="0" w:footer="0" w:header="0"/>
          <w:type w:val="continuous"/>
        </w:sectPr>
      </w:pP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6" w:lineRule="exact"/>
        <w:rPr>
          <w:sz w:val="24"/>
          <w:szCs w:val="24"/>
          <w:color w:val="auto"/>
        </w:rPr>
      </w:pPr>
    </w:p>
    <w:p>
      <w:pPr>
        <w:sectPr>
          <w:pgSz w:w="11900" w:h="16906" w:orient="portrait"/>
          <w:cols w:equalWidth="0" w:num="5">
            <w:col w:w="7440" w:space="160"/>
            <w:col w:w="260" w:space="100"/>
            <w:col w:w="160" w:space="180"/>
            <w:col w:w="220" w:space="80"/>
            <w:col w:w="2820"/>
          </w:cols>
          <w:pgMar w:left="240" w:top="223" w:right="239" w:bottom="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on June 30, 2014, the last business day of the registrant's most recently completed second fiscal quarter was $516,152,759 based upon the closing sale price as reported on the NASDAQ Global Select Market for that date.</w:t>
      </w:r>
    </w:p>
    <w:p>
      <w:pPr>
        <w:sectPr>
          <w:pgSz w:w="11900" w:h="16906" w:orient="portrait"/>
          <w:cols w:equalWidth="0" w:num="1">
            <w:col w:w="11420"/>
          </w:cols>
          <w:pgMar w:left="240" w:top="223"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On March 3, 2015, 15,894,110 shares of Common Stock, par value $.01 per share, of the registrant were outstanding.</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notice of annual meeting of shareowners and proxy statement to be filed pursuant to Regulation 14A within 120 days after registrant's fiscal year end of December 31, 2014 are incorporated by reference into Part III of this Form 10-K. The Proxy Statement will be filed with the Securities and Exchange Commission no later than April 30, 2015.</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Except as otherwise stated, the information contained in this Form 10-K is as of December 31, 2014.</w:t>
      </w:r>
    </w:p>
    <w:p>
      <w:pPr>
        <w:sectPr>
          <w:pgSz w:w="11900" w:h="16838" w:orient="portrait"/>
          <w:cols w:equalWidth="0" w:num="1">
            <w:col w:w="11420"/>
          </w:cols>
          <w:pgMar w:left="240" w:top="283" w:right="239"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40" w:type="dxa"/>
            <w:vAlign w:val="bottom"/>
            <w:gridSpan w:val="8"/>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80" w:type="dxa"/>
            <w:vAlign w:val="bottom"/>
            <w:gridSpan w:val="7"/>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40" w:type="dxa"/>
            <w:vAlign w:val="bottom"/>
            <w:gridSpan w:val="8"/>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2014</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5"/>
        </w:trPr>
        <w:tc>
          <w:tcPr>
            <w:tcW w:w="9400" w:type="dxa"/>
            <w:vAlign w:val="bottom"/>
            <w:gridSpan w:val="24"/>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1220" w:type="dxa"/>
            <w:vAlign w:val="bottom"/>
          </w:tcPr>
          <w:p>
            <w:pPr>
              <w:spacing w:after="0"/>
              <w:rPr>
                <w:sz w:val="24"/>
                <w:szCs w:val="24"/>
                <w:color w:val="auto"/>
              </w:rPr>
            </w:pPr>
          </w:p>
        </w:tc>
        <w:tc>
          <w:tcPr>
            <w:tcW w:w="74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0"/>
        </w:trPr>
        <w:tc>
          <w:tcPr>
            <w:tcW w:w="9400" w:type="dxa"/>
            <w:vAlign w:val="bottom"/>
            <w:gridSpan w:val="2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960" w:type="dxa"/>
            <w:vAlign w:val="bottom"/>
            <w:gridSpan w:val="5"/>
          </w:tcPr>
          <w:p>
            <w:pPr>
              <w:jc w:val="right"/>
              <w:ind w:right="15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r>
      <w:tr>
        <w:trPr>
          <w:trHeight w:val="264"/>
        </w:trPr>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780" w:type="dxa"/>
            <w:vAlign w:val="bottom"/>
            <w:gridSpan w:val="6"/>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635"/>
        </w:trPr>
        <w:tc>
          <w:tcPr>
            <w:tcW w:w="100" w:type="dxa"/>
            <w:vAlign w:val="bottom"/>
            <w:tcBorders>
              <w:bottom w:val="single" w:sz="8" w:color="0000EE"/>
            </w:tcBorders>
          </w:tcPr>
          <w:p>
            <w:pPr>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680" w:type="dxa"/>
            <w:vAlign w:val="bottom"/>
            <w:tcBorders>
              <w:bottom w:val="single" w:sz="8" w:color="0000EE"/>
            </w:tcBorders>
            <w:gridSpan w:val="3"/>
          </w:tcPr>
          <w:p>
            <w:pPr>
              <w:ind w:left="40"/>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620" w:type="dxa"/>
            <w:vAlign w:val="bottom"/>
            <w:gridSpan w:val="20"/>
          </w:tcPr>
          <w:p>
            <w:pPr>
              <w:spacing w:after="0"/>
              <w:rPr>
                <w:sz w:val="24"/>
                <w:szCs w:val="24"/>
                <w:color w:val="auto"/>
              </w:rPr>
            </w:pPr>
          </w:p>
        </w:tc>
        <w:tc>
          <w:tcPr>
            <w:tcW w:w="186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250"/>
        </w:trPr>
        <w:tc>
          <w:tcPr>
            <w:tcW w:w="9400" w:type="dxa"/>
            <w:vAlign w:val="bottom"/>
            <w:gridSpan w:val="24"/>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1A Risk Factors</w:t>
              </w:r>
            </w:hyperlink>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300" w:type="dxa"/>
            <w:vAlign w:val="bottom"/>
            <w:gridSpan w:val="12"/>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1B Unresolved Staff Comments</w:t>
              </w:r>
            </w:hyperlink>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20</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2</w:t>
              </w:r>
            </w:hyperlink>
          </w:p>
        </w:tc>
        <w:tc>
          <w:tcPr>
            <w:tcW w:w="760" w:type="dxa"/>
            <w:vAlign w:val="bottom"/>
            <w:gridSpan w:val="4"/>
          </w:tcPr>
          <w:p>
            <w:pPr>
              <w:ind w:left="40"/>
              <w:spacing w:after="0"/>
              <w:rPr>
                <w:rFonts w:ascii="Times New Roman" w:cs="Times New Roman" w:eastAsia="Times New Roman" w:hAnsi="Times New Roman"/>
                <w:sz w:val="18"/>
                <w:szCs w:val="18"/>
                <w:color w:val="0000EE"/>
                <w:w w:val="95"/>
              </w:rPr>
            </w:pPr>
            <w:hyperlink w:anchor="page21">
              <w:r>
                <w:rPr>
                  <w:rFonts w:ascii="Times New Roman" w:cs="Times New Roman" w:eastAsia="Times New Roman" w:hAnsi="Times New Roman"/>
                  <w:sz w:val="18"/>
                  <w:szCs w:val="18"/>
                  <w:color w:val="0000EE"/>
                  <w:w w:val="95"/>
                </w:rPr>
                <w:t>Properties</w:t>
              </w:r>
            </w:hyperlink>
          </w:p>
        </w:tc>
        <w:tc>
          <w:tcPr>
            <w:tcW w:w="1440" w:type="dxa"/>
            <w:vAlign w:val="bottom"/>
            <w:gridSpan w:val="7"/>
          </w:tcPr>
          <w:p>
            <w:pPr>
              <w:spacing w:after="0"/>
              <w:rPr>
                <w:sz w:val="21"/>
                <w:szCs w:val="21"/>
                <w:color w:val="auto"/>
              </w:rPr>
            </w:pPr>
          </w:p>
        </w:tc>
        <w:tc>
          <w:tcPr>
            <w:tcW w:w="7100" w:type="dxa"/>
            <w:vAlign w:val="bottom"/>
            <w:gridSpan w:val="12"/>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3</w:t>
              </w:r>
            </w:hyperlink>
          </w:p>
        </w:tc>
        <w:tc>
          <w:tcPr>
            <w:tcW w:w="9300" w:type="dxa"/>
            <w:vAlign w:val="bottom"/>
            <w:gridSpan w:val="23"/>
          </w:tcPr>
          <w:p>
            <w:pPr>
              <w:ind w:left="4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Legal Proceedings</w:t>
              </w:r>
            </w:hyperlink>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4</w:t>
              </w:r>
            </w:hyperlink>
          </w:p>
        </w:tc>
        <w:tc>
          <w:tcPr>
            <w:tcW w:w="9300" w:type="dxa"/>
            <w:vAlign w:val="bottom"/>
            <w:gridSpan w:val="23"/>
          </w:tcPr>
          <w:p>
            <w:pPr>
              <w:ind w:left="4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100" w:type="dxa"/>
            <w:vAlign w:val="bottom"/>
          </w:tcPr>
          <w:p>
            <w:pPr>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5</w:t>
              </w:r>
            </w:hyperlink>
          </w:p>
        </w:tc>
        <w:tc>
          <w:tcPr>
            <w:tcW w:w="9300" w:type="dxa"/>
            <w:vAlign w:val="bottom"/>
            <w:gridSpan w:val="23"/>
          </w:tcPr>
          <w:p>
            <w:pPr>
              <w:ind w:left="4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22</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6</w:t>
              </w:r>
            </w:hyperlink>
          </w:p>
        </w:tc>
        <w:tc>
          <w:tcPr>
            <w:tcW w:w="2740" w:type="dxa"/>
            <w:vAlign w:val="bottom"/>
            <w:gridSpan w:val="12"/>
          </w:tcPr>
          <w:p>
            <w:pPr>
              <w:ind w:left="4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Selected Consolidated Financial Data</w:t>
              </w:r>
            </w:hyperlink>
          </w:p>
        </w:tc>
        <w:tc>
          <w:tcPr>
            <w:tcW w:w="53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24</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7</w:t>
              </w:r>
            </w:hyperlink>
          </w:p>
        </w:tc>
        <w:tc>
          <w:tcPr>
            <w:tcW w:w="6480" w:type="dxa"/>
            <w:vAlign w:val="bottom"/>
            <w:gridSpan w:val="19"/>
          </w:tcPr>
          <w:p>
            <w:pPr>
              <w:ind w:left="40"/>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25</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620" w:type="dxa"/>
            <w:vAlign w:val="bottom"/>
            <w:gridSpan w:val="18"/>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7A Quantitative and Qualitative Disclosures About Market Risk</w:t>
              </w:r>
            </w:hyperlink>
          </w:p>
        </w:tc>
        <w:tc>
          <w:tcPr>
            <w:tcW w:w="1960" w:type="dxa"/>
            <w:vAlign w:val="bottom"/>
            <w:gridSpan w:val="2"/>
          </w:tcPr>
          <w:p>
            <w:pPr>
              <w:spacing w:after="0"/>
              <w:rPr>
                <w:sz w:val="21"/>
                <w:szCs w:val="21"/>
                <w:color w:val="auto"/>
              </w:rPr>
            </w:pPr>
          </w:p>
        </w:tc>
        <w:tc>
          <w:tcPr>
            <w:tcW w:w="2820" w:type="dxa"/>
            <w:vAlign w:val="bottom"/>
            <w:gridSpan w:val="4"/>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8</w:t>
              </w:r>
            </w:hyperlink>
          </w:p>
        </w:tc>
        <w:tc>
          <w:tcPr>
            <w:tcW w:w="3360" w:type="dxa"/>
            <w:vAlign w:val="bottom"/>
            <w:gridSpan w:val="15"/>
          </w:tcPr>
          <w:p>
            <w:pPr>
              <w:ind w:left="40"/>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Financial Statements and Supplementary Data</w:t>
              </w:r>
            </w:hyperlink>
          </w:p>
        </w:tc>
        <w:tc>
          <w:tcPr>
            <w:tcW w:w="1160" w:type="dxa"/>
            <w:vAlign w:val="bottom"/>
            <w:gridSpan w:val="2"/>
          </w:tcPr>
          <w:p>
            <w:pPr>
              <w:spacing w:after="0"/>
              <w:rPr>
                <w:sz w:val="21"/>
                <w:szCs w:val="21"/>
                <w:color w:val="auto"/>
              </w:rPr>
            </w:pPr>
          </w:p>
        </w:tc>
        <w:tc>
          <w:tcPr>
            <w:tcW w:w="4780" w:type="dxa"/>
            <w:vAlign w:val="bottom"/>
            <w:gridSpan w:val="6"/>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35</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9</w:t>
              </w:r>
            </w:hyperlink>
          </w:p>
        </w:tc>
        <w:tc>
          <w:tcPr>
            <w:tcW w:w="9300" w:type="dxa"/>
            <w:vAlign w:val="bottom"/>
            <w:gridSpan w:val="23"/>
          </w:tcPr>
          <w:p>
            <w:pPr>
              <w:ind w:left="4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Times New Roman" w:cs="Times New Roman" w:eastAsia="Times New Roman" w:hAnsi="Times New Roman"/>
                <w:sz w:val="18"/>
                <w:szCs w:val="18"/>
                <w:color w:val="0000EE"/>
                <w:w w:val="97"/>
              </w:rPr>
            </w:pPr>
            <w:hyperlink w:anchor="page68">
              <w:r>
                <w:rPr>
                  <w:rFonts w:ascii="Times New Roman" w:cs="Times New Roman" w:eastAsia="Times New Roman" w:hAnsi="Times New Roman"/>
                  <w:sz w:val="18"/>
                  <w:szCs w:val="18"/>
                  <w:color w:val="0000EE"/>
                  <w:w w:val="97"/>
                </w:rPr>
                <w:t>9A Controls and Procedures</w:t>
              </w:r>
            </w:hyperlink>
          </w:p>
        </w:tc>
        <w:tc>
          <w:tcPr>
            <w:tcW w:w="4580" w:type="dxa"/>
            <w:vAlign w:val="bottom"/>
            <w:gridSpan w:val="10"/>
          </w:tcPr>
          <w:p>
            <w:pPr>
              <w:spacing w:after="0"/>
              <w:rPr>
                <w:sz w:val="21"/>
                <w:szCs w:val="21"/>
                <w:color w:val="auto"/>
              </w:rPr>
            </w:pPr>
          </w:p>
        </w:tc>
        <w:tc>
          <w:tcPr>
            <w:tcW w:w="2800" w:type="dxa"/>
            <w:vAlign w:val="bottom"/>
            <w:gridSpan w:val="3"/>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9B Other Information</w:t>
              </w:r>
            </w:hyperlink>
          </w:p>
        </w:tc>
        <w:tc>
          <w:tcPr>
            <w:tcW w:w="7380" w:type="dxa"/>
            <w:vAlign w:val="bottom"/>
            <w:gridSpan w:val="13"/>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69</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4320" w:type="dxa"/>
            <w:vAlign w:val="bottom"/>
            <w:gridSpan w:val="17"/>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10 Directors, Executive Officers and Corporate Governance</w:t>
              </w:r>
            </w:hyperlink>
          </w:p>
        </w:tc>
        <w:tc>
          <w:tcPr>
            <w:tcW w:w="5080" w:type="dxa"/>
            <w:vAlign w:val="bottom"/>
            <w:gridSpan w:val="7"/>
          </w:tcPr>
          <w:p>
            <w:pPr>
              <w:spacing w:after="0"/>
              <w:rPr>
                <w:sz w:val="24"/>
                <w:szCs w:val="24"/>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020" w:type="dxa"/>
            <w:vAlign w:val="bottom"/>
            <w:gridSpan w:val="11"/>
          </w:tcPr>
          <w:p>
            <w:pPr>
              <w:spacing w:after="0"/>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11 Executive Compensation</w:t>
              </w:r>
            </w:hyperlink>
          </w:p>
        </w:tc>
        <w:tc>
          <w:tcPr>
            <w:tcW w:w="2300" w:type="dxa"/>
            <w:vAlign w:val="bottom"/>
            <w:gridSpan w:val="6"/>
          </w:tcPr>
          <w:p>
            <w:pPr>
              <w:spacing w:after="0"/>
              <w:rPr>
                <w:sz w:val="21"/>
                <w:szCs w:val="21"/>
                <w:color w:val="auto"/>
              </w:rPr>
            </w:pPr>
          </w:p>
        </w:tc>
        <w:tc>
          <w:tcPr>
            <w:tcW w:w="5080" w:type="dxa"/>
            <w:vAlign w:val="bottom"/>
            <w:gridSpan w:val="7"/>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7520" w:type="dxa"/>
            <w:vAlign w:val="bottom"/>
            <w:gridSpan w:val="22"/>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12 Security Ownership of Certain Beneficial Owners and Management and Related Stockholder Matters</w:t>
              </w:r>
            </w:hyperlink>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13 Certain Relationships and Related Transactions, and Director Independence</w:t>
              </w:r>
            </w:hyperlink>
          </w:p>
        </w:tc>
        <w:tc>
          <w:tcPr>
            <w:tcW w:w="1840" w:type="dxa"/>
            <w:vAlign w:val="bottom"/>
            <w:gridSpan w:val="3"/>
          </w:tcPr>
          <w:p>
            <w:pPr>
              <w:spacing w:after="0"/>
              <w:rPr>
                <w:sz w:val="21"/>
                <w:szCs w:val="21"/>
                <w:color w:val="auto"/>
              </w:rPr>
            </w:pPr>
          </w:p>
        </w:tc>
        <w:tc>
          <w:tcPr>
            <w:tcW w:w="1880" w:type="dxa"/>
            <w:vAlign w:val="bottom"/>
            <w:gridSpan w:val="2"/>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70</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680" w:type="dxa"/>
            <w:vAlign w:val="bottom"/>
            <w:gridSpan w:val="1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14 Principal Accountant Fees and Services</w:t>
              </w:r>
            </w:hyperlink>
          </w:p>
        </w:tc>
        <w:tc>
          <w:tcPr>
            <w:tcW w:w="3720" w:type="dxa"/>
            <w:vAlign w:val="bottom"/>
            <w:gridSpan w:val="5"/>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70</w:t>
              </w:r>
            </w:hyperlink>
          </w:p>
        </w:tc>
      </w:tr>
      <w:tr>
        <w:trPr>
          <w:trHeight w:val="696"/>
        </w:trPr>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635"/>
        </w:trPr>
        <w:tc>
          <w:tcPr>
            <w:tcW w:w="3380" w:type="dxa"/>
            <w:vAlign w:val="bottom"/>
            <w:gridSpan w:val="15"/>
          </w:tcPr>
          <w:p>
            <w:pPr>
              <w:spacing w:after="0"/>
              <w:rPr>
                <w:rFonts w:ascii="Times New Roman" w:cs="Times New Roman" w:eastAsia="Times New Roman" w:hAnsi="Times New Roman"/>
                <w:sz w:val="18"/>
                <w:szCs w:val="18"/>
                <w:color w:val="0000EE"/>
                <w:w w:val="99"/>
              </w:rPr>
            </w:pPr>
            <w:hyperlink w:anchor="page71">
              <w:r>
                <w:rPr>
                  <w:rFonts w:ascii="Times New Roman" w:cs="Times New Roman" w:eastAsia="Times New Roman" w:hAnsi="Times New Roman"/>
                  <w:sz w:val="18"/>
                  <w:szCs w:val="18"/>
                  <w:color w:val="0000EE"/>
                  <w:w w:val="99"/>
                </w:rPr>
                <w:t>15 Exhibits and Financial Statement Schedules</w:t>
              </w:r>
            </w:hyperlink>
          </w:p>
        </w:tc>
        <w:tc>
          <w:tcPr>
            <w:tcW w:w="6020" w:type="dxa"/>
            <w:vAlign w:val="bottom"/>
            <w:gridSpan w:val="9"/>
          </w:tcPr>
          <w:p>
            <w:pPr>
              <w:spacing w:after="0"/>
              <w:rPr>
                <w:sz w:val="24"/>
                <w:szCs w:val="24"/>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70</w:t>
              </w:r>
            </w:hyperlink>
          </w:p>
        </w:tc>
      </w:tr>
      <w:tr>
        <w:trPr>
          <w:trHeight w:val="20"/>
        </w:trPr>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6020" w:type="dxa"/>
            <w:vAlign w:val="bottom"/>
            <w:gridSpan w:val="9"/>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gridSpan w:val="13"/>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Signatures</w:t>
              </w:r>
            </w:hyperlink>
          </w:p>
        </w:tc>
        <w:tc>
          <w:tcPr>
            <w:tcW w:w="6020" w:type="dxa"/>
            <w:vAlign w:val="bottom"/>
            <w:gridSpan w:val="9"/>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71</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60" w:type="dxa"/>
            <w:vAlign w:val="bottom"/>
            <w:gridSpan w:val="1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5"/>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Exhibit Index</w:t>
              </w:r>
            </w:hyperlink>
          </w:p>
        </w:tc>
        <w:tc>
          <w:tcPr>
            <w:tcW w:w="8060" w:type="dxa"/>
            <w:vAlign w:val="bottom"/>
            <w:gridSpan w:val="17"/>
          </w:tcPr>
          <w:p>
            <w:pPr>
              <w:spacing w:after="0"/>
              <w:rPr>
                <w:sz w:val="21"/>
                <w:szCs w:val="21"/>
                <w:color w:val="auto"/>
              </w:rPr>
            </w:pPr>
          </w:p>
        </w:tc>
        <w:tc>
          <w:tcPr>
            <w:tcW w:w="1960" w:type="dxa"/>
            <w:vAlign w:val="bottom"/>
            <w:gridSpan w:val="5"/>
          </w:tcPr>
          <w:p>
            <w:pPr>
              <w:jc w:val="right"/>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72</w:t>
              </w:r>
            </w:hyperlink>
          </w:p>
        </w:tc>
      </w:tr>
      <w:tr>
        <w:trPr>
          <w:trHeight w:val="20"/>
        </w:trPr>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FINANCIAL CONDITION AND RESULTS OF OPERATIONS", contains statements that may constitute forward-looking statements within the meaning of the Private Securities Litigation Reform Act of 1995. All statements other than statements of historical fact are statements that may be deemed forward-looking statements. Forward-looking statements include but are not limited to any projections of revenue, margins, expenses, tax provisions, earnings, cash flows, benefit obligations, share repurchases or other financial items; plans, strategies and objectives of management for future operations; expected developments relating to products or services; labor issues, particularly in Asia; future economic conditions or performance; pending claims or disputes; expectation or belief; and assumptions underlying any of the foregoing.</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forward-looking statements are based upon management's assumptions. While we believe the forward-looking statements made in this report are based upon reasonable assumptions, any assumption is subject to a number of risks and uncertainties. If these risks and uncertainties ever materialize and management's assumptions prove incorrect, our results may differ materially from those expressed or implied by these forward-looking statements and assumptions. Further, any forward-looking statement speaks only as of the date the statement is made. We are not obligated to update forward-looking statements to reflect unanticipated events or circumstances occurring after the date the statement was made. New factors emerge from time to time. It is not possible for management to predict or assess the impact of all factors on the business, or the extent they may cause actual results to differ materially from those contained in any forward-looking statements. Therefore, forward-looking statements should not be relied upon as a prediction of actual future results.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assumptions that are subject to risks and uncertainties include those that are made about macroeconomic and geopolitical trends and events; foreign currency exchange rates; the execution and performance of contracts by customers, suppliers and partners; the challenges of managing asset levels, including inventory; the difficulty of aligning expense levels with revenue changes; the outcome of pending legislation and accounting pronouncements; and other risks described in this report, including those discussed in "ITEM 1A. RISK FACTORS", "ITEM 7. MANAGEMENT'S DISCUSSION AND ANALYSIS OF FINANCIAL CONDITION AND RESULTS OF OPERATIONS" and described in our Securities and Exchange Commission filings subsequent to this report.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of Universal Electronics Inc.</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Universal Electronics Inc. ("UEI") was incorporated under the laws of Delaware in 1986 and began operations in 1987. The principal executive offices are located at 201 E. Sandpointe Avenue, 8th Floor, Santa Ana, California 92707. As used herein, the terms "we", "us" and "our" refer to UEI and its subsidiaries unless the context indicates to the contrary.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UEI may be obtained at www.uei.com. Our website address is not intended to function as a hyperlink and the information available at our website address is not incorporated by reference into this Annual Report on Form 10-K. We make our periodic and current reports, together with amendments to these reports, available on our website, free of charge, as soon as reasonably practicable after such material is electronically filed with, or furnished to, the U.S. Securities and Exchange Commission ("SEC"). The SEC maintains a website at www.sec.gov that contains the reports, proxy and other information that we file electronically with the SEC.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Universal Electronics Inc. develops control technology solutions and manufactures a broad line of pre-programmed universal remote control products, embedded hardware and software, and audio-video ("AV") accessories that enhance and simplify the home entertainment experience. Our offerings include the following:</w:t>
      </w:r>
    </w:p>
    <w:p>
      <w:pPr>
        <w:spacing w:after="0" w:line="14" w:lineRule="exact"/>
        <w:rPr>
          <w:sz w:val="20"/>
          <w:szCs w:val="20"/>
          <w:color w:val="auto"/>
        </w:rPr>
      </w:pPr>
    </w:p>
    <w:p>
      <w:pPr>
        <w:ind w:left="980" w:hanging="324"/>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easy-to-use, pre-programmed universal infrared ("IR") and radio frequency ("RF") remote controls that are sold primarily to subscription broadcasting providers (cable, satellite and IPTV), original equipment manufacturers ("OEMs"), retailers, and private label customers;</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circuits, on which our software and universal device control database is embedded, sold primarily to OEMs, subscription broadcasting providers, and private label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6" w:lineRule="exact"/>
        <w:rPr>
          <w:sz w:val="20"/>
          <w:szCs w:val="20"/>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firmware and technology solutions that can enable devices such as TVs, set-top boxes, stereos, smart phones, tablets, gaming controllers and other consumer electronic devices to wirelessly connect and interact with home networks and interactive services to control and deliver digital entertainment and information;</w:t>
      </w:r>
    </w:p>
    <w:p>
      <w:pPr>
        <w:spacing w:after="0" w:line="14"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which we license primarily to OEMs, software development companies, private label customers, and subscription broadcasting providers;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accessories sold, directly and indirectly, to consumers.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comprised of one reportable segment.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Products and Markets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markets are the subscription broadcast and consumer electronics markets where our customers include subscription broadcasters, OEMs, international retailers, private labels and companies in the computing industry.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subscription broadcasting providers, both domestically and internationally, with our universal remote control devices and integrated circuits, on which our software and device code database library is embedded. We also sell our universal remote control devices and integrated circuits, on which our software and device code database library is embedded, to OEMs that manufacture AV devices including digital set-top boxes, computers and gaming consoles.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place significant emphasis on expanding our sales and marketing efforts to subscription broadcasters and OEMs in Asia, Latin America and Europe. Owning and operating our own factories in the People's Republic of China ("PRC") has enhanced our ability to compete in the OEM and subscription broadcasting markets, particularly in Asia. In addition, in 2010 we opened a subsidiary in Brazil, which has allowed us to increase our reach and better compete in the Latin American subscription broadcast market. We plan to continue to add new sales and administrative personnel to support anticipated sales growth in these markets over the next few years.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pursue further penetration of the more traditional OEM consumer electronics markets as well as newer product categories in the mobile electronics markets such as smart phones, tablets and other mobile smart devices. Customers in these markets integrate our products and technology into their products to simplify and expand the universal control capabilities of home entertainment ecosystems. Growth in these markets has been driven by the increasing complexity of home entertainment, emerging digital technology, multimedia and interactive internet applications, and the increasing proliferation of connected smart devices offered by OEMs.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2014, 2013, and 2012, our sales to DIRECTV and its sub-contractors collectively accounted for 10.4%, 15.6%, and 16.9% of our net sales, respectively.</w:t>
      </w:r>
    </w:p>
    <w:p>
      <w:pPr>
        <w:spacing w:after="0" w:line="10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 remote controls and accessories sold within the international retail markets accounted for 9.2%, 9.4%, and 10.3% of our total net sales for the years ended December 31, 2014, 2013, and 2012, respectively.</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information relating to our international operations for the years ended December 31, 2014, 2013, and 2012 is included in "ITEM 8. FINANCIAL STATEMENTS AND SUPPLEMENTARY DATA-Notes to Consolidated Financial Statements-Note 15".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Intellectual Property and Technology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hold a number of patents in the United States and abroad related to our products and technology, and have filed domestic and foreign applications for other patents that are pending. At the end of 2014 we had 316 issued and pending United States patents as well as hundreds of foreign counterpart patents and applications in various territories around the world.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patents have remaining lives ranging from approximately one to eighteen years. We have also obtained copyright registration and claim copyright protection for certain proprietary software and libraries of IR codes. Additionally, the names of many of our products are registered, or are being registered, as trademarks in the United States Patent and Trademark Office and in most of the other countries in which such products are sold. These registrations are valid for terms ranging up to 20 years and may be renewed as long as the trademarks continue to be used and are deemed by management to be important to our operations. While we follow the practice of obtaining patent, copyright and trademark registrations on new developments whenever advisable, in certain cases we have elected common law trade secret protection in lieu of obtaining such other protection.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factor in creating products and software for control of entertainment devices is the device control code database. Since our beginning in 1986, we have compiled an extensive device control code database library that covers over 863,000 individual device functions and approximately 6,900 individual consumer electronic equipment brand names. Our library is regularly updated with device control codes used in newly introduced AV devices. These control codes are captured directly from the remote control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devices or the manufacturer's written specifications to ensure the accuracy and integrity of the database. Our universal remote control database is capable of controlling virtually all IR controlled set-top boxes, televisions, audio components, DVD players, Blu-Ray players, and CD players, as well as most other remote controlled home entertainment devices and home automation control modules worldwide. In 2012, we extended our device control code database to include wired (CEC) and wireless (IP) control protocols commonly found on many of the latest HDMI and internet connected devices. Our proprietary software and know-how permit us to offer a device control code database that is more robust and efficient than similarly priced products of our competitors.</w:t>
      </w:r>
    </w:p>
    <w:p>
      <w:pPr>
        <w:spacing w:after="0" w:line="1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goal is to provide universal entertainment control solutions that require minimal or no user set-up and deliver consistent and intuitive one-touch control of all connected content sources. QuickSet® is a software application that is currently embedded in millions of devices globally. QuickSet may be embedded in an AV device, set-top box, or other host device to enable universal remote control. QuickSet enables universal remote control set-up using automated and guided on-screen instructions and a wireless two-way communication link between the remote and the QuickSet embedded device. The two-way connection allows device control code data and configuration settings to be sent to the remote control from the device and greatly simplifies the universal remote control set-up process and can enable other time saving features. QuickSet utilizes data transmitted over HDMI or IP networks to automatically detect a connected device and then determine and download the correct codes into the remote control without the need for the user to enter any additional information. The user does not need to know the brand or model number to set up the device in the remote. Any compatible new device that is connected is recognized. Consumers can quickly and easily set up their remotes to control multiple devices. Recently added features in QuickSet address common consumer challenges in universal device control, such as mode confusion and input switching. With QuickSet consumers switch easily between activities and reliably view their chosen content source with a single touch. QuickSet handles the device-specific control requirements. Licensees of QuickSet include service providers such as DIRECTV and Echostar Technologies and leading game console manufacturer Microsoft on their Xbox One game system.</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Smart devices are becoming a more prevalent part of the home entertainment experience, and UEI offers several solutions to enable entertainment device control with a smart phone, tablet or smart TV. In its smart device control solutions, UEI offers all of the elements needed for device control from the micro IR blaster chip to the IR database to the user interface for the touchscreen. Nevo is a UEI-designed and developed universal control application designed for Android and iOS tablets and smart phones that UEI has released and that is currently available for download at Google Play and the Apple App Store. Smart devices that license UEI's solutions include Samsung smart TV's, tablets and Galaxy smartphones, as well as LG smartphones.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of Distribution</w:t>
      </w:r>
    </w:p>
    <w:p>
      <w:pPr>
        <w:spacing w:after="0" w:line="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 xml:space="preserve">Our distribution methods for our remote control devices are dependent on the sales channel. We distribute remote control devices and AV accessories directly to subscription broadcasters and OEMs, both domestically and internationally. Outside of North America, we sell our wireless control devices and AV accessories under the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private label brand names to retailers through our international subsidiaries. We utilize third-party distributors for the retail channel in countries where we do not have subsidiaries.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 broad portfolio of patented technologies and the industry's leading database of device control codes. We ship integrated circuits, on which our software and control code database are embedded, directly to manufacturers for inclusion in their products. In addition, we license our software and technology to manufacturers. Licenses are delivered upon the transfer of a product master or on a per unit basis when the software or technology is used in a customer device.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provide domestic and international consumer support to our various universal remote control marketers, including manufacturers, cable and satellite providers, retail distributors, and audio and video OEMs through our live and automated call centers. We also make available a web-based support resource, www.urcsupport.com, designed specifically for subscription broadcasters. This solution offers videos and online tools to help users easily set up their universal remote, and as a result reduce call volume at customer support centers. Additionally, the UEI Technical Support Services call center provides customer interaction management services from service and support to retention. Services include pre-repair calls, post-install surveys, and inbound calls for cable customers to provide greater bottom-line efficiencies.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4" w:right="2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twenty-two international subsidiaries are the following:</w:t>
      </w:r>
    </w:p>
    <w:p>
      <w:pPr>
        <w:spacing w:after="0" w:line="63"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Asia Ltd., established in the British Virgin Islands;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Development Ltd., established in Hong Kong;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Group Ltd., established in the British Virgin Islands;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Timepiece Ltd., established in Hong Kong;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Enson Assets Ltd., established in the British Virgin Islands;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Polyfirst Ltd., established in Hong Kong;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Technology (China) Co. Ltd., established in the PRC;</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Technology (Qinzhou) Co. Ltd., established in the PRC;</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Gemstar Technology (Yangzhou) Co. Ltd., established in the PRC;</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Argentina S.R.L., established in Argentina;</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France S.A.S., established in France;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GmbH, established in Germany;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Iberia S.L., established in Spain;</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For All UK Ltd., established in the United Kingdom;</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 Singapore Pte. Ltd., established in Singapore;</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Brasil Controles Remotos Ltda., established in Brazil;</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Cayman Inc., established in the Cayman Islands;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Electronics Pte. Ltd., established in India;</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UEI Hong Kong Pte. Ltd. established in Hong Kong;</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B.V., established in the Netherlands;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Italia S.R.L. established in Italy;</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Electronics Trading Co. Ltd., established in the PRC.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Dependence on Suppliers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our own manufacturing plants and third-party manufacturers and suppliers primarily located within the PRC to produce our remote control products. In 2014, Maxim Integrated Products International Limited provided 10.7% of our total inventory purchases. In 2013 and 2012, no single supplier provided more than 10% of our total inventory purchases.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though we operate three factories in the PRC and one assembly plant in Brazil, we continue to evaluate additional contract manufacturers and sources of supply. During 2014, we utilized multiple contract manufacturers and maintained duplicate tooling for certain of our products. Where possible we utilize standard parts and components, which are available from multiple sources. We continually seek additional sources to reduce our dependence on our integrated circuit suppliers. To further manage our integrated circuit supplier dependence, we include flash microcontroller technology in most of our products. Flash microcontrollers can have shorter lead times than standard microcontrollers and may be reprogrammed, if necessary. This allows us flexibility during any unforeseen shipping delays and has the added benefit of potentially reducing excess and obsolete inventory exposure. This diversification lessens our dependence on any one supplier and allows us to negotiate more favorable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our business has been influenced by the retail sales cycle, with increased sales in the second half of the year. We expect this pattern to be repeated during 2015.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21" for further details regarding our quarterly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competitors in the subscription broadcasting market are Remote Solutions, Home Control Singapore PTE, Ltd. (formerly Philips Consumer Electronics), SMK, and Universal Remote Control. In the international retail and private label markets for wireless controls we compete with Logitech, Home Control Singapore PTE, Ltd., Ruwido and Sony, as well as various manufacturers of wireless controls in Asia. Our primary competitors in the OEM market are the original equipment manufacturers themselves and wireless control manufacturers in Asia. We compete in our markets on the basis of product quality, features, price, intellectual property and customer support. We believe that we will need to continue to introduce new and innovative products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software solutions to remain competitive and to recruit and retain competent personnel to successfully accomplish our future objectives.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Research and Development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2014, our engineering efforts focused on the following:</w:t>
      </w:r>
    </w:p>
    <w:p>
      <w:pPr>
        <w:spacing w:after="0" w:line="63"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broadening our product portfolio;</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embedded software solutions designed to simplify set-up and control features;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existing products and technologies to improve features and lower costs;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measures to protect our proprietary technology and general know-how;</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control solutions software;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our library of device codes to include codes for new features and devices introduced worldwide.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2014, our advanced engineering efforts focused on further developing our existing products, services and technologies. We released software updates to our embedded QuickSet application, and we continued development projects for emerging RF technologies, such as RF4CE, Bluetooth, Bluetooth Smart and Wi-Fi Direct. Additionally, we released several new products in our subscription broadcast, OEM and consumer retail channels during 2014.</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personnel are involved with various industry organizations and bodies, which are in the process of setting standards for IR, RF, power line, telephone and cable communications and networking in the home. Because of the nature of research and development activities, there can be no assurance that any of our research and development projects will be successfully completed or ultimately achieve commercial success.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expenditures on engineering, research and development were: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Engineering </w:t>
            </w:r>
            <w:r>
              <w:rPr>
                <w:rFonts w:ascii="Times New Roman" w:cs="Times New Roman" w:eastAsia="Times New Roman" w:hAnsi="Times New Roman"/>
                <w:sz w:val="25"/>
                <w:szCs w:val="25"/>
                <w:color w:val="auto"/>
                <w:vertAlign w:val="superscript"/>
              </w:rPr>
              <w:t>(1)</w:t>
            </w: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8.6</w:t>
            </w: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engineering, research and development</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 xml:space="preserve">  Engineering costs are included in SG&amp;A.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manufacture and distribution of chemical substances and laws restricting the presence of certain substances in electronics products. We may incur substantial costs, including cleanup costs, fines and civil or criminal sanctions, third-party damages or personal injury claims, if we were to violate or become liable under environmental laws or if our products become non-compliant with environmental laws. We also face increasing complexity in our product design and procurement operations as we adjust to new and future requirements relating to the materials composition of our products.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also face significant costs and liabilities in connection with product take-back legislation. The European Union enacted the Waste Electrical and Electronic Equipment Directive ("WEEE"), which makes producers of electrical goods financially responsible for specified collection, recycling, treatment and disposal of past and future covered products. Our European subsidiaries are WEEE compliant. Similar legislation has been or may be enacted in other jurisdictions, including in the United States, Canada, Mexico, PRC and Japan.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we have materially complied with all currently existing international and domestic federal, state and local statutes and regulations regarding environmental standards and occupational safety and health matters to which we are subject. During the years ended December 31, 2014, 2013 and 2012, the amounts incurred in complying with federal, state and local statutes and regulations pertaining to environmental standards and occupational safety and health laws and regulations did not materially affect our earnings or financial condition. However, future events, such as changes in existing laws and regulations or enforcement policies, may give rise to additional compliance costs that may have a material adverse effect upon our capital expenditures, earnings or financial condition.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2014, we employed 1,988 employees, of which 448 worked in engineering and research and development, 85 in sales and marketing, 88 in consumer service and support, 1,135 in operations and warehousing and 232 in executive and administrative functions. In addition, our factories in the PRC and our Asian operations employed an additional 7,105 staff contracted through agency agreements.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unions represent approximately 10.7% of our 1,988 employees. These unionized workers, employed within Manaus, Brazil, are represented under contract with the Sindicato dos Trabalhadores nas Industrias Metalugicas, Mecanicas e de Materiais Eletricos de Manaus. Our business units are subject to various laws and regulations relating to their relationships with their employees. These laws and regulations are specific to the location of each business unit. We believe that our relationships with employees and their representative organizations are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relating to our international operations for the years ended December 31, 2014, 2013 and 2012 is incorporated by reference to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 Notes to Consolidated Financial Statements — Note 15".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r>
        <w:rPr>
          <w:rFonts w:ascii="Times New Roman" w:cs="Times New Roman" w:eastAsia="Times New Roman" w:hAnsi="Times New Roman"/>
          <w:sz w:val="25"/>
          <w:szCs w:val="25"/>
          <w:color w:val="auto"/>
          <w:vertAlign w:val="superscript"/>
        </w:rPr>
        <w:t>(1)</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executive officers on March 5, 2015: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7760" w:type="dxa"/>
            <w:vAlign w:val="bottom"/>
            <w:tcBorders>
              <w:bottom w:val="single" w:sz="8" w:color="auto"/>
            </w:tcBorders>
          </w:tcPr>
          <w:p>
            <w:pPr>
              <w:ind w:left="36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9"/>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Paul D. Arling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J.M. Bennett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Managing Director, Europe</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Chong</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Asia</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Louis S. Hughes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Americas</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 S. Kopaskie</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Executive Vice President, General Manager U.S. Operations</w:t>
            </w:r>
          </w:p>
        </w:tc>
      </w:tr>
      <w:tr>
        <w:trPr>
          <w:trHeight w:val="243"/>
        </w:trPr>
        <w:tc>
          <w:tcPr>
            <w:tcW w:w="2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Richard A. Firehammer, Jr.</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Bryan M. Hackworth</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7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40" w:hanging="235"/>
        <w:spacing w:after="0"/>
        <w:tabs>
          <w:tab w:leader="none" w:pos="5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Included pursuant to Instruction 3 to Item 401(b) of Regulation S-K.</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Paul D. Arling </w:t>
      </w:r>
      <w:r>
        <w:rPr>
          <w:rFonts w:ascii="Times New Roman" w:cs="Times New Roman" w:eastAsia="Times New Roman" w:hAnsi="Times New Roman"/>
          <w:sz w:val="18"/>
          <w:szCs w:val="18"/>
          <w:color w:val="auto"/>
        </w:rPr>
        <w:t>is our Chairman and Chief Executive Officer. He joined us in May 1996 as Chief Financial Officer and was named to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August 1996. He was appointed President and COO in September 1998, was promoted to Chief Executive Officer in October 2000 and appointed as Chairman in July 2001. At the 2014 Annual Meeting of Stockholders, Mr. Arling was re-elected as our Chairman to serve until the 2015 Annual Meeting of Stockholders. From 1993 through May 1996, he served in various capacities at LESCO, Inc. (a manufacturer and distributor of professional turf care products). Prior to LESCO, he worked for Imperial Wall coverings (a manufacturer and distributor of wall covering products) as Director of Planning, and The Michael Allen Company (a strategic management consulting company) where he was employed as a management consultant.</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Paul J.M. Bennett </w:t>
      </w:r>
      <w:r>
        <w:rPr>
          <w:rFonts w:ascii="Times New Roman" w:cs="Times New Roman" w:eastAsia="Times New Roman" w:hAnsi="Times New Roman"/>
          <w:sz w:val="18"/>
          <w:szCs w:val="18"/>
          <w:color w:val="auto"/>
        </w:rPr>
        <w:t>is our Executive Vice President and Managing Director, Europe. He was our Managing Director and Senior Vice President,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Europe from July 1996 to December 2006. He was promoted to his current position in December 2006. Prior to joining us, he held various positions at Philips Consumer Electronics over a seven year period, first as Product Marketing Manager for the Accessories Product Group, initially set up to support Philips' Audio division, and then as head of that division.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David Chong </w:t>
      </w:r>
      <w:r>
        <w:rPr>
          <w:rFonts w:ascii="Times New Roman" w:cs="Times New Roman" w:eastAsia="Times New Roman" w:hAnsi="Times New Roman"/>
          <w:sz w:val="18"/>
          <w:szCs w:val="18"/>
          <w:color w:val="auto"/>
        </w:rPr>
        <w:t>is our Executive Vice President, Asia. He is responsible for general management of our Asia region and Global Operations. Mr. Chong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in January 2009 as Senior Vice President of Global OEM. Prior to joining us, Mr. Chong served as Senior Vice President at Philips Consumer Electronics Division, as the Chief Marketing Officer of the business group Philips Display (Philips TV and Computer Monitor business). At Philips Display, he led the re-engineering of the Product Creation, Marketing and Sales Organization to compete successfully in the LCD TV space. Prior to this, he also served as Vice President and General Manager of the Audio Video Business in Asia, Vice President and Global Business Line Manager for Audio and various senior management positions at Philips' CE Division. Mr. Chong started at Philips Research Lab in 1984 as a research scientist working in the area of VLSI design methodologies. He also served as Managing Director for Asia at InVue Security Product before joining us at the present position. Mr. Chong had his senior education in The United Kingdom, holding a B.S. in Electrical and Electronics Engineering with High Honors from University of Nottingham.</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4" w:right="2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Louis S. Hughes </w:t>
      </w:r>
      <w:r>
        <w:rPr>
          <w:rFonts w:ascii="Times New Roman" w:cs="Times New Roman" w:eastAsia="Times New Roman" w:hAnsi="Times New Roman"/>
          <w:sz w:val="18"/>
          <w:szCs w:val="18"/>
          <w:color w:val="auto"/>
        </w:rPr>
        <w:t>is our Executive Vice President, Americas. He joined us in 2004 as General Manager of Simple Devices as part of our acquisition of Simples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Inc. in that same year. From 2008 to 2011, he was our Vice President Corporate Development. From 2011 to 2014, he was our Senior Vice President</w:t>
      </w:r>
    </w:p>
    <w:p>
      <w:pPr>
        <w:spacing w:after="0" w:line="1" w:lineRule="exact"/>
        <w:rPr>
          <w:sz w:val="20"/>
          <w:szCs w:val="20"/>
          <w:color w:val="auto"/>
        </w:rPr>
      </w:pPr>
    </w:p>
    <w:p>
      <w:pPr>
        <w:jc w:val="both"/>
        <w:ind w:firstLine="8"/>
        <w:spacing w:after="0" w:line="255" w:lineRule="auto"/>
        <w:tabs>
          <w:tab w:leader="none" w:pos="1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and was promoted to his current position in 2015. Prior to joining us, Mr. Hughes co-founded SimpleDevices, Inc. (a company that pioneered local area network digital media distribution to a wide variety of consumer electronics devices) and Supplybase (a company that provided enterprise wide, web-based supply chain management systems and information). He also held various positions with General Electric Company over a ten year period.</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 S. Kopaskie </w:t>
      </w:r>
      <w:r>
        <w:rPr>
          <w:rFonts w:ascii="Times New Roman" w:cs="Times New Roman" w:eastAsia="Times New Roman" w:hAnsi="Times New Roman"/>
          <w:sz w:val="18"/>
          <w:szCs w:val="18"/>
          <w:color w:val="auto"/>
        </w:rPr>
        <w:t>is our Executive Vice President and General Manager, U.S. Operations. He rejoined us in September 2006 as our Senior Vice President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Manager, U.S. Operations and was promoted to his current position in December 2006. He was our Executive Vice President and Chief Operating Officer from 1995 to 1997. From 2003 until November 2005, Mr. Kopaskie was President and Chief Executive Officer of Packaging Advantage Corporation (PAC), a personal care and household products manufacturer, which was acquired by Marietta Corporation in November 2005. Following the acquisition, he served as Senior Vice President, Business Development for Marietta Corporation. From 1997 to 2003, he held senior management positions at Birdair Inc., a world leader in the engineering, manufacturing, and construction of tensioned membrane structures, and OK International, a manufacturer and marketer of fluid dispensing equipment, solder and de-solder systems, and wire wrap products. Prior to joining us in 1995, Mr. Kopaskie was Senior Vice President of Operations at Mr. Coffee Inc.</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Richard A. Firehammer, Jr., Esq. </w:t>
      </w:r>
      <w:r>
        <w:rPr>
          <w:rFonts w:ascii="Times New Roman" w:cs="Times New Roman" w:eastAsia="Times New Roman" w:hAnsi="Times New Roman"/>
          <w:sz w:val="18"/>
          <w:szCs w:val="18"/>
          <w:color w:val="auto"/>
        </w:rPr>
        <w:t>has been our Senior Vice President since February 1999. He has been our General Counsel since October 1993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since February 1994. He was our Vice President from May 1997 until August 1998. He was outside counsel to us from September 1998 until being rehired in February 1999. From November 1992 to September 1993, he was associated with the Chicago, Illinois law firm, Shefsky &amp; Froelich, Ltd. From 1987 to 1992, he was with the law firm, Vedder, Price, Kaufman &amp; Kammholz in Chicago, Illinois.</w:t>
      </w:r>
    </w:p>
    <w:p>
      <w:pPr>
        <w:spacing w:after="0" w:line="1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Bryan M. Hackworth </w:t>
      </w:r>
      <w:r>
        <w:rPr>
          <w:rFonts w:ascii="Times New Roman" w:cs="Times New Roman" w:eastAsia="Times New Roman" w:hAnsi="Times New Roman"/>
          <w:sz w:val="18"/>
          <w:szCs w:val="18"/>
          <w:color w:val="auto"/>
        </w:rPr>
        <w:t>is our Senior Vice President and Chief Financial Officer. He was promoted to Chief Financial Officer in August 2006. Mr. Hackworth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joined us in June 2004 as Corporate Controller and subsequently assumed the role of Chief Accounting Officer in May 2006. Before joining us in 2004, he spent five years at Mars, Inc., a privately held international manufacturer and distributor of consumer products and served in several financial and strategic roles (Controller — Ice Cream Division; Strategic Planning Manager for the WHISKAS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and various other financial management positions. Prior to joining Mars Inc., Mr. Hackworth spent six years at Deloitte &amp; Touche LLP as an auditor, specializing in the manufacturing and retail industries.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We face a variety of risks that may affect our business, financial condition, operating results, the trading price of our common stock, or any combination thereof. The following information and the other information in this Form 10-K and in our other filings with the SEC, including subsequent reports on Forms 10-Q and 8-K, should be carefully considered in evaluating our business and prospects and before making an investment decision with respect to our common stock. If any of these risks were to occur, our business, financial condition, results of operations or prospects may be materially and adversely affected. In such an event, the market price of our common stock may decline and you may lose all or part of your investment. The risks and uncertainties we describe below are not the only ones facing us. Additional risks not presently known to us or that we currently deem immaterial may also affect our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Doing Business in the PRC</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manufacture a majority of our products in our factories in the PRC. Additionally, many of our contract manufacturers are located in the PRC. Doing business in the PRC carries a number of risks including the following:</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Changes in the policies of the PRC government may have a significant impact upon the business we may be able to conduct in the PRC and the profitability of such business.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operations may be adversely affected by the current and future political environment in the PRC. The government of the PRC has exercised and continues to exercise substantial control over virtually every sector of the Chinese economy, through regulation and state ownership. Our ability to operate in the PRC may be adversely affected by changes in Chinese laws and regulations, including those relating to taxation, labor and social insurance, import and export tariffs, raw materials, environmental regulations, land use rights, property and other matters.</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PRC laws and regulations governing our current business operations are sometimes vague and uncertain. Any changes in such PRC laws and regulations may harm our business.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including but not limited to the laws and regulations governing our business, or the enforcement and performance of our arrangements with customers in the event of the imposition of statutory liens, death, bankruptcy and criminal proceedings. We cannot predict what effect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4" w:right="2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interpretation of existing or new PRC laws or regulations may have on our business. If the relevant authorities find that we are in violation of PRC laws or regulations, they would have broad discretion in dealing with such a violation, including, without limitation:</w:t>
      </w:r>
    </w:p>
    <w:p>
      <w:pPr>
        <w:spacing w:after="0" w:line="2"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levying fines;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our business and other licenses;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we restructure our ownership or operations;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we discontinue any portion or all of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fluctuation of the Chinese Yuan Renminbi may harm your investment.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Chinese monetary policy, the Chinese Yuan Renminbi is permitted to fluctuate within a managed band against a basket of certain foreign currencies. This policy, which was initiated during 2005, has resulted in a 30.8% appreciation of the Chinese Yuan Renminbi against the U.S. Dollar through December 31, 2014. While the international reaction to the Chinese Yuan Renminbi revaluation has been positive, there remains international pressure on the PRC government to adopt an even more flexible currency policy, which may result in a further and more significant appreciation of the Chinese Yuan Renminbi against the U.S. Dollar.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PRC's legal and judicial system may not adequately protect our business and operations and the rights of foreign investors.</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PRC legal and judicial system may negatively impact foreign investors, with enforcement of existing laws inconsistent. In addition, the promulgation of new laws, changes to existing laws and the pre-emption of local regulations by national laws may adversely affect foreign investors.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Availability of adequate workforce levels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Presently, the vast majority of workers at our PRC factories are obtained from third-party employment agencies. As the labor laws, social insurance and wage levels continue to mature and grow and the workers become more sophisticated, our costs to employ these and other workers in the PRC may grow beyond that anticipated by management. In addition, as the PRC market continues to open up and grow, with the advent of more companies opening plants and businesses in the PRC, we may experience an increase in competition for the same workers, resulting in either an inability to attract and retain an adequate number of qualified workers or an increase in our employment costs to obtain and retain these workers.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in the PRC</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our global business grows, we may decide to expand in China to meet demand. This would be dependent on our ability to locate suitable facilities to support this expansion, to obtain the necessary permits and funding, to attract and retain adequate levels of qualified workers, and to enter into a long term land lease that is common in the PRC.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of Conducting Business Internationally</w:t>
      </w:r>
    </w:p>
    <w:p>
      <w:pPr>
        <w:spacing w:after="0" w:line="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Risks of doing business internationally may adversely affect our sales, operations, earnings and cash flows due to a variety of factors, including, but not limited to:</w:t>
      </w:r>
    </w:p>
    <w:p>
      <w:pPr>
        <w:spacing w:after="0" w:line="2" w:lineRule="exact"/>
        <w:rPr>
          <w:sz w:val="20"/>
          <w:szCs w:val="20"/>
          <w:color w:val="auto"/>
        </w:rPr>
      </w:pPr>
    </w:p>
    <w:p>
      <w:pPr>
        <w:ind w:left="980" w:hanging="324"/>
        <w:spacing w:after="0" w:line="28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country or region's economic or political conditions, including inflation, recession, interest rate fluctuations, forced political actions or elections, coops, and actual or anticipated military conflicts;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called "Acts of God", such as hurricanes, earthquakes, tsunamis, and other natural disasters, man-made disasters, and the spread of contagious diseases, in locations where we own, manage or operate our business;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affecting gross margins, particularly in the Argentinian Peso, Brazilian Real, British Pound, Chinese Yuan Renminbi, Euro, Indian Rupee, and Singapore Dollar;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cycles and financial instability among customers;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regulations and procedures and actions affecting production, pricing and marketing of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labor conditions, customs, and regulations;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stoppages or pressures to increase wages and employee benefits brought about by the union representing our labor force in Manaus, Brazil;</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or legal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protect and enforce our intellectual property rights;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 or customer requirements;</w:t>
      </w:r>
    </w:p>
    <w:p>
      <w:pPr>
        <w:spacing w:after="0" w:line="6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export or other business licensing requirements or requirements related to making foreign direct investments, which may affect our ability to obtain favorable terms for components or lead to penalties or restrictions;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4" w:right="239" w:bottom="1440" w:gutter="0" w:footer="0" w:header="0"/>
        </w:sectPr>
      </w:pPr>
    </w:p>
    <w:bookmarkStart w:id="11" w:name="page12"/>
    <w:bookmarkEnd w:id="1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repatriating cash generated or held abroad in a tax-efficient manner and changes in tax laws;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costs and disruptions at important geographic points of exit and entry.</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Risks and Uncertainties Associated with Our Expansion Into and Our Operations in Asia, Europe, Mexico, South America and Other Foreign Markets May Adversely Affect Our Results of Operations, Cash Flow, Liquidity or Financial Condition</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external sales of our consolidated foreign subsidiaries totaled approximately 55.2%, 53.0% and 54.5% of our total consolidated net sales in 2014, 2013 and 2012, respectively. We expect that the international share of our total revenues will continue to make up a significant part of our current business and future strategic plans. As a result, we are increasingly exposed to the challenges and risks of doing business outside the United States, which could reduce our revenues or profits, increase our costs, result in significant liabilities or sanctions, or otherwise disrupt our business. These challenges include: (1) compliance with complex and changing laws, regulations and policies of governments that may impact our operations, such as foreign ownership restrictions, import and export controls, and trade restrictions; (2) compliance with U.S. and foreign laws that affect the activities of companies abroad, such as anti-corruption laws, competition laws, currency regulations, and laws affecting dealings with certain nations; (3) limitations on our ability to repatriate non-U.S. earnings in a tax 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in the Middle East and elsewhere, acts of terrorism, or the threat of international boycotts or U.S. anti-boycott legislation; and (7) currency exchange rate fluctuations.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many foreign countries, it is acceptable to engage in certain business practices that we are prohibited from engaging in because of regulations that are applicable to us, such as the Foreign Corrupt Practices Act and the UK Bribery Act. Although we have internal control policies and procedures designed to ensure compliance with these regulations, there can be no assurance that our policies and procedures will prevent a violation of these regulations. Any violation may cause an adverse effect on our results of operations, cash flow or financial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Fluctuations in Foreign Currency Exchange Rates May Adversely Affect Our Results of Operations, Cash Flow, Liquidity or Financial Condition.</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international operations, we are exposed to risk associated with interest rates and value changes in foreign currencies, which may adversely affect our business. Historically, our reported net sales, earnings, cash flow and financial condition have been subjected to fluctuations in foreign exchange rates. Our primary exchange rate exposure is in the Argentinian Peso, Brazilian Real, British Pound, Chinese Yuan Renminbi, Euro, Hong Kong Dollar, Indian Rupee, and Singapore Dollar. While we actively manage the exposure of our foreign currency risk as part of our overall financial risk management policy, we believe we may experience losses from foreign currency exchange rate fluctuations, and such losses may adversely affect our sales, earnings, cash flow, liquidity or financial condition.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Disruption of Our Supply Chain May Have an Adverse Effect on Our Business, Financial Condition and Results of Operations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including manufacturing or distribution capabilities, and that of our suppliers, business partners and contract manufacturers, to make, move and sell products is critical to our success. Damage or disruption to our or their manufacturing or distribution capabilities due to weather, natural disaster, fire or explosion, terrorism, pandemics, strikes, or other reasons, may impair our ability to manufacture or sell our products. Failure to take adequate steps to mitigate the likelihood or potential impact of such events, or to effectively manage such events if they occur, may adversely affect our business, financial condition and results of operations, as well as require additional resources to restore our supply chain.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Foreign Manufacturing</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own and operate factories in the PRC, third-party manufacturers located in the PRC continue to manufacture a portion of our products. Our arrangements with these foreign manufacturers are subject to the risks of doing business abroad, such as tariffs, environmental and trade restrictions, intellectual property protection and enforcement, export license requirements, work stoppages, political and social instability, economic and labor conditions, foreign currency exchange rate fluctuations, changes in laws and policies (including fiscal policies), and other factors, which may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may adversely affect our business, operating results, financial condition and cash flows until alternative manufacturing arrangements are secured.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Key Suppliers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components used in our products are available from multiple sources. However, we purchase integrated circuits, used principally in our wireless control products, from a small number of key suppliers. To reduce our dependence on our integrated circuit suppliers we continually seek additional sources. We maintain inventories of our integrated circuits, which may be used in part to mitigate, but not eliminate, delays resulting from supply interruptions.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alternative sources of supply for our integrated circuit, component parts, and finished goods needs; however, there can be no assurance that we will be able to continue to obtain these inventory purchases on a timely basis. Any extended interruption, shortage or termination in the supply of any of the components used in our products, or a reduction in their quality or reliability, or a significant increase in prices of components, would have an adverse effect on our operating results, financial position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Patents, Trademarks, and Copyrights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Because of the rapid innovation of products and technologies that is characteristic of our industry, there can be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United States legal system may offer.</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our intellectual property holdings as well as our engineering, production, and marketing skills and the experience of our personnel are of equal importance to our market position. We further believe that our business is not materially dependent upon any single patent, copyright, trademark, or trade secret.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may be obtained on commercially reasonable terms; however, there can be no guarantee that such licenses may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for Litigation</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Technology Changes in Wireless Control</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derive substantial revenue from the sale of wireless remote controls based on IR and RF and other technologies. Other control technologies exist or may be developed that may compete with this technology. In addition, we develop and maintain our own database of IR and RF codes. There are competing IR and RF libraries offered by companies that we compete with in the marketplace. The advantage that we may have compared to our competitors is difficult to measure. In addition, if other wireless control technology gains acceptance and starts to be integrated into home electronics devices currently controlled through our remote controllers, demand for our products may decrease, resulting in decreased operating results, financial condition,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Technology Development Activities May Experience Delays.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experience technical, financial, resource or other difficulties or delays related to the further development of our technologies. Delays may have adverse financial effects and may allow competitors with comparable technology offerings to gain an advantage over us in the marketplace or in the standards setting arena. There can be no assurance that we will continue to have adequate staffing or that our development efforts will ultimately be successful. Moreover, certain of our technologies have not been fully tested in commercial use, and it is possible that they may not perform as expected. In such cases, our business, financial condition and operating results may be adversely affected, and our ability to secure new licensees and other business opportunities may be diminished.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 in Competition and Pricing</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with having our own factories located in the PRC, we will continue to rely on third-party manufacturers to build a portion of our universal wireless control products. Price is always an issue in winning and retaining business. If customers become increasingly price sensitive, new competition may arise from manufacturers who decide to go into direct competition with us or from current competitors who perform their own manufacturing. If such a trend develops, we may experience downward pressure on our pricing or lose sales, which may have a material adverse effect on our operating results, financial condition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Adverse Changes in General Business and Economic Conditions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Adverse changes in general business and economic conditions in the United States and worldwide may reduce the demand for some of our products and adversely affect our results of operations, cash flow, liquidity or financial condition. Higher inflation rates, interest rates, tax rates and unemployment rates, higher labor and health care costs, recessions, changing governmental policies, laws and regulations, and other economic factors may adversely affect our results of operations, cash flow, liquidity or financial condition. Any such changes may impact our business in a number of ways, including: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deferment of purchases and orders by customers and cyclical nature of portions of our business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Uncertainty about current and future global economic conditions may cause consumers, businesses and governments to defer purchases in response to tighter credit, decreased cash availability and declining consumer confidence. Accordingly, future demand for our products may differ materially from our current expectations.</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portions of our business involve the sale of products to sectors of the economy that are cyclical in nature, particularly the retail sector. Our sales to these sectors are affected by the levels of discretionary consumer and business spending. During economic downturns, the levels of consumer and business discretionary spending in these sectors may decrease, and the recovery of these sectors may lag behind the recovery of the overall economy. This decrease in spending will likely reduce the demand for some of our products and may adversely affect our sales, earnings, cash flow or financial condition. Although many of our end markets have shown signs of stabilization and modest improvement from the recent global economic downturn, the recovery has been erratic. A worsening in these sectors may cause a reduction in the demand for some of our products and may adversely impact sales, earnings, cash flow and financial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 inability to obtain financing to make purchases from us and/or maintain their business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customers require substantial financing in order to fund their operations and make purchases from us. The inability of these customers to obtain sufficient credit to finance purchases of our products may adversely impact our financial results. In addition, an economic downturn could result in insolvencies for our customers, which may adversely impact our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 on trade receivables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market conditions may slow our collection efforts as customers experience increased difficulty in obtaining requisite financing, leading to higher than normal accounts receivable balances and longer DSOs. Continuation of these conditions may limit our ability to collect our accounts receivable, which may result in greater expense associated with collection efforts and increased bad debt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impact from increased financial pressures on third-party dealers, distributors and retailers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sales in certain regions of the world through third-party dealers, distributors and retailers. Although many of these third parties have significant operations and maintain access to available credit, others are smaller and more likely to be impacted by a significant decrease in available credit. If credit pressures or other financial difficulties result in insolvency for these third parties and we are unable to successfully transition our end customers to purchase products from other third parties or from us directly, it may adversely impact our financial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impact from increased financial pressures on key suppliers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quality materials, parts and components from our suppliers. Certain of our components are available only from a single source or limited sources. If certain key suppliers were to become capacity constrained or insolvent as a result of an economic downturn, it may result in a reduction or interruption in supplies or a significant increase in the price of supplies and adversely impact our financial results. In addition, credit constraints at key suppliers may result in accelerated payment of accounts payable by us, impacting our cash flow.</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4" w:right="2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Fluctuations in Quarterly Results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and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product or supply constraints,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may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all of the foregoing factors, it is possible that in some future quarters our operating results will be below the expectations of public market analysts and investors. If this happens the price of our common stock may be materially adversely affected.</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Our Ability to Generate Cash Depends on Many Factors Beyond Our Control. We Also Depend on the Business of Our Subsidiaries to Satisfy Our Cash Needs.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historical financial results have been, and we anticipate that our future financial results will be, subject to fluctuations. Our ability to generate cash is subject to general economic, financial, competitive, legislative, regulatory and other factors that are beyond our control. We cannot assure you that our business will generate sufficient cash flow from our operations or that future borrowings will be available to us in an amount sufficient to enable us to make payments of our debt, fund our other liquidity needs and make planned capital expenditures.</w:t>
      </w:r>
    </w:p>
    <w:p>
      <w:pPr>
        <w:spacing w:after="0" w:line="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operations are conducted through our subsidiaries. As a result, our ability to generate sufficient cash flow for our needs is dependent to some extent on the earnings of our subsidiaries and the payment of those earnings to us in the form of dividends, loans or advances and through repayment of loans or advances from us. Our subsidiaries are separate and distinct legal entities. Our subsidiaries have no obligation to pay any amounts due on our debt or to provide us with funds to meet our cash flow needs, whether in the form of dividends, distributions, loans or other payments. In addition, any payment of dividends, loans or advances by our subsidiaries may be subject to statutory or contractual restrictions. Payments to us by our subsidiaries will also be contingent upon our subsidiaries' earnings and business considerations. Our right to receive any assets of any of our subsidiaries upon their liquidation or reorganization will be effectively subordinated to the claims of that subsidiary's creditors, including trade creditors. In addition, even if we are a creditor of any of our subsidiaries, our rights as a creditor would be subordinate to any security interest in the assets of our subsidiaries and any indebtedness of our subsidiaries senior to that held by us. Further, changes in the laws of foreign jurisdictions in which we operate may adversely affect the ability of some of our foreign subsidiaries to repatriate funds to us.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may fund a portion of our seasonal working capital needs and obtain funding for other general corporate purposes through short-term borrowings backed by our revolving credit facility and other financing facilities. If any of the banks in these credit and financing facilities are unable to perform on their commitments, which may adversely affect our ability to fund seasonal working capital needs and obtain funding for other general corporate purposes, our cash flow, liquidity or financial condition may be adversely impacted. Although we currently have available credit facilities to fund our current operating needs, we cannot be certain that we will be able to replace our existing credit facilities or refinance our existing or future debt when necessary. Our cost of borrowing and ability to access the capital markets are affected not only by market conditions, but also by our debt and credit ratings assigned by the major credit rating agencies. Downgrades in these ratings will increase our cost of borrowing and may have an adverse effect on our access to the capital markets, including our access to the commercial paper market. An inability to access the capital markets may have a material adverse effect on our results of operations, cash flow, liquidity or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Price of Our Common Stock is Volatile and May Decline Regardless of Our Operating Performance.</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Historically, we have had large fluctuations in the price of our common stock, and such fluctuations may continue. From January 1, 2012 to March 3, 2015, the trading price of our common stock has ranged from a low of $11.40 per share to a high of $66.75 per share. The market price for our common stock is volatile and may fluctuate significantly in response to a number of factors, most of which we cannot control, including: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4" w:right="2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06" w:lineRule="exact"/>
        <w:rPr>
          <w:sz w:val="20"/>
          <w:szCs w:val="20"/>
          <w:color w:val="auto"/>
        </w:rPr>
      </w:pPr>
    </w:p>
    <w:p>
      <w:pPr>
        <w:jc w:val="both"/>
        <w:ind w:left="980" w:hanging="324"/>
        <w:spacing w:after="0" w:line="26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and announcements relating to product and technology development, relationships with new and existing customers, litigation and other legal proceedings in which we are involved and intellectual property impacting us or our business;</w:t>
      </w:r>
    </w:p>
    <w:p>
      <w:pPr>
        <w:spacing w:after="0" w:line="1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strategic transactions, such as spin-offs, joint ventures and acquisitions or divestitures;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ratings by any securities analysts who follow our common stock, our failure to meet these estimates or failure of those analysts to initiate or maintain coverage of our common stock;</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as to the likelihood of achievement of near-term goals;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share of significant customers;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or content providing companies generally;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past, stockholders have instituted securities class action litigation following periods of market volatility. If we were involved in securities litigation, we may incur substantial costs and our resources and the attention of management may be diverted from our business.</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executive officers periodically sell shares of our common stock which they own, often pursuant to trading plans established under Rule 10b5-1 of the Securities Exchange Act of 1934, as amended, or the Exchange Act. Sales of shares by our executive officers may not be indicative of their respective opinions of the company’s performance at the time of sale or of our potential future performance. Nonetheless, the market price of our stock may be affected by such sales of shares by our executive officers.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If Securities or Industry Analysts Fail to Continue Publishing Research About Our Business, Our Stock Price and Trading Volume May Decline.</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or our business. If one or more of these analysts cease coverage of our company or fail to publish reports on us regularly, we may lose visibility in the financial markets, which in turn may cause our stock price or trading volume to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Future Sales of Our Equity May Depress the Market Price of Our Common Stock.</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several institutional stockholders that own significant blocks of our common stock. If one or more of these stockholders were to sell large portions of their holdings in a relatively short time, for liquidity or other reasons, the prevailing market price of our common stock may be negatively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Approved Stock Repurchase Programs May Not Result in a Positive Return of Capital to Stockholders.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board-approved stock repurchase programs may not return value to stockholders because the market price of the stock may decline significantly below the levels at which we repurchased shares of stock. Stock repurchase programs are intended to deliver stockholder value over the long term, but stock price fluctuations can reduce the effectiveness of such programs.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Consumer Preference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susceptible to fluctuations in our business based upon consumer demand for our products. In addition, we cannot guarantee that increases in demand for our products associated with increases in the deployment of new technology will continue. We believe that our success depends on our ability to anticipate, gauge and respond to fluctuations in consumer preferences. However, it is impossible to predict with complete accuracy the occurrence and effect of fluctuations in consumer demand over a product's life cycle. Moreover, we caution that any growth in revenues that we achieve may be transitory and should not be relied upon as an indication of future performance.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Demand for Consumer Service and Support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There can be no assurance that we will be able to attract new customers in the future.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4" w:right="2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certain of our products have more features and are more complex than others and therefore require more end-user technical support. In some instances, we rely on distributors or dealers to provide the initial level of technical support to the end-users. We provide the second level of technical support for bug fixes and other issues at no additional charge. Therefore, as the mix of our products includes more of these complex product lines, support costs may increase, which may have an adverse effect on our business, operating results, financial condition and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upon New Product Introduction</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remain competitive in the wireless control and AV accessory products market will depend considerably upon our ability to successfully identify new product opportunities, as well as develop and introduce these products and enhancements on a timely and cost effective basis. There can be no assurance that we will be successful at developing and marketing new products or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may have a material adverse effect on our operating results, financial condition and cash flows.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Dependence on Major Customers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economic strength and weakness of our worldwide customers affect our performance. We sell our wireless control products, AV accessory products, and proprietary technologies to subscription broadcasters, original equipment manufacturers, retailers and private label customers. We also supply our products to our wholly owned, non-U.S. subsidiaries and to independent foreign distributors, who in turn distribute our products worldwide, with Europe, Asia and Latin America currently representing our principal foreign markets.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2014, 2013 and 2012, we had sales to DIRECTV and its sub-contractors, that when combined, totaled 10% or more of our net sales. The loss of any of these customers or of any other key customer, either in the United States or abroad or our inability to maintain order volume with these customers, may have an adverse effect on our operating results, financial condition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Outsourced Labor</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use outside resources to assist us in the development of some of our products and technologies. While we believe that such outside services will continue to be available to us, if they cease to be available, the development of these products and technologies may be substantially delayed, which may have a material adverse effect on our operating results, financial condition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Competition within the wireless control industry is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resources. Other competitors are smaller and may be able to offer more specialized products.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Competition in any of these areas may reduce our sales and adversely affect our earnings or cash flow by resulting in decreased sales volumes, reduced prices and increased costs of manufacturing, distributing and selling our products. There can be no assurance that our product offerings will be, and/or will remain, competitive or that strategic alliances, if any, will achieve the type, extent, and amount of success or business that we expect them to achieve. The sales of our products and technology may not occur or grow in the manner we expect, and thus we may not recoup costs incurred in the research and development of these products as quickly as we expect,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Brand Quality and Reputation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depends on the quality and reputation of our brands, and any deterioration in the quality or reputation of these brands may have an adverse impact on our market share, reputation, business, financial condition or results of operations. Events that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be beyond our control may affect the reputation of one or more of our products or more generally impact the reputation of our brands. If the reputation or perceived quality of our brands declines, our market share, reputation, business, financial condition or results of operations may be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Unanticipated Changes in Tax and Other Laws and Regulations</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under a wide variety of laws, regulations and policies in jurisdictions around the world. In response to continued economic challenges, we anticipate that many of the jurisdictions in which we do business will continue to review tax and other revenue raising laws, regulations and policies, and any resulting changes may impose new restrictions, costs or prohibitions on our current practices and reduce our profits. In particular, governments may revise tax laws, regulations or official interpretations in ways that may have a significant impact on us, including modifications that may reduce the profits that we can effectively realize from our non-U.S. operations, or that may require costly changes to those operations, or the way in which they are structured. For example, most U.S. company effective tax rates reflect the fact that income earned and reinvested outside the United States is generally taxed at local rates, which are often much lower than U.S. tax rates. If changes in tax laws, regulations or interpretations significantly increase the tax rates on non-U.S. income, our effective tax rate may increase and our profits may be reduced. If such increases resulted from our status as a U.S. company, those changes may place us at a disadvantage to our non-U.S. competitors if those competitors remain subject to lower local tax rates.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from time to time, we are subject to tax audits in various jurisdictions. Tax authorities may disagree with our intercompany charges or other matters and assess additional taxes. We assess the likely outcomes of these audits in order to determine the appropriateness of the tax provision. However, there can be no assurance that we will accurately predict the outcomes of these audits, and the actual outcomes of these audits may have a material impact on our financial condition, results of operations and cash flows. In addition, our effective tax rate in the future may be adversely affected by changes in the mix of earnings in countries with differing statutory tax rates, changes in the valuation of deferred tax assets and liabilities, changes in tax laws and the discovery of new information in the course of our tax return preparation process. Furthermore, our tax provisions may be adversely affected as a result of any new interpretative accounting guidance related to accounting for uncertain tax positions.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 Matters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are subject to various federal, state, local and international laws governing chemical substances in products, including laws regulating the manufacture and distribution of chemical substances and restricting the presence of certain substances in electronics products. In addition, many of these laws and regulations make producers of electrical goods responsible for collection, recycling, treatment and disposal of recovered products. As a result, we may face significant costs and liabilities in complying with these laws and any future laws and regulations or enforcement policies that may have a material adverse effect upon our operating results, financial condition, and cash flows.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Leased Property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all of the properties used in our business. We can give no assurance that we will enter into new or renewal leases, or that, if entered into, the new lease terms will be similar to the existing terms or that the terms of any such new or renewal leases will not have a significant and material adverse effect on our operating results, financial condition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Failure to Recruit, Hire, and Retain Key Personnel</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achieve growth in the future will depend, in part, on our success at recruiting, hiring, training, developing and retaining highly skilled engineering, managerial, operational, sales and marketing personnel. If our salary and benefits fail to stay competitive it may negatively impact our ability to hire and retain key personnel and we may experience low morale, inefficiency or internal control failures. The inability to recruit, hire, train, develop and retain qualified personnel, or the loss of any key personnel, may make it difficult to meet key objectives, such as timely and effective product introductions, and also limit our ability to grow and expand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Transportation Costs and Impact of Oil Prices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ship products from our factories and foreign manufacturers via ocean and air transport. It is sometimes difficult to forecast swings in demand or delays in production and, as a result, products may be shipped via air which is more costly than ocean shipments. We typically cannot recover the increased cost of air freight from our customers. Additionally, tariffs and other export fees may be incurred to ship products from foreign manufacturers to the customer. The inability to predict swings in demand or delays in production may increase the cost of freight which may have a material adverse effect on our product margins.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an exposure to oil prices in two forms. The first is in the prices of oil-based materials in our products, which are primarily the plastics and other components that we include in our finished products. The second is in the cost of delivery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Proprietary Technologies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produce highly complex products that incorporate leading-edge technology, including hardware, firmware, and software. Firmware and software may contain bugs that may unexpectedly interfere with product operation. There can be no assurance that our testing programs will detect all defects in individual products or defects that may affect numerous shipments. The presence of defects may harm customer satisfaction, reduce sales opportunities, or increase returns. An inability to cure or repair such a defect may result in the failure of a product line, temporary or permanent withdrawal from a product or market, damage to our reputation, increased inventory costs, or product re-engineering expenses, any of which may have a material impact on our operating results, financial condition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Business Transactions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from time to time, pursue strategic alliances, joint ventures, business acquisitions, products or technologies ("strategic business transactions") that complement or expand our existing operations, including those that may be material in size and scope. Strategic business transactions involve many risks, including the diversion of management's attention away from day-to-day operations. There is also the risk that we will not be able to successfully integrate the strategic business transaction with our operations, personnel, customer base, products or technologies. Such strategic business transactions may also have adverse short-term effects on our operating results, and may result in dilutive issuances of equity securities, the incurrence of debt, and the loss of key employees. In addition, these strategic business transactions are subject to specific accounting guidelines that may adversely affect our financial condition, results of operations and cash flow.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Growth Projections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made projections required for the preparation of financial statements in conformity with accounting principles generally accepted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 regarding future events and the financial performance of the company, including those involving:</w:t>
      </w:r>
    </w:p>
    <w:p>
      <w:pPr>
        <w:spacing w:after="0" w:line="4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the company expects as a result of the development and success of products and technologies, including new products and technologies;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by conducting business in Asian and Brazilian markets, without which, we may not be able to recover the costs we incur to enter into such markets;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contracts with new and existing customers and new market penetrations;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adoption of the company's technologies in gaming consoles and mobile devices;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continued growth in digital TVs, DVRs, PVRs and overall growth in the company's industry;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we may experience due to current global and regional economic conditions.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events or results may be unfavorable to management's projections, which may have a material adverse effect on our projected operating results, financial condition and cash flows.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goodwill and intangible assets recorded on our balance sheet. We periodically evaluate the recoverability of the carrying value of our goodwill and intangible assets whenever events or changes in circumstances indicate that such value may not be recoverable. Impairment assessment involves judgment as to assumptions regarding future sales and cash flows and the impact of market conditions on those assumptions. Future events and changing market conditions may impact our assumptions and may result in changes in our estimates of future sales and cash flows that may result in us incurring substantial impairment charges, which would adversely affect our results of operations or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Projections and Data are Forward-looking in Nature.</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strategy is based on our own projections and on analyst, industry observer and expert projections, which are forward-looking in nature and are inherently subject to risks and uncertainties. The validity of their and our assumptions, the timing and scope of the markets within which we compete, economic conditions, customer buying patterns, the timeliness of equipment development, pricing of products, and availability of capital for infrastructure improvements may affect these predictions. In addition, market data upon which we rely is based on third party reports that may be inaccurate. The inaccuracy of any of these projections and/or market data may adversely affect our operating results and financial condition.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Cybersecurity Issues: Failure to Maintain the Integrity of and Protect Internal or Customer Data May Result in Faulty Business Decisions, Operational Inefficiencies, Damage to our Reputation and/or Subject Us to Costs, Fines, or Lawsuits</w:t>
      </w:r>
    </w:p>
    <w:p>
      <w:pPr>
        <w:spacing w:after="0" w:line="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requires collection and retention of large volumes of internal and customer data, including personally identifiable information of our customers in various information systems that we maintain and in those maintained by third parties with whom we contract to provide services, including in areas such as customer product servicing, human resources outsourcing, website hosting, and various forms of electronic communications. We and third parties who provide services to us also maintain personally identifiable information about our employees. The integrity and protection of that customer, employee, and company data is critical to us. If that data is inaccurate or incomplete, we may make faulty decisions. Our customers and employees also have a high expectation that we and our service providers will adequately protect their personal information. The information, security and privacy requirements imposed by governmental regulation is also increasingly demanding, in both the United States and other jurisdictions where we operate. Our systems and those of our service providers may be unable to satisfy these changing requirements and employee and customer expectations, or may require significant additional investments or time in order to do so. Efforts to hack or breach security measures, failures of systems or software to operate as designed or intended, viruses, operator error, or inadvertent releases of data may materially impact our and our service providers' information systems and records. Our reliance on computer, Internet-based and mobile systems and communications and the frequency and sophistication of efforts by hackers to gain unauthorized access to such systems have increased significantly in recent years. A significant theft, loss, or fraudulent use of customer, employee, or company data maintained by us or by a service provider could adversely impact our reputation, cause harm to our business generally, and could result in remedial and other expenses, fines, or litigation. Breaches in the security of our information systems or those of our service providers or other disruptions in data services could lead to an interruption in the operation of our systems, resulting in a loss of data, operational inefficiencies and a loss of profits.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Effectiveness of Our Internal Control Over Financial Reporting</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 over financial reporting. Furthermore, our independent registered public accounting firm is required to audit our internal control over financial reporting and separately report on whether it believes we maintain, in all material respects, effective internal control over financial reporting. Although we believe that we currently have adequate internal control procedures in place,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may adversely affect our financial results and the market price of our common stock.</w:t>
      </w:r>
    </w:p>
    <w:p>
      <w:pPr>
        <w:spacing w:after="0" w:line="21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Delaware Law and Our Governing Corporate Documents Contain, and Our Board of Directors May Implement, Antitakeover Provisions that May Deter Takeover Attempts</w:t>
      </w:r>
    </w:p>
    <w:p>
      <w:pPr>
        <w:spacing w:after="0" w:line="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business combination statute, a stockholder holding 15 percent or more of our outstanding voting stock may not acquire us without Board of Director consent for at least three years after the date the stockholder first held 15 percent or more of the voting stock. Our governing corporate documents also, among other things, require super-majority votes in connection with mergers and similar transactions. In addition, our Board of Directors may, without stockholder approval, implement other anti-takeover defenses, such as a stockholder's rights plan.</w:t>
      </w:r>
    </w:p>
    <w:p>
      <w:pPr>
        <w:spacing w:after="0" w:line="20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Regulations Related to the Use of Conflict-Free Minerals May Increase Our Costs and Expenses, and an Inability to Certify that Our Products are Conflict-Free May Adversely Affect Customer Relationships</w:t>
      </w:r>
    </w:p>
    <w:p>
      <w:pPr>
        <w:spacing w:after="0" w:line="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contains provisions to improve the transparency and accountability of the use by public companies in their products of minerals mined in certain countries and to prevent the sourcing of such "conflict" minerals. As a result, the SEC enacted new annual disclosure and reporting requirements for public companies that use these minerals in their products, which apply to us. Under the final rules, we are required to conduct due diligence to determine the source of any conflict minerals used in our products and to make annual disclosures in filings with the SEC. Because our supply chain is broad-based and complex, we may not be able to easily verify the origins for all minerals used in our products. In addition, the new rules may reduce the number of suppliers who provide components and products containing conflict-free minerals and thus may increase the cost of the components used in manufacturing our products and the costs of our products to us. Any increased costs and expenses may have a material adverse impact on our financial condition and results of operations. Further, if we are unable to certify that our products are conflict free, we may face challenges with our customers, which may place us at a competitive disadvantage, and our reputation may be harmed.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 are Subject to a Wide Variety of Complex Domestic and Foreign Laws and Regulations.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a wide variety of complex domestic and foreign laws and regulations, and legal compliance risks, including securities laws, tax laws, employment and pension-related laws, competition laws, U.S. and foreign export and trading laws,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laws governing improper business practices. We are affected by new laws and regulations, and changes to existing laws and regulations, including interpretations by courts and regulators. From time to time, our Company, our operations and the industries in which we operate are being reviewed or investigated by regulators, which may lead to enforcement actions or the assertion of private litigation claims and damages.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adopted appropriate risk management and compliance programs to mitigate these risks, the global and diverse nature of our operations means that compliance risks will continue to exist. Investigations, examinations and other proceedings, the nature and outcome of which cannot be predicted, will likely arise from time to time. These investigations, examinations and other proceedings may subject us to significant liability and require us to make significant accruals or pay significant settlements, fines and penalties, which may have a material adverse effect on our results of operations, cash flow or financial condition.</w:t>
      </w:r>
    </w:p>
    <w:p>
      <w:pPr>
        <w:spacing w:after="0" w:line="20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We are Required to Comply with Numerous Complex and Increasingly Stringent Domestic and Foreign Health, Safety and Environmental Laws and Regulations, the Cost of Which is Likely to Increase.</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various domestic and foreign health, safety and environmental laws and regulations. These laws and regulations not only govern our current operations and products, but also impose potential liability on us for our past operations. We expect health, safety and environmental laws and regulations to impose increasingly stringent requirements upon our industry and us in the future. Our costs to comply with these laws and regulations may increase as these requirements become more stringent in the future, and these increased costs may adversely affect our results of operations, cash flow or financial condition.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Financial Accounting Standards or Policies may affect our Reported Financial Condition or Results of Operations.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(the "FASB") and the SEC change their guidance governing the form and content of our external financial statements. In addition, accounting standard setters and those who interpret U.S. generally accepted accounting principles ("GAAP"), such as the FASB and the SEC may change or even reverse their previous interpretations or positions with regard to how these standards should be applied. A change in accounting principles or their interpretation can have a significant effect on our reported results. In certain cases, the company may be required to apply new or revised guidance retroactively or apply existing guidance differently. For example, in May 2014, the FASB issued ASU 2014-09, "Revenue from Contracts with Customers", which may impact the timing of revenue recognition for new and existing contracts with licensees. This and other potential changes in reporting standards may substantially change our reporting practices in a number of areas, including revenue recognition and recording of assets and liabilities, and affect our reported financial condition or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unresolved staff comments on the filing date of this Form 10-K.</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global headquarters is located in Santa Ana, California. We utilize the following facilities: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vMerge w:val="restart"/>
          </w:tcPr>
          <w:p>
            <w:pPr>
              <w:spacing w:after="0"/>
              <w:rPr>
                <w:sz w:val="13"/>
                <w:szCs w:val="13"/>
                <w:color w:val="auto"/>
              </w:rPr>
            </w:pPr>
          </w:p>
        </w:tc>
        <w:tc>
          <w:tcPr>
            <w:tcW w:w="39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Purpose or Use</w:t>
            </w:r>
          </w:p>
        </w:tc>
        <w:tc>
          <w:tcPr>
            <w:tcW w:w="100" w:type="dxa"/>
            <w:vAlign w:val="bottom"/>
            <w:vMerge w:val="restart"/>
          </w:tcPr>
          <w:p>
            <w:pPr>
              <w:spacing w:after="0"/>
              <w:rPr>
                <w:sz w:val="13"/>
                <w:szCs w:val="13"/>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376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95"/>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Feet</w:t>
            </w:r>
          </w:p>
        </w:tc>
        <w:tc>
          <w:tcPr>
            <w:tcW w:w="100" w:type="dxa"/>
            <w:vAlign w:val="bottom"/>
            <w:tcBorders>
              <w:bottom w:val="single" w:sz="8" w:color="CCEEFF"/>
            </w:tcBorders>
          </w:tcPr>
          <w:p>
            <w:pPr>
              <w:spacing w:after="0"/>
              <w:rPr>
                <w:sz w:val="16"/>
                <w:szCs w:val="16"/>
                <w:color w:val="auto"/>
              </w:rPr>
            </w:pPr>
          </w:p>
        </w:tc>
        <w:tc>
          <w:tcPr>
            <w:tcW w:w="3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Santa Ana, California</w:t>
            </w: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headquarters, engineering, research and</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36,184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expires October 31, 2022</w:t>
            </w:r>
          </w:p>
        </w:tc>
        <w:tc>
          <w:tcPr>
            <w:tcW w:w="0" w:type="dxa"/>
            <w:vAlign w:val="bottom"/>
          </w:tcPr>
          <w:p>
            <w:pPr>
              <w:spacing w:after="0"/>
              <w:rPr>
                <w:sz w:val="1"/>
                <w:szCs w:val="1"/>
                <w:color w:val="auto"/>
              </w:rPr>
            </w:pPr>
          </w:p>
        </w:tc>
      </w:tr>
      <w:tr>
        <w:trPr>
          <w:trHeight w:val="241"/>
        </w:trPr>
        <w:tc>
          <w:tcPr>
            <w:tcW w:w="2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Twinsburg, Ohio</w:t>
            </w: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Call center</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21,509</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expires December 31, 2017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Enschede, Netherlands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European headquarters and call center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19,137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expires February 28, 2019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Bangalore, India</w:t>
            </w: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21,326</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expires May 31, 2015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San Mateo, California</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expires August 15, 2016</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Hong Kong, PRC</w:t>
            </w: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Asian headquarters</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expires on June 30, 2016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Guangzhou, PRC </w:t>
            </w:r>
            <w:r>
              <w:rPr>
                <w:rFonts w:ascii="Times New Roman" w:cs="Times New Roman" w:eastAsia="Times New Roman" w:hAnsi="Times New Roman"/>
                <w:sz w:val="25"/>
                <w:szCs w:val="25"/>
                <w:color w:val="auto"/>
                <w:vertAlign w:val="superscript"/>
              </w:rPr>
              <w:t>(1)</w:t>
            </w:r>
          </w:p>
        </w:tc>
        <w:tc>
          <w:tcPr>
            <w:tcW w:w="4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 facility</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710,203</w:t>
            </w:r>
          </w:p>
        </w:tc>
        <w:tc>
          <w:tcPr>
            <w:tcW w:w="100" w:type="dxa"/>
            <w:vAlign w:val="bottom"/>
            <w:shd w:val="clear" w:color="auto" w:fill="CCEEFF"/>
          </w:tcPr>
          <w:p>
            <w:pPr>
              <w:spacing w:after="0"/>
              <w:rPr>
                <w:sz w:val="23"/>
                <w:szCs w:val="23"/>
                <w:color w:val="auto"/>
              </w:rPr>
            </w:pPr>
          </w:p>
        </w:tc>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leased, expires June 30, 2044</w:t>
            </w:r>
          </w:p>
        </w:tc>
        <w:tc>
          <w:tcPr>
            <w:tcW w:w="0" w:type="dxa"/>
            <w:vAlign w:val="bottom"/>
          </w:tcPr>
          <w:p>
            <w:pPr>
              <w:spacing w:after="0"/>
              <w:rPr>
                <w:sz w:val="1"/>
                <w:szCs w:val="1"/>
                <w:color w:val="auto"/>
              </w:rPr>
            </w:pPr>
          </w:p>
        </w:tc>
      </w:tr>
      <w:tr>
        <w:trPr>
          <w:trHeight w:val="270"/>
        </w:trPr>
        <w:tc>
          <w:tcPr>
            <w:tcW w:w="2420" w:type="dxa"/>
            <w:vAlign w:val="bottom"/>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Yangzhou, PRC </w:t>
            </w:r>
            <w:r>
              <w:rPr>
                <w:rFonts w:ascii="Times New Roman" w:cs="Times New Roman" w:eastAsia="Times New Roman" w:hAnsi="Times New Roman"/>
                <w:sz w:val="25"/>
                <w:szCs w:val="25"/>
                <w:color w:val="auto"/>
                <w:vertAlign w:val="superscript"/>
              </w:rPr>
              <w:t>(1)</w:t>
            </w: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 facility</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1,204,697</w:t>
            </w:r>
          </w:p>
        </w:tc>
        <w:tc>
          <w:tcPr>
            <w:tcW w:w="1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leased, expires July 31, 2055</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Qinzhou, PRC</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Manufacturing facility</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980,646</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 expires May 31, 2018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Manaus, Brazil</w:t>
            </w: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 facility</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56,657</w:t>
            </w:r>
          </w:p>
        </w:tc>
        <w:tc>
          <w:tcPr>
            <w:tcW w:w="100" w:type="dxa"/>
            <w:vAlign w:val="bottom"/>
          </w:tcPr>
          <w:p>
            <w:pPr>
              <w:spacing w:after="0"/>
              <w:rPr>
                <w:sz w:val="21"/>
                <w:szCs w:val="21"/>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 expires August 19, 2018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328"/>
        <w:spacing w:after="0" w:line="218" w:lineRule="auto"/>
        <w:tabs>
          <w:tab w:leader="none" w:pos="66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Private ownership of land in mainland PRC is not allowed. All land in the PRC is owned by the government and cannot be sold to any individual or entity. These facilities were developed on land which we lease from the PRC government.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facilities listed above, we lease space in various international locations, primarily for use as sales offices.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expiration of our facilities leases, we believe we will obtain lease agreements under similar terms; however, there can be no assurance that we will receive similar terms or that any offer to renew will be accepted.</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12" for additional information regarding our obligations under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The discussion of our litigation matters in "ITEM 8. FINANCIAL STATEMENTS AND SUPPLEMENTARY DATA — Notes to Consolidated Financial Statements — Note 13" is incorporated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4" w:right="2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UEIC. The closing price of our common stock as reported by NASDAQ on March 3, 2015 was $57.10. Our stockholders of record on March 3, 2015 numbered 82. We have never paid cash dividends on our common stock, nor do we currently intend to pay any cash dividends on our common stock in the foreseeable future. We intend to retain our earnings, if any, for the future operation and expansion of our business.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for our common stock, as reported by NASDAQ:</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18.09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33.02</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fourth quarter, our total stock repurchases, average price paid per share and the maximum number of shares that may yet be purchased under our plans or programs: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1, 2014 - October 31, 2014</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1,083,684</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November 1, 2014 - November 30, 2014</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5,722</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1,077,962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1, 2014 - December 31, 2014</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63.32</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10,307</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1,067,655</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16,029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61.39</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16,029</w:t>
            </w:r>
          </w:p>
        </w:tc>
        <w:tc>
          <w:tcPr>
            <w:tcW w:w="2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1,067,655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we repurchased 383,978 shares of our issued and outstanding common stock for $16.2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December 31, 2014, we had 1,067,655 shares available for repurchase under the Board's authorizations.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our equity compensation plans, including both stockholder approved plans and plans not approved by stockholders, is incorporated by reference to "ITEM 12. SECURITY OWNERSHIP OF CERTAIN BENEFICIAL OWNERS AND MANAGEMENT AND RELATED STOCKHOLDER MATTERS" under the caption "Equity Compensation Plan Information" and "ITEM 8. FINANCIAL STATEMENTS AND SUPPLEMENTARY DATA — Notes to Consolidated Financial Statements — Note 16".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4" w:right="23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Chart</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graph and table compares the cumulative total stockholder return with respect to our common stock versus the cumulative total return of the Standard &amp; Poor's Small Cap 600 (the "S&amp;P Small Cap 600"), the NASDAQ Composite Index, and the Peer Group Index for the five year period ended December 31, 2014. The comparison assumes that $100 is invested on December 31, 2009 in each of our common stock, S&amp;P Small Cap 600, the NASDAQ Composite Index, and the Peer Group Index and that all dividends are reinvested. We have not paid any dividends and, therefore, our cumulative total return calculation is based solely upon stock price appreciation and not upon reinvestment of dividends. The graph and table depicts year-end values based on actual market value increases and decreases relative to the initial investment of $100, based on information provided for each calendar year by the NASDAQ Stock Market and the New York Stock Exchange.</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comparisons in the graph and table below are based on historical data and are not intended to forecast the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80010</wp:posOffset>
            </wp:positionV>
            <wp:extent cx="5840095" cy="3302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009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12/31/2009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12/31/2010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12/31/2011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12/31/2014</w:t>
            </w: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Universal Electronics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Small Cap 600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Composite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r>
      <w:tr>
        <w:trPr>
          <w:trHeight w:val="341"/>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Peer Group Index </w:t>
            </w:r>
            <w:r>
              <w:rPr>
                <w:rFonts w:ascii="Times New Roman" w:cs="Times New Roman" w:eastAsia="Times New Roman" w:hAnsi="Times New Roman"/>
                <w:sz w:val="25"/>
                <w:szCs w:val="25"/>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26" w:lineRule="exact"/>
        <w:rPr>
          <w:sz w:val="20"/>
          <w:szCs w:val="20"/>
          <w:color w:val="auto"/>
        </w:rPr>
      </w:pPr>
    </w:p>
    <w:p>
      <w:pPr>
        <w:ind w:left="820" w:hanging="326"/>
        <w:spacing w:after="0" w:line="218" w:lineRule="auto"/>
        <w:tabs>
          <w:tab w:leader="none" w:pos="728"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Companies in the Peer Group Index are as follows: Rovi Corporation, Logitech International, DTS Inc., Dolby Laboratories, Inc., Harman International Industries, Inc., and VOXX International Corp.</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presented above is as of December 31, 2009 through 2014. This information should not be deemed to be "soliciting material" or to be "filed" with the SEC or subject to the liabilities of Section 18 of the Securities Exchange Act of 1934 (the "Exchange Act") nor should this information be incorporated by reference into any prior or future filings under the Securities Act of 1933 or the Exchange Act, except to the extent that we specifically incorporate it by reference into a filing.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CONSOLIDATED FINANCIAL DATA</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below is not necessarily indicative of the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which are incorporated herein by reference, in order to further understand the factors that may affect the comparability of the financial data presented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562,329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529,354</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463,090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468,630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331,780</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41,280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32,154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26,202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26,576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21,301</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22,963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19,946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15,081</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calculating earnings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15,781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15,248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13,764</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16,152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15,601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14,106</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5"/>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administrative, research and development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as a % of net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as a % of net sales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522"/>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183,600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158,548</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84,761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66,101</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current assets to current liabilities</w:t>
            </w:r>
          </w:p>
        </w:tc>
        <w:tc>
          <w:tcPr>
            <w:tcW w:w="32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463,070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423,733</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379,324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369,488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372,533</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112,521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76,174</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44,593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29,372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54,249</w:t>
            </w:r>
          </w:p>
        </w:tc>
      </w:tr>
      <w:tr>
        <w:trPr>
          <w:trHeight w:val="27"/>
        </w:trPr>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315,621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291,270</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250,650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229,989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211,204</w:t>
            </w:r>
          </w:p>
        </w:tc>
      </w:tr>
      <w:tr>
        <w:trPr>
          <w:trHeight w:val="270"/>
        </w:trPr>
        <w:tc>
          <w:tcPr>
            <w:tcW w:w="444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Book value per share </w:t>
            </w:r>
            <w:r>
              <w:rPr>
                <w:rFonts w:ascii="Times New Roman" w:cs="Times New Roman" w:eastAsia="Times New Roman" w:hAnsi="Times New Roman"/>
                <w:sz w:val="25"/>
                <w:szCs w:val="25"/>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18.55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16.74</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14.13</w:t>
            </w:r>
          </w:p>
        </w:tc>
      </w:tr>
      <w:tr>
        <w:trPr>
          <w:trHeight w:val="243"/>
        </w:trPr>
        <w:tc>
          <w:tcPr>
            <w:tcW w:w="4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Ratio of liabilities to liabilities and stockholders’ equity</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7"/>
        </w:trPr>
        <w:tc>
          <w:tcPr>
            <w:tcW w:w="4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Book value per share is defined as stockholders’ equity divided by common shares issued less treasury stock.</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comparability of information for 2010 compared to subsequent years is affected by the acquisition of Enson Assets Limited during the fourth quarter of 2010.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4" w:right="2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the related notes that appear elsewhere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develop and manufacture a broad line of pre-programmed universal remote control products, AV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IR code database, or library, is embedded, to OEMs that manufacture wireless control devices, cable converters or satellite receivers for resale in their products.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beginning in 1986, we have compiled an extensive IR code library that covers over 863,000 individual device functions and approximately 6,900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Blu-Ray players, and CD players, as well as most other remote controlled home entertainment devices and home automation control modules worldwide.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as one business segment. We have twenty-two subsidiaries located in Argentina, Brazil, British Virgin Islands (3), Cayman Islands, France, Germany, Hong Kong (4), India, Italy, the Netherlands, People's Republic of China (4), Singapore, Spain, and the United Kingdom.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recap our results for 2014:</w:t>
      </w:r>
    </w:p>
    <w:p>
      <w:pPr>
        <w:spacing w:after="0" w:line="63"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6.2% to $562.3 million in 2014 from $529.4 million in 2013.</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margin percentage increased from 28.6% in 2013 to 29.7% in 2014.</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 of sales, decreased from 22.5% in 2013 to 22.4% in 2014</w:t>
      </w:r>
    </w:p>
    <w:p>
      <w:pPr>
        <w:spacing w:after="0" w:line="63" w:lineRule="exact"/>
        <w:rPr>
          <w:rFonts w:ascii="Times New Roman" w:cs="Times New Roman" w:eastAsia="Times New Roman" w:hAnsi="Times New Roman"/>
          <w:sz w:val="18"/>
          <w:szCs w:val="18"/>
          <w:color w:val="auto"/>
        </w:rPr>
      </w:pPr>
    </w:p>
    <w:p>
      <w:pPr>
        <w:ind w:left="980" w:hanging="324"/>
        <w:spacing w:after="0" w:line="28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28.4% to $41.3 million in 2014 from $32.2 million in 2013, and our operating margin percentage increased to 7.3% in 2014, compared to 6.1% in 2013.</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decreased to 19.6% in 2014 from 20.9% in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strategic business objectives for 2015 include the following:</w:t>
      </w:r>
    </w:p>
    <w:p>
      <w:pPr>
        <w:spacing w:after="0" w:line="6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industry-leading technologies and products with attractive gross margins in order to improve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our market share in newer product categories, such as smart devices and game consoles;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growing Asian and Latin American subscription broadcasting markets;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customers in historically strong regions;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with existing customers;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allowances for sales returns and doubtful accounts, inventory valuation,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Management believes the following critical accounting policies affect our more significant judgments and estimates used in the preparation of our consolidated financial statements. In addition to the accounting policies mentioned below, see "ITEM 8. FINANCIAL STATEMENTS AND SUPPLEMENTARY DATA — Notes to Consolidated Financial Statements — Note 2" for other significant accounting policies.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on the sale of products when title of the goods has transferred, there is persuasive evidence of an arrangement (such as a purchase order from the customer), the sales price is fixed or determinable and collectability is reasonably assured.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is recorded for estimated sales returns and allowances and is deducted from gross sales to arrive at net sales in the period the related revenue is recorded. These estimates are based on historical sales returns and allowances, analysis of credit memo data and other known factors. Actual returns and claims in any future period are inherently uncertain and thus may differ from our estimates. If actual or expected future returns and claims are significantly greater or lower than the reserves that we have established, we will record a reduction or increase to net revenues in the period in which we make such a determination.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discounts and rebates based on historical experience and our expectations regarding future sales to our customers. These accruals are recorded as a reduction to sales in the same period as the related revenues. Changes in such accruals may be required if future rebates and incentives differ from our estimates.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sale of tooling is recognized when the related tooling has been provided, customer acceptance documentation has been obtained, the sales price is fixed or determinable and collectability is reasonably assured.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payments for products sold or services rendered. The allowance for doubtful accounts is estimated based on a variety of factors, including credit reviews, historical experience, length of time receivables are past due, current economic trends and changes in customer payment behavior. We also record specific provisions for individual accounts when we become aware of a customer's inability to meet its financial obligations to us, such as in the case of bankruptcy filings or deterioration in the customer's operating results or financial position. Our historical reserves have been sufficient to cover losses from uncollectible accounts. However, because we cannot predict future changes in the financial stability of our customers, actual future losses from uncollectible accounts may differ from our estimates and may have a material effect on our consolidated financial position, results of operations and cash flows.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wireless remote control device, component part, and raw material inventories are valued at the lower of cost or market value. Cost is determined using the first-in, first-out method. We write-down our inventory for the estimated difference between cost and estimated market value based upon our best estimates of market conditions. We carry inventory in amounts necessary to satisfy our customers' inventory requirements on a timely basis. We continually monitor our inventory status to control inventory levels and write-down any excess or obsolete inventories on hand. If actual market conditions are less favorable than those projected by management, additional inventory write-downs may be required which may have a material impact on our financial statements. Such circumstances may include, but are not limited to, the development of new competing technology that impedes the marketability of our products or the occurrence of significant price decreases in our raw material or component parts, such as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4" w:right="2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integrated circuits. Each percentage point change in the ratio of excess and obsolete inventory reserve to inventory would impact cost of sales by approximately $1.0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 and Intangible Assets</w:t>
      </w:r>
    </w:p>
    <w:p>
      <w:pPr>
        <w:spacing w:after="0" w:line="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assess long-lived and intangible assets for impairment whenever events or changes in circumstances indicate that their carrying value may not be recoverable. Factors considered important which may trigger an impairment review, if significant, include the following:</w:t>
      </w:r>
    </w:p>
    <w:p>
      <w:pPr>
        <w:spacing w:after="0" w:line="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use of the assets;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strategy of our overall business;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 for a sustained period;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variance between our market capitalization relative to net book value.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carrying value of the asset is larger than its undiscounted cash flows, the asset is impaired. The impairment is measured as the difference between the net book value of the asset and the asset's estimated fair value. Fair value is estimated utilizing the asset's projected discounted cash flows. In assessing fair value, we must make assumptions regarding estimated future cash flows, the discount rate and other factors.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the carrying value of goodwill on December 31 of each year and between annual evaluations if events occur or circumstances change that would more likely than not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 constitutes a business for which discrete financial information is available, and segment management regularly reviews the operating results of that component. We have a single reporting unit.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future economic and market conditions and the determination of appropriate market comparables. In addition, we make certain judgments and assumptions in determining our reporting units. We base our fair value estimates on assumptions we believe to be reasonable but that are unpredictable and inherently uncertain. Actual future results may differ from those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our current and deferred tax provisions based on estimates and assumptions that may differ from the actual results reflected in our income tax returns filed during the subsequent year. We record adjustments based on filed returns when we have identified and finalized them, which is in the third and fourth quarters of the subsequent year for U.S. federal and state provisions,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4" w:right="2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tax consequences of temporary differences between the tax basis of assets and liabilities and their reported amounts using enacted tax rates in effect for the year in which we expect the differences to reverse. We record a valuation allowance to reduce the deferred tax assets to the amount that we are more likely than not to realize. We have considered future market growth, forecasted earnings, future taxable income, the mix of earnings in the jurisdictions in which we operate and prudent tax planning strategies in determining the need for a valuation allowance. In the event we were to determine that we would not be able to realize all or part of our net deferred tax assets in the future, we would increase the valuation allowance and make a corresponding charge to earnings in the period in which we make such determination. Likewise, if we later determine that we are more likely than not to realize the net deferred tax assets, we would reverse the applicable portion of the previously provided valuation allowance. In order for us to realize our deferred tax assets we must be able to generate sufficient taxable income in the tax jurisdictions in which the deferred tax assets are located.</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includes the impact of certain undistributed foreign earnings for which we have not provided U.S. taxes because we plan to reinvest such earnings indefinitely outside the United States. The decision to reinvest our foreign earnings indefinitely outside the United States is based on our projected cash flow needs as well as the working capital and long-term investment requirements of our foreign subsidiaries and our domestic operations. Material changes in our estimates of cash, working capital and long-term investment requirements in the various jurisdictions in which we do business may impact our effective tax rate.</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countries, and we are subject to routine corporate income tax audits in many of these jurisdictions. We believe that our tax return positions are fully supported, but tax authorities are likely to challenge certain positions, which may not be fully sustained. However, our income tax expense includes amounts intended to satisfy income tax assessments that result from these challenges in accordance with the accounting for uncertainty in income taxes prescribed by U.S. GAAP. Determining the income tax expense for these potential assessments and recording the related assets and liabilities requires management judgments and estimates.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reserves for uncertain tax positions, including related interest and penalties. We review our reserves quarterly, and we may adjust such reserves due to proposed assessments by tax authorities, changes in facts and circumstances, issuance of new regulations or new case law, previously unavailable information obtained during the course of an examination, negotiations between tax authorities of different countries concerning our transfer prices, execution of advanced pricing agreements, resolution with respect to individual audit issues, the resolution of entire audits, or the expiration of statutes of limitations. The amounts ultimately paid upon resolution of audits may be materially different from the amounts previously included in our income tax expense and, therefore, may have a material impact on our operating results, financial position and cash flows.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fair value of restricted stock awards utilizing the average of the high and low trade prices of our Company's shares on the date they were granted.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determined utilizing the Black-Scholes option pricing model. The assumptions utilized in the Black-Scholes model include the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4" w:right="2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a percentage of net sales for the periods indicated.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1"/>
                <w:szCs w:val="21"/>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w:t>
            </w:r>
          </w:p>
        </w:tc>
      </w:tr>
      <w:tr>
        <w:trPr>
          <w:trHeight w:val="237"/>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6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(0.0)</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7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6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6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0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("2014") Compared to Year Ended December 31, 2013 ("2013")</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2014 were $562.3 million, an increase of 6.2% compared to $529.4 million in 2013. Net sales by our business and consumer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4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our Business lines (subscription broadcasting, OEM, and computing companies) were 90.2% of net sales in 2014 compared to 89.9% in 2013. Net sales in our Business lines in 2014 increased by 6.6% to $507.1 million from $475.7 million in 2013. The increase was primarily due to an increase in remote control sales to consumer electronics companies in Asia, an increase in licensing revenue, growth in sales of our embedded chip solutions to smart device manufacturers, and increased market share in European subscription broadcasting.</w:t>
      </w:r>
    </w:p>
    <w:p>
      <w:pPr>
        <w:spacing w:after="0" w:line="1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Net sales in our Consumer lines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retail and private label) were 9.8% of net sales in 2014 compared to 10.1% in 2013. Net sales in our Consumer lines in 2014 increased by 2.8% to $55.2 million from $53.7 million in 2013. International retail sales increased 3.8% from $49.6 million in 2013 to $51.5 million in 2014 due primarily to increased distribution in southern European countries and Latin America as well as increased demand resulting from the 2014 FIFA World Cup™.</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 2014 was $166.9 million compared to $151.5 million in 2013. Gross profit as a percent of sales increased to 29.7% in 2014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28.6% in 2013. The gross margin percentage was favorably impacted by an increase in licensing revenue associated with the smart device channel and, to a lesser extent, the strengthening of the British Pound compared to the U.S. Dollar. Partially offsetting these favorable items was an increase in sales to certain large customers that yield a lower gross margin than our company's average.</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expenses. </w:t>
      </w:r>
      <w:r>
        <w:rPr>
          <w:rFonts w:ascii="Times New Roman" w:cs="Times New Roman" w:eastAsia="Times New Roman" w:hAnsi="Times New Roman"/>
          <w:sz w:val="18"/>
          <w:szCs w:val="18"/>
          <w:color w:val="auto"/>
        </w:rPr>
        <w:t>R&amp;D expenses increased 3.2% to $17.0 million in 2014 from $16.4 million in 2013. This increase was in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strategic initiatives and was primarily driven by additional R&amp;D efforts dedicated to developing new product offerings for new and existing product categories.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("SG&amp;A") expenses. </w:t>
      </w:r>
      <w:r>
        <w:rPr>
          <w:rFonts w:ascii="Times New Roman" w:cs="Times New Roman" w:eastAsia="Times New Roman" w:hAnsi="Times New Roman"/>
          <w:sz w:val="18"/>
          <w:szCs w:val="18"/>
          <w:color w:val="auto"/>
        </w:rPr>
        <w:t>SG&amp;A expenses increased 5.6% to $108.6 million in 2014 from $102.9 million in 2013.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driven primarily by increased incentive compensation costs as a result of our strong financial performance in the current year as well as an increase in external legal expenses related to patent litigation cases. In addition, in an effort to further support the smart device channel, we increased headcount within our global engineering team which resulted in higher payroll costs in 2014.</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income was $11 thousand in 2014 compared net interest income of $51 thousand in 2013.</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expense was $0.8 million in 2014 compared to net other expense of $3.2 million in 2013. This decrease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a decrease in foreign currency losses associated with fluctuations in foreign currency rates related to the Chinese Yuan Renminbi, Argentinian Peso and Brazilian Real.</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$7.9 million in 2014 compared to $6.1 million in 2013 and our effective tax rate was 19.6% in 2014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20.9% in 2013. The decrease in our effective tax rate was due primarily to the recording of $0.4 million of additional tax reserves in the second quarter of 2013 resulting from a tax audit in Hong Kong for years preceding our 2010 acquisition of Enson Assets 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2013 Compared to Year Ended December 31, 2012 ("2012")</w:t>
      </w:r>
    </w:p>
    <w:p>
      <w:pPr>
        <w:spacing w:after="0" w:line="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for 2013 were $529.4 million, an increase of 14.3% compared to $463.1 million in 2012. Net sales by our business and consumer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4"/>
        </w:trPr>
        <w:tc>
          <w:tcPr>
            <w:tcW w:w="50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49"/>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50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our Business lines (subscription broadcasting, OEM, and computing companies) were 89.9% of net sales in 2013 compared to 88.7% in 2012. Net sales in our Business lines in 2013 increased by 15.8% to $475.7 million from $410.9 million in 2012. The increase was driven primarily by strong demand and increased market share in North American subscription broadcasting and Latin American subscription broadcasting, particularly in Brazil, as well as growth in net sales to consumer electronic companies in Asia.</w:t>
      </w:r>
    </w:p>
    <w:p>
      <w:pPr>
        <w:spacing w:after="0" w:line="12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Net sales in our Consumer lines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retail and private label) were 10.1% of net sales in 2013 compared to 11.3% in 2012. Net sales in our Consumer lines in 2013 increased by 2.9% to $53.7 million from $52.2 million in 2012. International retail sales increased 3.8% from $47.8 million in 2012 to $49.6 million in 2013 due primarily to increased sales in the U.K, Australia and Latin America.</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 2013 was $151.5 million compared to $133.4 million in 2012. Gross profit as a percent of sales remained relatively consistent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28.6% in 2013 compared to 28.8% in 2012. Factors that improved our gross margin percentage throughout 2013 include increasing the number of units produced internally versus at third-party manufacturers as well as increased license revenues, primarily in the fourth quarter, relating to the smart device channel. These improvements in our gross margin percentage were offset primarily by the strengthening of the Chinese Yuan Renminbi versus the U.S. Dollar.</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increased 16.2% to $16.4 million in 2013 from $14.2 million in 2012. This increase was in line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initiatives and was primarily driven by additional R&amp;D efforts dedicated to developing new product offerings for new and existing product categories.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10.5% to $102.9 million in 2013 from $93.1 million in 2012. This increase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primarily by increased payroll costs associated with hiring key personnel in global engineering and in our Asian operations as well as restructuring costs associated with personnel changes primarily in our European operations, increased incentive compensation costs, and increased freight and delivery costs associated with higher sales volumes in 2013. These increases were partially offset by a reduction in litigation costs associated with protecting our intellectual property.</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Net interest income was $0.1 million in 2013 compared net interest expense of $0.2 million in 2012. This change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lower interest expense in the current period due to decreased credit needs.</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Net other expense was $3.2 million in 2013 compared to net other expense of $1.4 million in 2012. This increase was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increased foreign currency losses associated with fluctuations in foreign currency rates related to the Chinese Yuan Renminbi, Argentinian Peso and Brazilian Real.</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$6.1 million in 2013 compared to $8.1 million in 2012 and our effective tax rate was 20.9% in 2013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32.8% in 2012. The decrease in our effective tax rate was due primarily to the valuation allowance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in 2012 against our deferred tax assets related to California research and experimentation credits and a shift of income from higher tax rate jurisdictions to lower tax rate jurisdictions in 2013 driven largely by a tax benefit on certain income earned in Hong Kong. Partially offsetting these benefits was the recording of $0.4 million of additional tax reserves in the second quarter of 2013 resulting from a tax audit in Hong Kong for years preceding our 2010 acquisition of Enson Assets Limited and the reversal of $0.5 million of unrecognized tax benefits in 2012 which were originally recorded in 2007 through 2011.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20" w:type="dxa"/>
            <w:vAlign w:val="bottom"/>
          </w:tcPr>
          <w:p>
            <w:pPr>
              <w:spacing w:after="0"/>
              <w:rPr>
                <w:sz w:val="13"/>
                <w:szCs w:val="13"/>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63,473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32,779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30,694</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43,543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for)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502"/>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gridSpan w:val="4"/>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0" w:type="dxa"/>
            <w:vAlign w:val="bottom"/>
          </w:tcPr>
          <w:p>
            <w:pPr>
              <w:spacing w:after="0"/>
              <w:rPr>
                <w:sz w:val="1"/>
                <w:szCs w:val="1"/>
                <w:color w:val="auto"/>
              </w:rPr>
            </w:pPr>
          </w:p>
        </w:tc>
      </w:tr>
      <w:tr>
        <w:trPr>
          <w:trHeight w:val="195"/>
        </w:trPr>
        <w:tc>
          <w:tcPr>
            <w:tcW w:w="4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112,521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36,347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76,174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183,600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158,548</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increased $32.8 million in 2014 when compared to 2013, primarily due to a $20.8 million increase in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operating assets and liabilities and a $9.6 million increase in net income. With respect to operating assets and liabilities, improved vendor management helped drive a $17.7 million increase in cash flows associated with accounts payable and accrued expenses. Additionally, cash flows associated with inventories improved by $7.2 million as our inventory turns increased to 4.1 turns for 2014, compared to 3.9 turns for 2013, primarily as a result of more tightly managed inventory levels.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$12.9 million in 2013 when compared to 2012, driven largely by an increase of $18.3 million in cash outflows associated with inventory as we increased inventory levels in 2013 to support a higher level of expected sales. We also experienced a $5.9 million decrease in cash flows associated with accounts payable due to the timing of payments. These cash outflows were partially offset by a $6.4 million increase in net income as well as a $4.5 million decrease in cash outflows associated with accounts receivable. With respect to accounts receivable, although net sales increased by 14.3% in 2013 compared to 2012, accounts receivable increased by only 4.8% as days sales outstanding improved from 69 days for the quarter ended December 31, 2012 to 63 days for the quarter ended December 31, 2013.</w:t>
      </w:r>
    </w:p>
    <w:p>
      <w:pPr>
        <w:spacing w:after="0" w:line="1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for investing activities </w:t>
      </w:r>
      <w:r>
        <w:rPr>
          <w:rFonts w:ascii="Times New Roman" w:cs="Times New Roman" w:eastAsia="Times New Roman" w:hAnsi="Times New Roman"/>
          <w:sz w:val="18"/>
          <w:szCs w:val="18"/>
          <w:color w:val="auto"/>
        </w:rPr>
        <w:t>during 2014 was $18.4 million compared to $11.7 million and $11.6 million of net cash used during 2013 and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2014, 2013 and 2012, cash used for investing activities consisted primarily of our investments in property, plant, and equipment as well as internally developed patents. We increased our equipment purchases in 2014 for our factories in China in an effort to provide more automation.</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cash used for financing activities </w:t>
      </w:r>
      <w:r>
        <w:rPr>
          <w:rFonts w:ascii="Times New Roman" w:cs="Times New Roman" w:eastAsia="Times New Roman" w:hAnsi="Times New Roman"/>
          <w:sz w:val="18"/>
          <w:szCs w:val="18"/>
          <w:color w:val="auto"/>
        </w:rPr>
        <w:t>was $8.0 million during 2014 compared to net cash provided by financing activities of $10.0 million during 2013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used for financing activities of $17.6 million during 2012. During 2014, we purchased 383,978 shares of our common stock at a cost of $16.2 million, compared to 153,115 and 200,847 shares at a cost of $3.6 million and $3.5 million during 2013 and 2012, respectively. In addition, we made net debt payments of $16.4 million during 2012. Offsetting these cash outflows were proceeds from stock option exercises of $8.1 million during 2014 compared to proceeds of $12.4 million and $2.2 million during 2013 and 2012, respectively.</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2014, we had 1,067,655 shares available for repurchase under the Board's authorizations. We hold repurchased shares as treasury stock and they are available for reissue. Presently, we have no plans to distribute these shares, although we may change these plans if necessary to fulfill our on-going business objectives.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4" w:right="23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Obligations</w:t>
      </w:r>
    </w:p>
    <w:p>
      <w:pPr>
        <w:spacing w:after="0" w:line="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the effect these obligations are expected to have on our liquidity and cash flow in future periods.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60" w:type="dxa"/>
            <w:vAlign w:val="bottom"/>
          </w:tcPr>
          <w:p>
            <w:pPr>
              <w:jc w:val="right"/>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1 - 3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16"/>
              <w:spacing w:after="0" w:line="149"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Purchase obligations consist of contractual payments to purchase tooling and other fixed assets.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cash outlays expected during 2015; however, because our cash is located in various jurisdictions throughout the world, we may at times need to borrow from our revolving line of credit until we are able to transfer cash among our various entities.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liquidity is subject to various risks including the market risks identified in the section entitled "Quantitative and Qualitative Disclosures about Market Risk" in Item 7A.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On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76,174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44,593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 borrowing resources</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54,987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54,987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55,000</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31, 2014, we had $43.5 million, $50.8 million, $12.9 million and $5.3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December 31, 2014.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4" w:right="23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There are no commitment fees or unused line fees under the Amended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2014, we were in compliance with the covenants and conditions of the Amended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participate in any off 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 Notes to Consolidated Financial Statements — Note 2" for a discussion of recent accounting pronouncements.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interest rate risk related to our debt. Although at December 31, 2014, we had no outstanding borrowings under our revolving line of credit, from time to time we need to borrow amounts for working capital and other liquidity needs. Under the Amended Credit Agreement that became effective on October 9, 2014,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year ended December 31, 2014.</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2014,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are the Chinese Yuan Renminbi, Euro, British Pound, Argentinian Peso, Brazilian Real, Indian Rupee, and Singapore Dollar.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For most other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gains and losses of the related foreign currency-denominated exposures.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difficult to estimate the impact of fluctuations on reported net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sensitivity of earnings and cash flows to variability in exchange rates is assessed by applying an approximate range of potential rate fluctuations to our assets, obligations and projected results of operations denominated in foreign currency, net of the hedging impact of foreign currency contracts in place, with all other variables held constant. Based on our overall foreign currency rate exposure at December 31, 2014, we believe that movements in foreign currency rates may have a material effect on our financial position. We estimate that if the exchange rates for the Chinese Yuan Renminbi, Euro, British Pound, Argentinian Peso, Brazilian Real, Indian Rupee, and Singapore Dollar relative to the U.S. Dollar fluctuate 10% from December 31, 2014, net income in the first quarter of 2015 would fluctuate by approximately $6.6 million.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4" w:right="2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4220" w:type="dxa"/>
            <w:vAlign w:val="bottom"/>
            <w:gridSpan w:val="2"/>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Report of Independent Registered Public Accounting Firm</w:t>
              </w:r>
            </w:hyperlink>
          </w:p>
        </w:tc>
        <w:tc>
          <w:tcPr>
            <w:tcW w:w="6840" w:type="dxa"/>
            <w:vAlign w:val="bottom"/>
            <w:gridSpan w:val="6"/>
          </w:tcPr>
          <w:p>
            <w:pPr>
              <w:spacing w:after="0"/>
              <w:rPr>
                <w:sz w:val="19"/>
                <w:szCs w:val="19"/>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60" w:type="dxa"/>
            <w:vAlign w:val="bottom"/>
            <w:gridSpan w:val="8"/>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Consolidated Balance Sheets at December 31, 2014 and 2013</w:t>
              </w:r>
            </w:hyperlink>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460" w:type="dxa"/>
            <w:vAlign w:val="bottom"/>
            <w:gridSpan w:val="4"/>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Consolidated Income Statements for the Years Ended December 31, 2014, 2013 and 2012</w:t>
              </w:r>
            </w:hyperlink>
          </w:p>
        </w:tc>
        <w:tc>
          <w:tcPr>
            <w:tcW w:w="4600" w:type="dxa"/>
            <w:vAlign w:val="bottom"/>
            <w:gridSpan w:val="4"/>
          </w:tcPr>
          <w:p>
            <w:pPr>
              <w:spacing w:after="0"/>
              <w:rPr>
                <w:sz w:val="21"/>
                <w:szCs w:val="21"/>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40" w:type="dxa"/>
            <w:vAlign w:val="bottom"/>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Consolidated Comprehensive Income Statements for the Years Ended December 31, 2014, 2013 and 2012</w:t>
              </w:r>
            </w:hyperlink>
          </w:p>
        </w:tc>
        <w:tc>
          <w:tcPr>
            <w:tcW w:w="3420" w:type="dxa"/>
            <w:vAlign w:val="bottom"/>
            <w:gridSpan w:val="2"/>
          </w:tcPr>
          <w:p>
            <w:pPr>
              <w:spacing w:after="0"/>
              <w:rPr>
                <w:sz w:val="21"/>
                <w:szCs w:val="21"/>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660" w:type="dxa"/>
            <w:vAlign w:val="bottom"/>
            <w:gridSpan w:val="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Stockholders' Equity for the Years Ended December 31, 2014, 2013 and 2012</w:t>
              </w:r>
            </w:hyperlink>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Cash Flows for the Years Ended December 31, 2014, 2013 and 2012</w:t>
              </w:r>
            </w:hyperlink>
          </w:p>
        </w:tc>
        <w:tc>
          <w:tcPr>
            <w:tcW w:w="700" w:type="dxa"/>
            <w:vAlign w:val="bottom"/>
            <w:gridSpan w:val="2"/>
          </w:tcPr>
          <w:p>
            <w:pPr>
              <w:spacing w:after="0"/>
              <w:rPr>
                <w:sz w:val="21"/>
                <w:szCs w:val="21"/>
                <w:color w:val="auto"/>
              </w:rPr>
            </w:pPr>
          </w:p>
        </w:tc>
        <w:tc>
          <w:tcPr>
            <w:tcW w:w="3400" w:type="dxa"/>
            <w:vAlign w:val="bottom"/>
          </w:tcPr>
          <w:p>
            <w:pPr>
              <w:spacing w:after="0"/>
              <w:rPr>
                <w:sz w:val="21"/>
                <w:szCs w:val="21"/>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820" w:type="dxa"/>
            <w:vAlign w:val="bottom"/>
            <w:gridSpan w:val="4"/>
            <w:shd w:val="clear" w:color="auto" w:fill="0000EE"/>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6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Notes to Consolidated Financial Statements</w:t>
              </w:r>
            </w:hyperlink>
          </w:p>
        </w:tc>
        <w:tc>
          <w:tcPr>
            <w:tcW w:w="4100" w:type="dxa"/>
            <w:vAlign w:val="bottom"/>
            <w:gridSpan w:val="3"/>
          </w:tcPr>
          <w:p>
            <w:pPr>
              <w:spacing w:after="0"/>
              <w:rPr>
                <w:sz w:val="21"/>
                <w:szCs w:val="21"/>
                <w:color w:val="auto"/>
              </w:rPr>
            </w:pPr>
          </w:p>
        </w:tc>
        <w:tc>
          <w:tcPr>
            <w:tcW w:w="300" w:type="dxa"/>
            <w:vAlign w:val="bottom"/>
            <w:gridSpan w:val="2"/>
          </w:tcPr>
          <w:p>
            <w:pPr>
              <w:jc w:val="right"/>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9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All schedules are omitted because they are not applicable or the required information is shown in the consolidated financial statements or notes thereto.</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14" w:right="25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Universal Electronics Inc. (a Delaware corporation) (the "Company") as of December 31, 2014 and 2013, and the related consolidated statements of income, comprehensive income,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Universal Electronics Inc. as of December 31, 2014 and 2013, and the results of its operations and its cash flows for each of the three years in the period ended December 31, 2014, in conformity with accounting principles generally accepted in the United States of America.</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5, 2015 expressed an unqualified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share-related data)</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76,174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97,989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95,408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97,474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96,309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6,167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319,965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278,466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76,135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75,570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24,614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6,455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5,279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423,733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69,991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Accrued sales discounts, rebates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8,539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Accrued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accrued expenses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136,365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119,918</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Income tax payable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147,449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132,463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$0.01 par value, 5,000,000 shares authorized; none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$0.01 par value, 50,000,000 shares authorized; 22,909,884 and 22,344,121 shares issued on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2014 and 2013, respectively</w:t>
            </w: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214,710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199,513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226,066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193,532</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436,559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396,250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cost of common stock in treasury, 7,008,475 and 6,639,497 shares on December 31, 2014 and 2013, respectively</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(104,980)</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315,621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291,270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463,070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423,733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See Note 5 for further information concerning our purchases from a related party vendor.</w:t>
      </w:r>
    </w:p>
    <w:p>
      <w:pPr>
        <w:spacing w:after="0" w:line="2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4" w:right="239" w:bottom="1440" w:gutter="0" w:footer="0" w:header="0"/>
          <w:type w:val="continuous"/>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562,329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463,090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329,653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14,152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108,645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102,861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93,083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41,280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32,154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26,202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32,534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16,553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32,534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16,553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25,106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24,893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16,667</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2011</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Tax benefit from exercise of non-qualified stock options and vested restricted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2012</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Tax benefit from exercise of non-qualified stock options and vested restricted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2013</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Currency translation adjustment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for employee benefit plan and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 of treasury shares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options exercised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Shares issued to Directors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December 31, 2014</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60" w:type="dxa"/>
            <w:vAlign w:val="bottom"/>
            <w:gridSpan w:val="3"/>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w w:val="95"/>
              </w:rPr>
              <w:t>Issued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in Treasury</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980" w:type="dxa"/>
            <w:vAlign w:val="bottom"/>
            <w:gridSpan w:val="3"/>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2"/>
                <w:szCs w:val="2"/>
                <w:color w:val="auto"/>
              </w:rPr>
            </w:pPr>
          </w:p>
        </w:tc>
        <w:tc>
          <w:tcPr>
            <w:tcW w:w="78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247"/>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21,143</w:t>
            </w:r>
          </w:p>
        </w:tc>
        <w:tc>
          <w:tcPr>
            <w:tcW w:w="660" w:type="dxa"/>
            <w:vAlign w:val="bottom"/>
            <w:gridSpan w:val="3"/>
          </w:tcPr>
          <w:p>
            <w:pPr>
              <w:jc w:val="right"/>
              <w:ind w:right="27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173,701</w:t>
            </w:r>
          </w:p>
        </w:tc>
        <w:tc>
          <w:tcPr>
            <w:tcW w:w="100" w:type="dxa"/>
            <w:vAlign w:val="bottom"/>
          </w:tcPr>
          <w:p>
            <w:pPr>
              <w:spacing w:after="0"/>
              <w:rPr>
                <w:sz w:val="21"/>
                <w:szCs w:val="21"/>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154,016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229,989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16,553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16,553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4,575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4,575</w:t>
            </w:r>
          </w:p>
        </w:tc>
        <w:tc>
          <w:tcPr>
            <w:tcW w:w="0" w:type="dxa"/>
            <w:vAlign w:val="bottom"/>
          </w:tcPr>
          <w:p>
            <w:pPr>
              <w:spacing w:after="0"/>
              <w:rPr>
                <w:sz w:val="1"/>
                <w:szCs w:val="1"/>
                <w:color w:val="auto"/>
              </w:rPr>
            </w:pPr>
          </w:p>
        </w:tc>
      </w:tr>
      <w:tr>
        <w:trPr>
          <w:trHeight w:val="356"/>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21,491</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(101,793)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180,607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1,052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170,569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250,650</w:t>
            </w:r>
          </w:p>
        </w:tc>
        <w:tc>
          <w:tcPr>
            <w:tcW w:w="0" w:type="dxa"/>
            <w:vAlign w:val="bottom"/>
          </w:tcPr>
          <w:p>
            <w:pPr>
              <w:spacing w:after="0"/>
              <w:rPr>
                <w:sz w:val="1"/>
                <w:szCs w:val="1"/>
                <w:color w:val="auto"/>
              </w:rPr>
            </w:pPr>
          </w:p>
        </w:tc>
      </w:tr>
      <w:tr>
        <w:trPr>
          <w:trHeight w:val="259"/>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22,963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22,963</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1,930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1,930</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12,371</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5,342</w:t>
            </w:r>
          </w:p>
        </w:tc>
        <w:tc>
          <w:tcPr>
            <w:tcW w:w="0" w:type="dxa"/>
            <w:vAlign w:val="bottom"/>
          </w:tcPr>
          <w:p>
            <w:pPr>
              <w:spacing w:after="0"/>
              <w:rPr>
                <w:sz w:val="1"/>
                <w:szCs w:val="1"/>
                <w:color w:val="auto"/>
              </w:rPr>
            </w:pPr>
          </w:p>
        </w:tc>
      </w:tr>
      <w:tr>
        <w:trPr>
          <w:trHeight w:val="356"/>
        </w:trPr>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25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22,344</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(104,980)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199,513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2,982</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193,532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291,270</w:t>
            </w:r>
          </w:p>
        </w:tc>
        <w:tc>
          <w:tcPr>
            <w:tcW w:w="0" w:type="dxa"/>
            <w:vAlign w:val="bottom"/>
          </w:tcPr>
          <w:p>
            <w:pPr>
              <w:spacing w:after="0"/>
              <w:rPr>
                <w:sz w:val="1"/>
                <w:szCs w:val="1"/>
                <w:color w:val="auto"/>
              </w:rPr>
            </w:pPr>
          </w:p>
        </w:tc>
      </w:tr>
      <w:tr>
        <w:trPr>
          <w:trHeight w:val="259"/>
        </w:trPr>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32,534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32,534</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(7,428)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(16,168)</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8,118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8,122</w:t>
            </w:r>
          </w:p>
        </w:tc>
        <w:tc>
          <w:tcPr>
            <w:tcW w:w="0" w:type="dxa"/>
            <w:vAlign w:val="bottom"/>
          </w:tcPr>
          <w:p>
            <w:pPr>
              <w:spacing w:after="0"/>
              <w:rPr>
                <w:sz w:val="1"/>
                <w:szCs w:val="1"/>
                <w:color w:val="auto"/>
              </w:rPr>
            </w:pPr>
          </w:p>
        </w:tc>
      </w:tr>
      <w:tr>
        <w:trPr>
          <w:trHeight w:val="27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6,444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6,444</w:t>
            </w:r>
          </w:p>
        </w:tc>
        <w:tc>
          <w:tcPr>
            <w:tcW w:w="0" w:type="dxa"/>
            <w:vAlign w:val="bottom"/>
          </w:tcPr>
          <w:p>
            <w:pPr>
              <w:spacing w:after="0"/>
              <w:rPr>
                <w:sz w:val="1"/>
                <w:szCs w:val="1"/>
                <w:color w:val="auto"/>
              </w:rPr>
            </w:pPr>
          </w:p>
        </w:tc>
      </w:tr>
      <w:tr>
        <w:trPr>
          <w:trHeight w:val="237"/>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22,910</w:t>
            </w:r>
          </w:p>
        </w:tc>
        <w:tc>
          <w:tcPr>
            <w:tcW w:w="660" w:type="dxa"/>
            <w:vAlign w:val="bottom"/>
            <w:gridSpan w:val="3"/>
          </w:tcPr>
          <w:p>
            <w:pPr>
              <w:jc w:val="right"/>
              <w:ind w:right="277"/>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214,710</w:t>
            </w:r>
          </w:p>
        </w:tc>
        <w:tc>
          <w:tcPr>
            <w:tcW w:w="10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226,066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315,621</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-4767580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-4424680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-4081145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-3738245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-3395345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-3001010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-2649220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-2306320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-1963420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-1568450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-1217295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-874395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-530860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-187960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920" w:space="320"/>
            <w:col w:w="7180"/>
          </w:cols>
          <w:pgMar w:left="240" w:top="11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See Note 5 for further information concerning our purchases from a related party vendor.</w:t>
      </w:r>
    </w:p>
    <w:p>
      <w:pPr>
        <w:spacing w:after="0" w:line="167" w:lineRule="exact"/>
        <w:rPr>
          <w:sz w:val="20"/>
          <w:szCs w:val="20"/>
          <w:color w:val="auto"/>
        </w:rPr>
      </w:pPr>
    </w:p>
    <w:p>
      <w:pPr>
        <w:jc w:val="right"/>
        <w:ind w:right="28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type w:val="continuous"/>
        </w:sectPr>
      </w:pPr>
    </w:p>
    <w:bookmarkStart w:id="41" w:name="page42"/>
    <w:bookmarkEnd w:id="4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0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32,534</w:t>
            </w:r>
          </w:p>
        </w:tc>
        <w:tc>
          <w:tcPr>
            <w:tcW w:w="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22,963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16,553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17,613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Provision for inventory write-downs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2,536</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Tax benefit from exercise of stock options and vested restricted stock</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Shares issued for employee benefit plan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4,575</w:t>
            </w:r>
          </w:p>
        </w:tc>
      </w:tr>
      <w:tr>
        <w:trPr>
          <w:trHeight w:val="224"/>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(8,998)</w:t>
            </w:r>
          </w:p>
        </w:tc>
      </w:tr>
      <w:tr>
        <w:trPr>
          <w:trHeight w:val="237"/>
        </w:trPr>
        <w:tc>
          <w:tcPr>
            <w:tcW w:w="67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2,987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r>
      <w:tr>
        <w:trPr>
          <w:trHeight w:val="237"/>
        </w:trPr>
        <w:tc>
          <w:tcPr>
            <w:tcW w:w="67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8,186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Accrued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63,473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43,543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(used for) provided by financing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Issuance of debt</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30,800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(47,200)</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issuance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2,204</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purchased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 from 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for) provided by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10,038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(17,578)</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859</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36,347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15,221</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76,174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44,593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29,372</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112,521</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76,174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44,593</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305"/>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taxes paid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7,178</w:t>
            </w:r>
          </w:p>
        </w:tc>
        <w:tc>
          <w:tcPr>
            <w:tcW w:w="4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10,445</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paid</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4" w:right="239" w:bottom="1440" w:gutter="0" w:footer="0" w:header="0"/>
          <w:type w:val="continuous"/>
        </w:sectPr>
      </w:pPr>
    </w:p>
    <w:bookmarkStart w:id="42" w:name="page43"/>
    <w:bookmarkEnd w:id="4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Universal Electronics Inc. ("UEI"), based in Southern California, develops and manufactures a broad line of easy-to-use, pre-programmed universal wireless control products and audio-video accessories as well as software designed to enable consumers to wirelessly connect, control and interact with an increasingly complex home entertainment environment. In addition, over the past 27 years we have developed a broad portfolio of patented technologies and a database of home connectivity software that we license to our customers, including many leading Fortune 500 companies.</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Our primary markets include cable and satellite television service provider, original equipment manufacturer ("OEM"), retail, private label, and personal computing companies. We sell directly to our customers, and for retail we also sell through distributors in Europe, Australia, New Zealand, South Africa, the Middle East, Mexico, and selected countries in Asia and Latin America under the </w:t>
      </w:r>
      <w:r>
        <w:rPr>
          <w:rFonts w:ascii="Times New Roman" w:cs="Times New Roman" w:eastAsia="Times New Roman" w:hAnsi="Times New Roman"/>
          <w:sz w:val="18"/>
          <w:szCs w:val="18"/>
          <w:i w:val="1"/>
          <w:iCs w:val="1"/>
          <w:color w:val="auto"/>
        </w:rPr>
        <w:t>One For All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Nevo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brand names.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terms "we", "us" and "our" refer to Universal Electronics Inc. and its subsidiaries unless the context indicates to the contrary.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those of our wholly-owned subsidiaries. All intercompany accounts and transactions have been eliminated in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accompanying consolidated financial statements have been reclassified to conform to the current year presentation. These reclassifications had no effect on previously reported net income or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sales returns and doubtful accounts, inventory valuation, our review for impairment of long-lived assets, intangible assets and goodwill, income taxes and stock-based compensation expense. Actual results may differ from these assumptions and estimates, and they may be adjusted as more information becomes available. Any adjustment may be material.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on the sale of products when title of the goods has transferred, there is persuasive evidence of an arrangement (such as when a purchase order is received from the customer), the sales price is fixed or determinable, and collectability is reasonably assured.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recorded for estimated sales returns is deducted from gross sales to arrive at net sales in the period the related revenue is recorded. These estimates are based on historical sales returns, analysis of credit memo data and other known factors. We have no obligations after delivery of our products other than the associated warranties. See Note 13 for further information concerning our warranty obligations.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for discounts and rebates based on historical experience and our expectations regarding future sales to our customers. Accruals for discounts and rebates are recorded as a reduction to sales in the same period as the related revenues. Changes in such accruals may be required if future rebates and incentives differ from our estimates.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Sales allowances are recognized as reductions of gross accounts receivable to arrive at accounts receivable, net if the sales allowances are distributed in customer account credits. See Note 4 for further information concerning our sales allowances.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sale of tooling is recognized when the related services have been provided, customer acceptance documentation has been obtained, the sales price is fixed or determinable, and collectability is reasonably assured.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4" w:right="23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service revenue, which is paid monthly, as a result of providing consumer support programs to some of our customers through our call centers. These service revenues are recognized when services are performed, persuasive evidence of an arrangement exists (such as when a signed agreement is received from the customer), the sales price is fixed or determinable, and collectability is reasonably assured.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license our intellectual property including our patented technologies, trademarks, and database of infrared codes. When our license fees are paid on a per unit basis we record license revenue when our customers ship a product incorporating our intellectual property, persuasive evidence of an arrangement exists, the sales price is fixed or determinable, and collectability is reasonably assured. When a fixed upfront license fee is received in exchange for the delivery of a particular database of infrared codes that represents the culmination of the earnings process, we record revenues when delivery has occurred, persuasive evidence of an arrangement exists, the sales price is fixed or determinable and collectability is reasonably assured. Revenue for term license fees is recognized on a straight-line basis over the effective term of the license when we cannot reliably predict in which periods, within the term of the license, the licensee will benefit from the use of our patented inventions.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all non-income government-assessed taxes (sales, use and value added taxes) collected from our customers and remitted to governmental agencies on a net basis (excluded from revenue) in our financial statements. The government-assessed taxes are recorded in other accrued expenses until they are remitted to the government agency.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 expense includes U.S. and foreign income taxes. We account for income taxes using the liability method. We record deferred tax assets and deferred tax liabilities on our balance sheet for expected future tax consequences of events recognized in our financial statements in a different period than our tax return using enacted tax rates that will be in effect when these differences reverse. We record a valuation allowance to reduce net deferred tax assets if we determine that it is more likely than not that the deferred tax assets will not be realized. A current tax asset or liability is recognized for the estimated taxes refundable or payable for the current year.</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Accounting standards prescribe a recognition threshold and a measurement attribute for the financial statement recognition and measurement of the positions taken or expected to be taken in a tax return. For those benefits to be recognized, a tax position must be more likely than not to be sustained upon examination by taxing authorities. A "more likely than not" tax position is measured as the largest amount of benefit that is greater than fifty percent likely of being realized upon ultimate settlement, or else a full reserve is established against the tax asset or a liability is recorded. See Note 9 for further information concerning income taxes.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salaries, employee benefits, supplies and materials.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 totaled $1.2 million, $1.2 million, and $1.3 million for the years ended December 31, 2014, 2013 and 2012,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Fees and Costs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include shipping and handling fees billed to customers in net sales. Shipping and handling costs associated with in-bound freight are recorded in cost of goods sold. Other shipping and handling costs are included in selling, general and administrative expenses and totaled $11.3 million, $11.3 million and $9.2 million for the years ended December 31, 2014, 2013 and 2012,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grant date fair value of stock-based compensation awards as expense, net of estimated forfeitures, in proportion to vesting during the requisite service period, which ranges from one to four years. Estimated forfeiture rates are based upon historical forfeitures.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determine the fair value of restricted stock awards utilizing the average of the high and low trade prices of our Company's shares on the date they were granted.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4" w:right="2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to employees and directors is determined utilizing the Black-Scholes option pricing model. The assumptions utilized in the Black-Scholes model include risk-free interest rate, expected volatility, and expected life in years. The risk-free interest rate over the expected term is equal to the prevailing U.S. Treasury note rate over the same period. Expected volatility is determined utilizing historical volatility over a period of time equal to the expected life of the stock option. Expected life is computed utilizing historical exercise patterns and post-vesting behavior. The dividend yield is assumed to be zero since we have not historically declared dividends and do not have any plans to declare dividends in the future. See Note 16 for further information regarding stock-based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 and Foreign Currency Transactions</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 U.S. Dollar as our functional currency for financial reporting purposes. The functional currency for most of our foreign subsidiaries is their local currency. The translation of foreign currencies into U.S. Dollars is performed for balance sheet accounts using exchange rates in effect at the balance sheet dates and for revenue and expense accounts using the average exchange rate during each period. The gains and losses resulting from the translation are included in the foreign currency translation adjustment account, a component of accumulated other comprehensive income in stockholders' equity, and are excluded from net income. The portions of intercompany accounts receivable and accounts payable that are intended for settlement are translated at exchange rates in effect at the balance sheet date. Our intercompany foreign investments and long-term debt that are not intended for settlement are translated using historical exchange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gains and losses generated by the effect of changes in foreign currency exchange rates on recorded assets and liabilities denominated in a currency different than the functional currency of the applicable entity are recorded in other income (expense), net. See Note 17 for further information concerning transaction gains and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including the dilutive effect of stock option and restricted stock awards, outstanding during the period. Dilutive potential common shares for all periods presented are computed utilizing the treasury stock method.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computation of diluted earnings per common share we exclude stock options with exercise prices greater than the average market price of the underlying common stock because their inclusion would be anti-dilutive. Furthermore, we exclude shares of restricted stock whose combined unamortized fair value and excess tax benefits are greater than the average market price of the underlying common stock during the period, as their effect would be anti-dilutive.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primarily of cash and cash equivalents, accounts receivable, accounts payable, accrued liabilities and debt. The carrying value of our financial instruments approximates fair value as a result of their short maturities. See Notes 3, 4, 5, 8, 10, and 11 for further information concerning our financial instruments.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accounts and all investments purchased with initial maturities of three months or less. We attempt to mitigate our exposure to liquidity, credit and other relevant risks by placing our cash and cash equivalents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 See Note 3 for further information concerning cash and cash equivalents.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an allowance for doubtful accounts for estimated losses resulting from the inability of our customers to make payments for products sold or services rendered. The allowance for doubtful accounts is based on a variety of factors, including credit reviews, historical experience, length of time receivables are past due, current economic trends and changes in customer payment behavior.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record specific provisions for individual accounts when we become aware of a customer's inability to meet its financial obligations to us, such as in the case of bankruptcy filings or deterioration in the customer's operating results or financial position. If circumstances related to a customer change, our estimates of the recoverability of the receivables would be further adjusted.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consist of remote controls, audio-video accessories as well as the related component parts and raw materials. Inventoriable costs include materials, labor, freight-in and manufacturing overhead related to the purchase and production of inventories. We value our inventories at the lower of cost or market. Cost is determined using the first-in, first-out method. We attempt to carry inventories in amounts necessary to satisfy our customer requirements on a timely basis. See Note 5 for further information concerning our inventories and suppliers.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innovations and technological advances may shorten a given product's life cycle. We continually monitor our inventories to identify any excess or obsolete items on hand. We write-down our inventories for estimated excess and obsolescence in an amount equal to the difference between the cost of the inventories and estimated net realizable value. These estimates are based upon management's judgment about future demand and market conditions. Actual results may differ from management's judgments and additional write-downs may be required.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The cost of property, plant, and equipment includes the purchase price of the asset and all expenditures necessary to prepare the asset for its intended use. We capitalize additions and improvements and expense maintenance and repairs as incurred. To qualify for capitalization, an asset, excluding computer equipment, must have a useful life greater than one year and a cost equal to or greater than $5,000 for individual assets or $5,000 for assets purchased in bulk. To qualify for capitalization, computer equipment, must have a useful life of greater than one year and a cost equal to or greater than $1,000 for individual assets or $5,000 for assets purchased in bulk.</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capitalize certain internal and external costs incurred to acquire or create internal use software, principally related to software coding, designing system interfaces and installation and testing of the software.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financial reporting purposes, depreciation is calculated using the straight-line method over the estimated useful lives of the respective assets. When assets are retired or otherwise disposed of, the cost and accumulated depreciation are removed from the appropriate accounts and any gain or loss is included as a component of depreciation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useful lives consist of the following: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25-33 Years</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Tooling and equipment</w:t>
            </w: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3-5 Years</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3-7 Years</w:t>
            </w:r>
          </w:p>
        </w:tc>
      </w:tr>
      <w:tr>
        <w:trPr>
          <w:trHeight w:val="27"/>
        </w:trPr>
        <w:tc>
          <w:tcPr>
            <w:tcW w:w="65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9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5-8 Years</w:t>
            </w:r>
          </w:p>
        </w:tc>
      </w:tr>
      <w:tr>
        <w:trPr>
          <w:trHeight w:val="225"/>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Lesser of lease term or useful life</w:t>
            </w:r>
          </w:p>
        </w:tc>
      </w:tr>
      <w:tr>
        <w:trPr>
          <w:trHeight w:val="234"/>
        </w:trPr>
        <w:tc>
          <w:tcPr>
            <w:tcW w:w="65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(approximately 2 to 10 years)</w:t>
            </w:r>
          </w:p>
        </w:tc>
      </w:tr>
      <w:tr>
        <w:trPr>
          <w:trHeight w:val="405"/>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See Note 6 for further information concerning our property, plant, and equipment.</w:t>
            </w:r>
          </w:p>
        </w:tc>
        <w:tc>
          <w:tcPr>
            <w:tcW w:w="4900" w:type="dxa"/>
            <w:vAlign w:val="bottom"/>
          </w:tcPr>
          <w:p>
            <w:pPr>
              <w:spacing w:after="0"/>
              <w:rPr>
                <w:sz w:val="24"/>
                <w:szCs w:val="24"/>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 the excess purchase price of net tangible and intangible assets acquired over their estimated fair value as goodwill. We evaluate the carrying value of goodwill on December 31 of each year and between annual evaluations if events occur or circumstances change that may reduce the fair value of the reporting unit below its carrying amount. Such circumstances may include, but are not limited to: (1) a significant adverse change in legal factors or in business climate, (2) unanticipated competition, or (3) an adverse action or assessment by a regulator.</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performing the impairment review, we determine the carrying amount of each reporting unit by assigning assets and liabilities, including the existing goodwill, to those reporting units. A reporting unit is defined as an operating segment or one level below an operating segment (referred to as a component). A component of an operating segment is deemed a reporting unit if the component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4" w:right="23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constitutes a business for which discrete financial information is available, and segment management regularly reviews the operating results of that component. We have a single reporting unit.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evaluate whether goodwill is impaired, we conduct a two-step quantitative goodwill impairment test. In the first step we compare the estimated fair value of the reporting unit to which the goodwill is assigned to the reporting unit's carrying amount, including goodwill. We estimate the fair value of our reporting unit based on income and market approaches. Under the income approach, we calculate the fair value of a reporting unit based on the present value of estimated future cash flows. Under the market approach, we estimate the fair value based on market multiples of enterprise value to EBITDA for comparable companies. If the carrying value of the net assets assigned to the reporting unit exceeds the fair value of the reporting unit, then we perform the second step of the impairment test in order to determine the implied fair value of the reporting unit's goodwill. To calculate the implied fair value of the reporting unit's goodwill, the fair value of the reporting unit is first allocated to all of the other assets and liabilities of that unit based on their fair values. The excess of the reporting unit's fair value over the amount assigned to its other assets and liabilities is the implied fair value of goodwill. An impairment loss would be recognized equal to the amount by which the carrying value of goodwill exceeds its implied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further information concerning goodwill.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and Intangible Assets Impairment</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Intangible assets consist principally of distribution rights, patents, trademarks, trade names, developed and core technologies, capitalized software development costs (see also Note 2 under the caption </w:t>
      </w:r>
      <w:r>
        <w:rPr>
          <w:rFonts w:ascii="Times New Roman" w:cs="Times New Roman" w:eastAsia="Times New Roman" w:hAnsi="Times New Roman"/>
          <w:sz w:val="18"/>
          <w:szCs w:val="18"/>
          <w:i w:val="1"/>
          <w:iCs w:val="1"/>
          <w:color w:val="auto"/>
        </w:rPr>
        <w:t>Capitalized Software Development Costs</w:t>
      </w:r>
      <w:r>
        <w:rPr>
          <w:rFonts w:ascii="Times New Roman" w:cs="Times New Roman" w:eastAsia="Times New Roman" w:hAnsi="Times New Roman"/>
          <w:sz w:val="18"/>
          <w:szCs w:val="18"/>
          <w:color w:val="auto"/>
        </w:rPr>
        <w:t>) and customer relationships. Capitalized amounts related to patents represent external legal costs for the application and maintenance of patents. Intangible assets are amortized using the straight-line method over their estimated period of benefit, ranging from one to fifteen years.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the impairment of long-lived assets and intangible assets whenever events or changes in circumstances indicate that the carrying value may not be recoverable. Factors considered important which may trigger an impairment review include the following: (1) significant underperformance relative to expected historical or projected future operating results; (2) significant changes in the manner or use of the assets or strategy for the overall business; (3) significant negative industry or economic trends and (4) a significant decline in our stock price for a sustained period.</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conduct an impairment review when we determine that the carrying value of a long-lived or intangible asset may not be recoverable based upon the existence of one or more of the above indicators of impairment. The asset is impaired if its carrying value exceeds the sum of the undiscounted cash flows expected to result from the use and eventual disposition of the asset. In assessing recoverability, we must make assumptions regarding estimated future cash flows and other factors.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impairment loss is the amount by which the carrying value of the asset exceeds its fair value. We estimate fair value utilizing the projected discounted cash flow method and a discount rate determined by our management to be commensurate with the risk inherent in our current business model. When calculating fair value, we must make assumptions regarding estimated future cash flows, discount rates and other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6 and 15 for further information concerning long-lived assets. See Note 7 for further information concerning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Development Costs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to develop software for resale are expensed when incurred as research and development expense until technological feasibility has been established. We have determined that technological feasibility for our products is typically established when a working prototype is complete. Once technological feasibility is established, software development costs are capitalized until the product is available for general release to customers.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software development costs are amortized on a product-by-product basis. Amortization is recorded in cost of sales and is the greater of the amounts computed using:</w:t>
      </w:r>
    </w:p>
    <w:p>
      <w:pPr>
        <w:spacing w:after="0" w:line="108" w:lineRule="exact"/>
        <w:rPr>
          <w:sz w:val="20"/>
          <w:szCs w:val="20"/>
          <w:color w:val="auto"/>
        </w:rPr>
      </w:pPr>
    </w:p>
    <w:p>
      <w:pPr>
        <w:ind w:left="980" w:hanging="324"/>
        <w:spacing w:after="0" w:line="28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book value at the beginning of the period multiplied by the ratio that current gross revenues for a product bear to the total of current and anticipated future gross revenues for that product; or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straight-line method over the remaining estimated economic life of the product including the period being reported 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amortization of capitalized software development costs begins when the related product is available for general release to customers. The amortization period is generally two years.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compare the unamortized capitalized software development costs of a product to its net realizable value at each balance sheet date. The amount by which the unamortized capitalized software development costs exceed the product's net realizable value is written off. The net realizable value is the estimated future gross revenues of a product reduced by its estimated completion and disposal costs. Any remaining amount of capitalized software development costs are considered to be the cost for subsequent accounting periods and the amount of the write-down is not subsequently restored. See Note 7 for further information concerning capitalized software development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do not enter into financial instruments for speculation or trading purposes.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derivatives we enter into have not qualified for hedge accounting. The gains and losses on both the derivatives and the foreign currency-denominated balances are recorded as foreign exchange transaction gains or losses and are classified in other income (expense), net. Derivatives are recorded on the balance sheet at fair value. The estimated fair value of derivative financial instruments represents the amount required to enter into similar offsetting contracts with similar remaining maturities based on quoted market prices. See Note 19 for further information concerning derivatives.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Fair-Value Measurements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measure fair value using the framework established by the Financial Accounting Standards Board ("FASB") for fair value measurements and disclosures. This framework requires fair value to be determined based on the exchange price that would be received for an asset or paid to transfer a liability (an exit price) in the principal or most advantageous market for the asset or liability in an orderly transaction between market participants.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techniques are based upon observable and unobservable inputs. Observable or market inputs reflect market data obtained from independent sources. Unobservable inputs require management to make certain assumptions and judgments based on the best information available. Observable inputs are the preferred data source. These two types of inputs result in the following fair value hierarchy:</w:t>
      </w:r>
    </w:p>
    <w:p>
      <w:pPr>
        <w:spacing w:after="0" w:line="122"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(unadjusted) for identical instruments in active markets.</w:t>
      </w:r>
    </w:p>
    <w:p>
      <w:pPr>
        <w:spacing w:after="0" w:line="185" w:lineRule="exact"/>
        <w:rPr>
          <w:sz w:val="20"/>
          <w:szCs w:val="20"/>
          <w:color w:val="auto"/>
        </w:rPr>
      </w:pPr>
    </w:p>
    <w:p>
      <w:pPr>
        <w:jc w:val="both"/>
        <w:ind w:left="1060" w:right="320" w:hanging="1025"/>
        <w:spacing w:after="0" w:line="266" w:lineRule="auto"/>
        <w:tabs>
          <w:tab w:leader="none" w:pos="10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36"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Prices or valuations that require management inputs that are both significant to the fair value measurement and unobservable.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which will supersede most existing U.S. GAAP revenue recognition guidance. This new standard requires an entity to recognize revenue to depict the transfer of goods or services to customers in an amount that reflects the consideration to which an entity expects to be entitled in exchange for those goods or services. In addition, ASU 2014-09 contains expanded disclosure requirements relating to the nature, amount, timing, and uncertainty of revenue and cash flows arising from contracts with customers. ASU 2014-09 is effective for fiscal periods beginning after December 15, 2016 and permits the use of either the full retrospective or cumulative effect transition method. Early adoption is not permitted. We have not yet selected a transition method and are evaluating the impact that this new standard will have on our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4" w:right="2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were held in the following geographic regions: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43,546</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30,082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50,799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34,627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12,912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7,161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South America</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112,521</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76,174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Accounts Receivable, Net and Revenue Concentrations</w:t>
            </w: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were as follows: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receivables, gross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91,605</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94,325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sales returns</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trade receivables</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90,372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92,982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7,617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2,426</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97,989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95,408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allowance for doubtful accounts were as follows: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w:t>
            </w:r>
          </w:p>
        </w:tc>
        <w:tc>
          <w:tcPr>
            <w:tcW w:w="1180" w:type="dxa"/>
            <w:vAlign w:val="bottom"/>
            <w:tcBorders>
              <w:bottom w:val="single" w:sz="8" w:color="CCEEFF"/>
            </w:tcBorders>
            <w:gridSpan w:val="2"/>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costs and expenses</w:t>
            </w:r>
          </w:p>
        </w:tc>
        <w:tc>
          <w:tcPr>
            <w:tcW w:w="380" w:type="dxa"/>
            <w:vAlign w:val="bottom"/>
          </w:tcPr>
          <w:p>
            <w:pPr>
              <w:spacing w:after="0"/>
              <w:rPr>
                <w:sz w:val="21"/>
                <w:szCs w:val="21"/>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(Write-offs)/FX effects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sales returns at December 31, 2014 and 2013 included reserves for items returned prior to year-end that were not completely processed, and therefore had not yet been removed from the allowance for sales returns balance. If these returns had been fully processed, the allowance for sales returns balance would have been approximately $0.4 million and $0.5 million on December 31, 2014 and 2013, respectively. The value of these returned goods was included in our inventory balance at December 31, 2014 and 2013.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Customer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to the following customer totaled more than 10% of our net sales: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20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4"/>
        </w:trPr>
        <w:tc>
          <w:tcPr>
            <w:tcW w:w="25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42"/>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DIRECTV</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82,679</w:t>
            </w:r>
          </w:p>
        </w:tc>
        <w:tc>
          <w:tcPr>
            <w:tcW w:w="19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78,325</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2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4"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3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loss of this customer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Net and Significant Suppliers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24,763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18,990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Components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18,623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56,458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59,393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4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97,474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96,309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Reserve for Excess and Obsolete Inventory</w:t>
            </w: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reserve for excess and obsolete inventory were as follows: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Additions charged to costs and expenses </w:t>
            </w:r>
            <w:r>
              <w:rPr>
                <w:rFonts w:ascii="Times New Roman" w:cs="Times New Roman" w:eastAsia="Times New Roman" w:hAnsi="Times New Roman"/>
                <w:sz w:val="25"/>
                <w:szCs w:val="25"/>
                <w:color w:val="auto"/>
                <w:vertAlign w:val="superscript"/>
              </w:rPr>
              <w:t>(1)</w:t>
            </w: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Sell through </w:t>
            </w:r>
            <w:r>
              <w:rPr>
                <w:rFonts w:ascii="Times New Roman" w:cs="Times New Roman" w:eastAsia="Times New Roman" w:hAnsi="Times New Roman"/>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Write-offs/FX effects</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2,714</w:t>
            </w:r>
          </w:p>
        </w:tc>
        <w:tc>
          <w:tcPr>
            <w:tcW w:w="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28" w:lineRule="auto"/>
        <w:tabs>
          <w:tab w:leader="none" w:pos="6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additions charged to costs and expenses do not include inventory directly written-off that was scrapped during production totaling $0.3 million, $0.3 million, and $0.5 million for the years ended December 31, 2014, 2013, and 2012, respectively. These amounts are production waste and are not included in management’s reserve for excess and obsolete inventory.</w:t>
      </w:r>
    </w:p>
    <w:p>
      <w:pPr>
        <w:ind w:left="660" w:hanging="328"/>
        <w:spacing w:after="0" w:line="180" w:lineRule="auto"/>
        <w:tabs>
          <w:tab w:leader="none" w:pos="6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These amounts represent the reversal of reserves associated with inventory items that were sold during the period.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Suppliers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purchase integrated circuits, components and finished goods from multiple sources. Maxim Integrated Products International Limited provided $31.2 million or 10.7% of total inventory purchases during the year ended December 31, 2014. No single supplier provided more than 10% of our total inventory purchases during the years ended December 31, 2013 and 2012.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Vendor</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0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32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11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20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116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20" w:type="dxa"/>
            <w:vAlign w:val="bottom"/>
          </w:tcPr>
          <w:p>
            <w:pPr>
              <w:jc w:val="center"/>
              <w:ind w:left="104"/>
              <w:spacing w:after="0" w:line="149" w:lineRule="exact"/>
              <w:rPr>
                <w:sz w:val="20"/>
                <w:szCs w:val="20"/>
                <w:color w:val="auto"/>
              </w:rPr>
            </w:pPr>
            <w:r>
              <w:rPr>
                <w:rFonts w:ascii="Times New Roman" w:cs="Times New Roman" w:eastAsia="Times New Roman" w:hAnsi="Times New Roman"/>
                <w:sz w:val="14"/>
                <w:szCs w:val="14"/>
                <w:b w:val="1"/>
                <w:bCs w:val="1"/>
                <w:color w:val="auto"/>
              </w:rPr>
              <w:t>% of Total Inventory</w:t>
            </w:r>
          </w:p>
        </w:tc>
        <w:tc>
          <w:tcPr>
            <w:tcW w:w="0" w:type="dxa"/>
            <w:vAlign w:val="bottom"/>
          </w:tcPr>
          <w:p>
            <w:pPr>
              <w:spacing w:after="0"/>
              <w:rPr>
                <w:sz w:val="1"/>
                <w:szCs w:val="1"/>
                <w:color w:val="auto"/>
              </w:rPr>
            </w:pPr>
          </w:p>
        </w:tc>
      </w:tr>
      <w:tr>
        <w:trPr>
          <w:trHeight w:val="195"/>
        </w:trPr>
        <w:tc>
          <w:tcPr>
            <w:tcW w:w="1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0" w:type="dxa"/>
            <w:vAlign w:val="bottom"/>
          </w:tcPr>
          <w:p>
            <w:pPr>
              <w:spacing w:after="0"/>
              <w:rPr>
                <w:sz w:val="1"/>
                <w:szCs w:val="1"/>
                <w:color w:val="auto"/>
              </w:rPr>
            </w:pPr>
          </w:p>
        </w:tc>
      </w:tr>
      <w:tr>
        <w:trPr>
          <w:trHeight w:val="249"/>
        </w:trPr>
        <w:tc>
          <w:tcPr>
            <w:tcW w:w="1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party vendor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2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2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8,845</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59"/>
        </w:trPr>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49</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accounts payable to this vendor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4"/>
        </w:trPr>
        <w:tc>
          <w:tcPr>
            <w:tcW w:w="50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(thousands)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Accounts Payable</w:t>
            </w:r>
          </w:p>
        </w:tc>
      </w:tr>
      <w:tr>
        <w:trPr>
          <w:trHeight w:val="242"/>
        </w:trPr>
        <w:tc>
          <w:tcPr>
            <w:tcW w:w="5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Related party vendor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51,901</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48,859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Tooling</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26,495</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and building improvements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17,749</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10,957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9,754</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3,835</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3,837</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163,674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162,430</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(87,703)</w:t>
            </w:r>
          </w:p>
        </w:tc>
      </w:tr>
      <w:tr>
        <w:trPr>
          <w:trHeight w:val="237"/>
        </w:trPr>
        <w:tc>
          <w:tcPr>
            <w:tcW w:w="7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73,626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74,727</w:t>
            </w:r>
          </w:p>
        </w:tc>
      </w:tr>
      <w:tr>
        <w:trPr>
          <w:trHeight w:val="27"/>
        </w:trPr>
        <w:tc>
          <w:tcPr>
            <w:tcW w:w="7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843</w:t>
            </w:r>
          </w:p>
        </w:tc>
      </w:tr>
      <w:tr>
        <w:trPr>
          <w:trHeight w:val="237"/>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76,135</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75,570</w:t>
            </w:r>
          </w:p>
        </w:tc>
      </w:tr>
      <w:tr>
        <w:trPr>
          <w:trHeight w:val="27"/>
        </w:trPr>
        <w:tc>
          <w:tcPr>
            <w:tcW w:w="77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including tooling depreciation which is recorded in cost of goods sold, was $14.1 million, $14.2 million and $13.4 million for the years ended December 31, 2014, 2013, and 2012,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net book value of property, plant, and equipment located within the People's Republic of China ("PRC") was $66.0 million and $68.2 million on December 31, 2014 and 2013,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4" w:right="23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in progress was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Buildings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Tooling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Leasehold and building improvements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Software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construction in progress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340"/>
        <w:spacing w:after="0" w:line="268" w:lineRule="auto"/>
        <w:rPr>
          <w:sz w:val="20"/>
          <w:szCs w:val="20"/>
          <w:color w:val="auto"/>
        </w:rPr>
      </w:pPr>
      <w:r>
        <w:rPr>
          <w:rFonts w:ascii="Times New Roman" w:cs="Times New Roman" w:eastAsia="Times New Roman" w:hAnsi="Times New Roman"/>
          <w:sz w:val="18"/>
          <w:szCs w:val="18"/>
          <w:b w:val="1"/>
          <w:bCs w:val="1"/>
          <w:color w:val="auto"/>
        </w:rPr>
        <w:t>UNIVERSAL ELECTRONICS INC. NOTES TO CONSOLIDATED FINANCIAL STATEMENTS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339"/>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24765</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524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2014</w:t>
      </w:r>
      <w:r>
        <w:rPr>
          <w:sz w:val="20"/>
          <w:szCs w:val="20"/>
          <w:color w:val="auto"/>
        </w:rPr>
        <w:tab/>
      </w:r>
      <w:r>
        <w:rPr>
          <w:rFonts w:ascii="Times New Roman" w:cs="Times New Roman" w:eastAsia="Times New Roman" w:hAnsi="Times New Roman"/>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24765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jc w:val="both"/>
        <w:ind w:left="4560"/>
        <w:spacing w:after="0"/>
        <w:tabs>
          <w:tab w:leader="none" w:pos="5860" w:val="left"/>
          <w:tab w:leader="none" w:pos="6360" w:val="left"/>
          <w:tab w:leader="none" w:pos="7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146</w:t>
        <w:tab/>
        <w:t>$</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5740"/>
        <w:spacing w:after="0"/>
        <w:tabs>
          <w:tab w:leader="none" w:pos="7660" w:val="left"/>
        </w:tabs>
        <w:rPr>
          <w:sz w:val="20"/>
          <w:szCs w:val="20"/>
          <w:color w:val="auto"/>
        </w:rPr>
      </w:pPr>
      <w:r>
        <w:rPr>
          <w:rFonts w:ascii="Times New Roman" w:cs="Times New Roman" w:eastAsia="Times New Roman" w:hAnsi="Times New Roman"/>
          <w:sz w:val="18"/>
          <w:szCs w:val="18"/>
          <w:color w:val="auto"/>
        </w:rPr>
        <w:t>1,045</w:t>
      </w:r>
      <w:r>
        <w:rPr>
          <w:sz w:val="20"/>
          <w:szCs w:val="20"/>
          <w:color w:val="auto"/>
        </w:rPr>
        <w:tab/>
      </w: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34290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both"/>
        <w:ind w:left="5880"/>
        <w:spacing w:after="0"/>
        <w:tabs>
          <w:tab w:leader="none" w:pos="7660" w:val="left"/>
        </w:tabs>
        <w:rPr>
          <w:sz w:val="20"/>
          <w:szCs w:val="20"/>
          <w:color w:val="auto"/>
        </w:rPr>
      </w:pPr>
      <w:r>
        <w:rPr>
          <w:rFonts w:ascii="Times New Roman" w:cs="Times New Roman" w:eastAsia="Times New Roman" w:hAnsi="Times New Roman"/>
          <w:sz w:val="18"/>
          <w:szCs w:val="18"/>
          <w:color w:val="auto"/>
        </w:rPr>
        <w:t>284</w:t>
      </w:r>
      <w:r>
        <w:rPr>
          <w:sz w:val="20"/>
          <w:szCs w:val="20"/>
          <w:color w:val="auto"/>
        </w:rPr>
        <w:tab/>
      </w:r>
      <w:r>
        <w:rPr>
          <w:rFonts w:ascii="Times New Roman" w:cs="Times New Roman" w:eastAsia="Times New Roman" w:hAnsi="Times New Roman"/>
          <w:sz w:val="18"/>
          <w:szCs w:val="18"/>
          <w:color w:val="auto"/>
        </w:rPr>
        <w:t>134</w:t>
      </w:r>
    </w:p>
    <w:p>
      <w:pPr>
        <w:spacing w:after="0" w:line="63" w:lineRule="exact"/>
        <w:rPr>
          <w:sz w:val="20"/>
          <w:szCs w:val="20"/>
          <w:color w:val="auto"/>
        </w:rPr>
      </w:pPr>
    </w:p>
    <w:p>
      <w:pPr>
        <w:jc w:val="both"/>
        <w:ind w:left="5880"/>
        <w:spacing w:after="0"/>
        <w:tabs>
          <w:tab w:leader="none" w:pos="7660" w:val="left"/>
        </w:tabs>
        <w:rPr>
          <w:sz w:val="20"/>
          <w:szCs w:val="20"/>
          <w:color w:val="auto"/>
        </w:rPr>
      </w:pPr>
      <w:r>
        <w:rPr>
          <w:rFonts w:ascii="Times New Roman" w:cs="Times New Roman" w:eastAsia="Times New Roman" w:hAnsi="Times New Roman"/>
          <w:sz w:val="18"/>
          <w:szCs w:val="18"/>
          <w:color w:val="auto"/>
        </w:rPr>
        <w:t>370</w:t>
      </w:r>
      <w:r>
        <w:rPr>
          <w:sz w:val="20"/>
          <w:szCs w:val="20"/>
          <w:color w:val="auto"/>
        </w:rPr>
        <w:tab/>
      </w: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34290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both"/>
        <w:ind w:left="5880"/>
        <w:spacing w:after="0"/>
        <w:tabs>
          <w:tab w:leader="none" w:pos="7660"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8"/>
          <w:szCs w:val="18"/>
          <w:color w:val="auto"/>
        </w:rPr>
        <w:t>372</w:t>
      </w:r>
    </w:p>
    <w:p>
      <w:pPr>
        <w:spacing w:after="0" w:line="63" w:lineRule="exact"/>
        <w:rPr>
          <w:sz w:val="20"/>
          <w:szCs w:val="20"/>
          <w:color w:val="auto"/>
        </w:rPr>
      </w:pPr>
    </w:p>
    <w:p>
      <w:pPr>
        <w:jc w:val="both"/>
        <w:ind w:left="5880"/>
        <w:spacing w:after="0"/>
        <w:tabs>
          <w:tab w:leader="none" w:pos="7760" w:val="left"/>
        </w:tabs>
        <w:rPr>
          <w:sz w:val="20"/>
          <w:szCs w:val="20"/>
          <w:color w:val="auto"/>
        </w:rPr>
      </w:pPr>
      <w:r>
        <w:rPr>
          <w:rFonts w:ascii="Times New Roman" w:cs="Times New Roman" w:eastAsia="Times New Roman" w:hAnsi="Times New Roman"/>
          <w:sz w:val="18"/>
          <w:szCs w:val="18"/>
          <w:color w:val="auto"/>
        </w:rPr>
        <w:t>329</w:t>
      </w:r>
      <w:r>
        <w:rPr>
          <w:sz w:val="20"/>
          <w:szCs w:val="20"/>
          <w:color w:val="auto"/>
        </w:rPr>
        <w:tab/>
      </w: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34290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jc w:val="both"/>
        <w:ind w:left="4560"/>
        <w:spacing w:after="0"/>
        <w:tabs>
          <w:tab w:leader="none" w:pos="5720" w:val="left"/>
          <w:tab w:leader="none" w:pos="6360" w:val="left"/>
          <w:tab w:leader="none" w:pos="7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2,509</w:t>
        <w:tab/>
        <w:t>$</w:t>
      </w:r>
      <w:r>
        <w:rPr>
          <w:sz w:val="20"/>
          <w:szCs w:val="20"/>
          <w:color w:val="auto"/>
        </w:rPr>
        <w:tab/>
      </w:r>
      <w:r>
        <w:rPr>
          <w:rFonts w:ascii="Times New Roman" w:cs="Times New Roman" w:eastAsia="Times New Roman" w:hAnsi="Times New Roman"/>
          <w:sz w:val="18"/>
          <w:szCs w:val="18"/>
          <w:color w:val="auto"/>
        </w:rPr>
        <w:t>843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51435</wp:posOffset>
            </wp:positionV>
            <wp:extent cx="223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420"/>
            <w:col w:w="8060"/>
          </w:cols>
          <w:pgMar w:left="240" w:top="114" w:right="239" w:bottom="1440" w:gutter="0" w:footer="0" w:header="0"/>
        </w:sectPr>
      </w:pP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the assets under construction will be placed into service during the first quarter of 2015. We will begin to depreciate the cost of these assets under construction once they are placed into service.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changes in the carrying amount of goodwill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30,890</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FX effects</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r>
      <w:tr>
        <w:trPr>
          <w:trHeight w:val="243"/>
        </w:trPr>
        <w:tc>
          <w:tcPr>
            <w:tcW w:w="9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FX effects</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30,739</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annual goodwill impairment reviews on December 31, 2014, 2013, and 2012 utilizing significant unobservable inputs (level 3). Based on the analysis performed, we determined that our goodwill was not impaired.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28"/>
                <w:szCs w:val="28"/>
                <w:b w:val="1"/>
                <w:bCs w:val="1"/>
                <w:color w:val="auto"/>
                <w:vertAlign w:val="subscript"/>
              </w:rPr>
              <w:t>Net</w:t>
            </w:r>
            <w:r>
              <w:rPr>
                <w:rFonts w:ascii="Times New Roman" w:cs="Times New Roman" w:eastAsia="Times New Roman" w:hAnsi="Times New Roman"/>
                <w:sz w:val="9"/>
                <w:szCs w:val="9"/>
                <w:b w:val="1"/>
                <w:bCs w:val="1"/>
                <w:color w:val="auto"/>
              </w:rPr>
              <w:t xml:space="preserve"> (1)</w:t>
            </w:r>
          </w:p>
        </w:tc>
        <w:tc>
          <w:tcPr>
            <w:tcW w:w="380" w:type="dxa"/>
            <w:vAlign w:val="bottom"/>
          </w:tcPr>
          <w:p>
            <w:pPr>
              <w:spacing w:after="0"/>
              <w:rPr>
                <w:sz w:val="12"/>
                <w:szCs w:val="12"/>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Gross </w:t>
            </w:r>
            <w:r>
              <w:rPr>
                <w:rFonts w:ascii="Times New Roman" w:cs="Times New Roman" w:eastAsia="Times New Roman" w:hAnsi="Times New Roman"/>
                <w:sz w:val="8"/>
                <w:szCs w:val="8"/>
                <w:b w:val="1"/>
                <w:bCs w:val="1"/>
                <w:color w:val="auto"/>
              </w:rPr>
              <w:t>(1)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2"/>
                <w:szCs w:val="12"/>
                <w:color w:val="auto"/>
              </w:rPr>
            </w:pPr>
          </w:p>
        </w:tc>
        <w:tc>
          <w:tcPr>
            <w:tcW w:w="980" w:type="dxa"/>
            <w:vAlign w:val="bottom"/>
            <w:vMerge w:val="restart"/>
          </w:tcPr>
          <w:p>
            <w:pPr>
              <w:jc w:val="right"/>
              <w:ind w:right="356"/>
              <w:spacing w:after="0"/>
              <w:rPr>
                <w:sz w:val="20"/>
                <w:szCs w:val="20"/>
                <w:color w:val="auto"/>
              </w:rPr>
            </w:pPr>
            <w:r>
              <w:rPr>
                <w:rFonts w:ascii="Times New Roman" w:cs="Times New Roman" w:eastAsia="Times New Roman" w:hAnsi="Times New Roman"/>
                <w:sz w:val="28"/>
                <w:szCs w:val="28"/>
                <w:b w:val="1"/>
                <w:bCs w:val="1"/>
                <w:color w:val="auto"/>
                <w:vertAlign w:val="subscript"/>
              </w:rPr>
              <w:t>Net</w:t>
            </w:r>
            <w:r>
              <w:rPr>
                <w:rFonts w:ascii="Times New Roman" w:cs="Times New Roman" w:eastAsia="Times New Roman" w:hAnsi="Times New Roman"/>
                <w:sz w:val="9"/>
                <w:szCs w:val="9"/>
                <w:b w:val="1"/>
                <w:bCs w:val="1"/>
                <w:color w:val="auto"/>
              </w:rPr>
              <w:t xml:space="preserve"> (1)</w:t>
            </w:r>
          </w:p>
        </w:tc>
        <w:tc>
          <w:tcPr>
            <w:tcW w:w="0" w:type="dxa"/>
            <w:vAlign w:val="bottom"/>
          </w:tcPr>
          <w:p>
            <w:pPr>
              <w:spacing w:after="0"/>
              <w:rPr>
                <w:sz w:val="1"/>
                <w:szCs w:val="1"/>
                <w:color w:val="auto"/>
              </w:rPr>
            </w:pPr>
          </w:p>
        </w:tc>
      </w:tr>
      <w:tr>
        <w:trPr>
          <w:trHeight w:val="200"/>
        </w:trPr>
        <w:tc>
          <w:tcPr>
            <w:tcW w:w="3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Amortization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 rights (10 years)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Patents (10 years)</w:t>
            </w:r>
          </w:p>
        </w:tc>
        <w:tc>
          <w:tcPr>
            <w:tcW w:w="2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4,628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 and trade names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25"/>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and core technology (5-15</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years)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5"/>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 years)</w:t>
            </w:r>
          </w:p>
        </w:tc>
        <w:tc>
          <w:tcPr>
            <w:tcW w:w="26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15,481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18,018</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42,643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24,614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26,963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18" w:lineRule="auto"/>
        <w:tabs>
          <w:tab w:leader="none" w:pos="66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table excludes the gross value of fully amortized intangible assets totaling $7.9 million and $6.6 million on December 31, 2014 and 2013, respectively.</w:t>
      </w:r>
    </w:p>
    <w:p>
      <w:pPr>
        <w:sectPr>
          <w:pgSz w:w="11900" w:h="16838" w:orient="portrait"/>
          <w:cols w:equalWidth="0" w:num="1">
            <w:col w:w="11420"/>
          </w:cols>
          <w:pgMar w:left="240" w:top="114"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4" w:right="239" w:bottom="1440" w:gutter="0" w:footer="0" w:header="0"/>
          <w:type w:val="continuous"/>
        </w:sectPr>
      </w:pPr>
    </w:p>
    <w:bookmarkStart w:id="52" w:name="page53"/>
    <w:bookmarkEnd w:id="5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3,862</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4,162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our intangible assets at December 31, 2014, is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3"/>
        </w:trPr>
        <w:tc>
          <w:tcPr>
            <w:tcW w:w="67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4,153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4,100</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4,015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3,996</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3,995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4,355</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24,614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weighted average amortization period of our intangible assets is 6.2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Line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2014, we extended the term of our Amended and Restated Credit Agreement ("Amended Credit Agreement") with U.S. Bank National Association ("U.S. Bank") to November 1, 2017. The Amended Credit Agreement provides for a $55.0 million line of credit ("Credit Line") that may be used for working capital and other general corporate purposes including acquisitions, share repurchases and capital expenditures. Amounts available for borrowing under the Credit Line are reduced by the balance of any outstanding letters of credit, of which there were $13 thousand at December 31, 2014.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0.00% to 0.50% ). The applicable margins are calculated quarterly and vary based on our cash flow leverage ratio as set forth in the Amended Credit Agreement. There are no commitment fees or unused line fees under the Amended Credit Agreement.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Credit Agreement includes financial covenants requiring a minimum fixed charge coverage ratio and a maximum cash flow leverage ratio. In addition, the Amended Credit Agreement also contains other customary affirmative and negative covenants and events of default. As of December 31, 2014, we were in compliance with the covenants and conditions of the Amended Credit Agreement.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no interest expense on borrowings during the year ended December 31, 2014. Our total interest expense on borrowings was $23 thousand and $0.2 million during the years ended December 31, 2013 and 2012,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4" w:right="23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income was attributed to the following jurisdictions: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2,425</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operations</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29,036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charged to operations were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(benefit) expense:</w:t>
            </w: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federal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State and local</w:t>
            </w:r>
          </w:p>
        </w:tc>
        <w:tc>
          <w:tcPr>
            <w:tcW w:w="36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6,073</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deferred tax assets were comprised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Inventory reserves</w:t>
            </w:r>
          </w:p>
        </w:tc>
        <w:tc>
          <w:tcPr>
            <w:tcW w:w="3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Capitalized inventory costs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credits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4" w:right="239" w:bottom="1440" w:gutter="0" w:footer="0" w:header="0"/>
          <w:type w:val="continuous"/>
        </w:sectPr>
      </w:pPr>
    </w:p>
    <w:bookmarkStart w:id="54" w:name="page55"/>
    <w:bookmarkEnd w:id="5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determined by applying the applicable U.S. statutory federal income tax rate to pre-tax income from operations as a result of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provision at statutory U.S.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13,753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8,377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tax provision resulting from:</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State and local taxes,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Nondeductible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deductibility of social insurance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provision</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6,073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8,085</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2014, we had federal and state Research and Experimentation ("R&amp;E") income tax credit carryforwards of approximately $1.8 million and $7.3 million, respectively. The federal R&amp;E credits begin to expire in 2032. The state R&amp;E income tax credits do not have an expiration date.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2014, we had federal, state and foreign net operating losses of approximately $2.4 million, $6.0 million and $0.1 million, respectively. Included in the Company's U.S. net operating loss deferred tax assets above is approximately $7.9 million of unrealized gross deferred tax assets attributable to excess tax benefits associated with stock-based compensation that will impact stockholders' equity if and when such excess benefits are ultimately realized. Of the federal and state net operating losses above, $2.3 million and $3.8 million, respectively, were acquired as part of our 2004 acquisition of SimpleDevices. The federal, state, and foreign net operating loss carryforwards begin to expire during 2024, 2018, and 2022, respectively.</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 Revenue Code Section 382 places certain limitations on the annual amount of net operating loss carryforwards that may be utilized if certain changes to a company’s ownership occur. Our 2004 acquisition of SimpleDevices was a change in ownership pursuant to Section 382 of the Internal Revenue Code, and the federal and state net operating loss carryforwards of SimpleDevices are limited but considered realizable in future periods. The annual federal limitation is approximately $0.6 million for 2014 and thereafter.</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2014,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Due to uncertainties surrounding the realization of some of the Company’s deferred tax assets, primarily including state R&amp;E income tax credits generated during the prior years and current year, the Company established a valuation allowance against its deferred tax assets. When recognized, the tax benefits relating to any reversal of this valuation allowance will be recorded as a reduction of income tax expense. Accordingly, a valuation allowance of $3.9 million was recorded as of December 31, 2012 related to the state R&amp;E deferred tax asset. The total valuation allowance increased by $0.9 million and $0.8 million as of December 31, 2014 and 2013, respectively.</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2013 we recognized an increase to paid-in capital and a decrease to income taxes payable of $0.9 million, related to the tax benefit from the exercise of non-qualified stock options and vesting of restricted stock under our stock-based incentive plans. During the year ended December 31, 2012 we recognized a decrease to paid-in capital and an increase to income taxes payable of $0.1 million, related to the tax benefit from the exercise of non-qualified stock options and vesting of restricted stock under our stock-based incentive plans.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considered to be indefinitely reinvested. Accordingly, no provision for U.S. federal and state income taxes or foreign withholding taxes has been provided on such undistributed earnings. Determination of the potential amount of unrecognized deferred U.S. income tax liability and foreign withholding taxes is not practicable because of the complexities associated with its hypothetical calculation; however, unrecognized foreign tax credits would be available to reduce some portion of the U.S. liability.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4" w:right="23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2012, China's State Administration of Taxation issued Circular 15 which required us to reevaluate our foreign deferred tax assets relating to our Chinese subsidiaries. These subsidiaries have recorded a deferred tax asset for social insurance and housing funds with the intent of being able to deduct these expenses once such liabilities have been settled. Circular 15 stipulates that payments into the aforementioned funds must be made within five years of recording the initial accrual or the tax deduction for these expenses will be forfeited. At December 31, 2014, we evaluated fund payments made prior to the preceding five years and determined that $0.7 million of our foreign deferred tax assets would not provide a future tax benefit due to the change in Chinese law. In adhering to the new law, we recorded increases to income tax expense of $0.7 million, $0.2 million and $0.6 million for the years ended December 31, 2014, 2013 and 2012, respectively, relating to decreases in the deferred tax assets of our Chinese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2014 and 2013, we had unrecognized tax benefits of approximately $3.6 million and $3.6 million, including interest and penalties, respectively. In accordance with accounting guidance, we have elected to classify interest and penalties as components of tax expense. Interest and penalties were $0.2 million, $0.1 million, and $0.1 million for the years ended December 31, 2014, 2013 and 2012, respectively. Interest and penalties are included in the unrecognized tax benefits.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unrecognized tax benefits at December 31, 2014, 2013 and 2012, and the changes during those years then ended,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5,387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as a result of tax provisions taken during the current year</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Subtractions as a result of tax provisions taken during the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$3.2 million, $3.2 million and $4.7 million of the total amount of gross unrecognized tax benefits at December 31, 2014, 2013 and 2012, respectively, would affect the annual effective tax rate, if recognized. We are unaware of any positions for which it is reasonably possible that the total amounts of unrecognized tax benefits will significantly change within the next twelve months. We anticipate a decrease in gross unrecognized tax benefits of approximately $0.5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At December 31, 2014, the open statutes of limitations for our significant tax jurisdictions are the following: federal are 2011 through 2013, state are 2010 through 2013 and foreign are 2008 through 2013.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Accrued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compensation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69"/>
        </w:trPr>
        <w:tc>
          <w:tcPr>
            <w:tcW w:w="790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Accrued social insurance</w:t>
            </w:r>
            <w:r>
              <w:rPr>
                <w:rFonts w:ascii="Times New Roman" w:cs="Times New Roman" w:eastAsia="Times New Roman" w:hAnsi="Times New Roman"/>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20,492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salary/wages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5,324</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vacation/holiday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2,113</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Accrued bonus</w:t>
            </w:r>
            <w:r>
              <w:rPr>
                <w:rFonts w:ascii="Times New Roman" w:cs="Times New Roman" w:eastAsia="Times New Roman" w:hAnsi="Times New Roman"/>
                <w:sz w:val="25"/>
                <w:szCs w:val="25"/>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8,492</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commission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medical insurance claims</w:t>
            </w: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compensation</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40,656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38,317</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33"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December 31, 2014 and 2013.</w:t>
      </w:r>
    </w:p>
    <w:p>
      <w:pPr>
        <w:spacing w:after="0" w:line="90" w:lineRule="exact"/>
        <w:rPr>
          <w:rFonts w:ascii="Times New Roman" w:cs="Times New Roman" w:eastAsia="Times New Roman" w:hAnsi="Times New Roman"/>
          <w:sz w:val="25"/>
          <w:szCs w:val="25"/>
          <w:color w:val="auto"/>
          <w:vertAlign w:val="superscript"/>
        </w:rPr>
      </w:pPr>
    </w:p>
    <w:p>
      <w:pPr>
        <w:jc w:val="both"/>
        <w:ind w:left="660" w:hanging="328"/>
        <w:spacing w:after="0" w:line="212" w:lineRule="auto"/>
        <w:tabs>
          <w:tab w:leader="none" w:pos="6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Accrued bonus includes an accrual for an extra month of salary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to be paid to employees in certain geographies where it is the customary business practice. This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is paid to these employees if they remain employed with us through December 31st. The total accrued for the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month salary was $0.6 million and $0.6 million at December 31, 2014 and 2013,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Accrued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other accrued expenses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Freight and handling fees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development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warranty claim costs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taxes and VAT</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Third-party commissions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w:t>
            </w:r>
          </w:p>
        </w:tc>
      </w:tr>
      <w:tr>
        <w:trPr>
          <w:trHeight w:val="270"/>
        </w:trPr>
        <w:tc>
          <w:tcPr>
            <w:tcW w:w="79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Tooling </w:t>
            </w:r>
            <w:r>
              <w:rPr>
                <w:rFonts w:ascii="Times New Roman" w:cs="Times New Roman" w:eastAsia="Times New Roman" w:hAnsi="Times New Roman"/>
                <w:sz w:val="25"/>
                <w:szCs w:val="25"/>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loss on foreign currency exchange futures contracts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Utilities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2,982</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13,358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11,229</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620" w:right="3740" w:hanging="5288"/>
        <w:spacing w:after="0" w:line="470" w:lineRule="auto"/>
        <w:tabs>
          <w:tab w:leader="none" w:pos="652" w:val="left"/>
        </w:tabs>
        <w:numPr>
          <w:ilvl w:val="0"/>
          <w:numId w:val="2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tooling accrual balance relates to unearned revenue for tooling that will be sold to customers. 56</w:t>
      </w:r>
    </w:p>
    <w:p>
      <w:pPr>
        <w:sectPr>
          <w:pgSz w:w="11900" w:h="16838" w:orient="portrait"/>
          <w:cols w:equalWidth="0" w:num="1">
            <w:col w:w="11420"/>
          </w:cols>
          <w:pgMar w:left="240" w:top="114" w:right="23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land, office and warehouse space, and certain office equipment under operating leases that expire at various dates through November 30, 2060.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our operating leases was $3.7 million, $3.5 million and $3.7 million for the years ended December 31, 2014, 2013 and 2012,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minimum non-cancelable operating lease payments at December 31, 2014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3,035</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2,585</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2,179</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886</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2,591</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operating lease commitments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12,938</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Non-level Rents and Lease Incentives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leases are subject to rent escalations. For these leases, we recognize rent expense for the total contractual obligation utilizing the straight-line method over the lease term, ranging from 48 months to 125 months. The related short term liability is recorded in other accrued expenses (see Note 11) and the related long term liability is recorded in other long term liabilities. The total liability related to rent escalations was $1.1 million and $1.0 million at December 31, 2014 and 2013,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agreement for our corporate headquarters contains an allowance for moving expenses and tenant improvements of $1.5 million. These moving and tenant improvement allowances are recorded within other accrued expenses and other long term liabilities, depending on the short term or long term nature, and are being amortized as a reduction of rent expense over the 125-month term of the lease, which began on May 15, 2012.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Costs During Construction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costs associated with operating leases incurred during a construction period are expensed.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Leases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two factories within the PRC on which the land is leased from the government as of December 31, 2014. These land leases were prepaid to the PRC government at the time our subsidiary occupied the land. We have obtained land-use right certificates for the land pertaining to these factories.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factory is located in the city of Guangzhou in the Guangdong province. The remaining net book value of this prepaid lease was $1.4 million on December 31, 2014, and will be amortized on a straight-line basis over approximately 15 years. The buildings located on this land had a net book value of $13.4 million on December 31, 2014 and will be depreciated over a remaining weighted average period of 17 years.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second factory is located in the city of Yangzhou in the Jiangsu province. The remaining net book value of this prepaid lease was $2.8 million on December 31, 2014, and will be amortized on a straight-line basis over the remaining term of approximately 44 years. The buildings located on this land had a net book value of $23.6 million on December 31, 2014 and will be depreciated over a remaining weighted average period of 25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4" w:right="23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claims. The amounts and types of coverage may vary from period to period as dictated by market conditions. Management is not aware of any matters that require indemnification of its officers or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Price Provisions and Other Anti-Takeover Measures</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liability for product warranty claim costs were as follows: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(in cash or in kind)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2, 2012, we filed a lawsuit against Universal Remote Control, Inc. ("URC") in the United States District Court, Central District of California (Universal Electronics Inc. v. Universal Remote Control, Inc., SACV12-0039 AG (JPRx)) alleging that URC was infringing, directly and indirectly, four of our patents related to remote control technology. We alleged that this complaint related to multiple URC remote control products, including the URC model numbers UR5U-9000L, WR7 and other remote controls with different model names or numbers, but with substantially the same designs, features, and functionalities. We sought monetary relief for the infringement, including enhanced damages due to the willfulness of URC's actions, injunctive relief to enjoin URC from further infringing, including contributory infringement and/or inducing infringement, and attorney's fees. URC denied infringing our patents and asserted a variety of counterclaims and affirmative defenses including invalidity and unenforceability of our patents, misuse of patents, and a breach of contract action stemming from the settlement by us of an earlier lawsuit against URC. On January 29, 2013, the Court held its "Markman" hearing and on February 1, 2013, the Court issued its ruling that four of the 24 claims we asserted against URC were invalid, effectively removing one of the four patents alleged by us to be infringed by URC from this litigation. In March 2014, the Court further narrowed the scope of this litigation granting URC’s motion for summary judgment with respect to certain issues that effectively removed two additional patents. In March 2014, the Court also granted our motion for summary judgment on certain of URC’s defenses and counterclaims, including URC’s counterclaim for breach of contract. A trial was held from May 6, 2014 through May 20, 2014, and the jury returned a verdict that URC did not infringe on our remaining patent, and found for URC on patent validity and several equitable defenses in the lawsuit, although the jury's verdict on the equitable defenses was advisory in nature. A hearing on motions pertaining to the jury's verdict was held on August 18, 2014. On December 16, 2014, the Court entered its findings of fact and conclusions of law on the equitable issues and determined that our assertion of URC’s infringement of one of the patents at issue was barred by laches, but not by equitable estoppel or patent misuse. Further, the Court determined that our right to seek relief was not barred by unclean hands and on January 27, 2015, final judgment was entered by the Court accepting the jury’s verdict pertaining to invalidity, non-infringement, marking, and the equitable defense of laches and ordered us to pay URC’s costs of litigation, exclusive of attorney's fees, estimated to be immaterial in amount. On January 22, 2015, URC filed a motion seeking to recover its attorney’s fees incurred in connection with its defense of this lawsuit. We are opposing this motion. A hearing is scheduled for March 9, 2015 on this motion and at the present time, we cannot determine the likely outcome of this motion nor can we estimate the amount URC may claim or ultimately what amount, if any, the Court may award, which could be significant. On February 26, 2015, URC filed its notice of appeal with respect to rulings against it pertaining to the issues of patent misuse, unclean hands, implied license and all adverse orders, decisions, and opinions rulings of the Court, which appeal we will vigorously defend against. Further, we are currently evaluating whether to appeal any of the issues decided by the Court.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4" w:right="239" w:bottom="1440" w:gutter="0" w:footer="0" w:header="0"/>
        </w:sectPr>
      </w:pPr>
    </w:p>
    <w:bookmarkStart w:id="59" w:name="page60"/>
    <w:bookmarkEnd w:id="5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ten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In mid-July 2013, URC filed a Notice of Related Cases seeking to join this lawsuit with the lawsuit we filed against URC on March 2, 2012 and we did not object to this Notice. Consequently, this lawsuit was transferred to the Judge and Magistrate hearing our first lawsuit filed against URC. In addition, URC answered this complaint with a denial of infringement, asserting affirmative defenses, and seeking a ruling that URC has not infringed our patents, that our patents are invalid and unenforceable, that the patents have been licensed to URC, and an award of attorneys’ fees and costs. In mid-November 2013, we filed a motion to add affiliated URC suppliers, Ohsung Electronics Co, Ltd, a South Korean entity, and Ohsung Electronics USA, Inc., a California entity, (collectively "Ohsung"), to the lawsuit. In February 2014, Ohsung answered and counterclaimed with a general denial of wrongdoing and asserted the standard affirmative defenses of non-infringement, invalidity and unenforceability of our patents and breach of contract action stemming from the settlement by us of an earlier lawsuit against URC. In March 2014, we answered by disputing Ohsung’s defenses and with a general denial of Ohsung’s breach of contract complaint. In late June and early July of 2014, URC and Ohsung requested inter partes review ("IPR") with the US Patent and Trademark Office ("Patent Office" or "USPTO") for each of the ten patents pending in the second URC lawsuit. We intend to vigorously defend each patent before the Patent Office. During December 2014 and January 2015, the Patent Office issued its decisions on URC’s petitions and accepted for review all claims at issue with respect to five of the patents, certain claims at issue with respect to two of the patents and denied in full the request to review the other three patents at issue.We are presently reviewing the Patent Office’s decisions to determine our next steps which could include appealing the Patent Office’s acceptance of some or all of the seven patents and/or defending the patents in front of the USPTO. While the Patent Office was considering the IPR requests, this second lawsuit was stayed by the Court. On March 2, 2015, the parties filed a Joint Stipulation agreeing that the stay continue while the Patent Office decides the IPRs, which decisions are not expected until January 2016.</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September 23, 2013, we filed a lawsuit against Peel Technologies, Inc. ("Peel") in the United States District Court, Central District of California (Universal Electronics Inc. v. Peel Technologies, Inc., SACV13-01484 GAF (RNBx)) alleging that Peel is infringing, directly and indirectly, five of our patents related to remote control technology. We have alleged that this complaint relates to software and hardware used in connection with remote control devices, including Peel’s software products called "TV App" (sometimes referred to as "Sense TV"), "WatchOn App" and "Peel Smart Remote App," and a product called "Peel Universal Remote" consisting of a Peel "Fruit" hardware device and a software component for use with the iOS operating system. We are seeking monetary relief for the infringement, including enhanced damages due to the willfulness of Peel’s actions, injunctive relief to enjoin Peel from further infringement, including contributory infringement and/or inducing infringement, and attorney’s fees. On November 14, 2013, Peel answered our complaint with a general denial that it is infringing our patents and has filed counter-claims, seeking declaratory judgments that our patents are not infringed and are invalid. They are also seeking attorney’s fees. In our reply to Peel’s counterclaims, which we filed on December 5, 2013, we asked the Court to deny and dismiss with prejudice Peel’s counterclaims and sought after relief. In April 2014, both parties were granted leave by the court to amend the pleadings in the case. We added four additional patents related to remote control technology, and Peel filed a counterclaim against us alleging we are infringing one patent related to remote control technology which they recently acquired. We answered Peel’s counterclaim with a general denial of infringement and added our affirmative defenses of non-infringement, invalidity and unenforceability. A "Markman" hearing was held August 13, 2014 and the Court issued a ruling on September 17, 2014 which we believe supports our current claims of infringement against Peel. On November 10, 2014, the parties entered into a confidential settlement agreement in which the parties agreed to dismiss their respective patent infringement claims against each other without prejudice. This settlement had no impact on our consolidated financial condition, results of operations or cash flows. As part of this agreement, Peel agreed to modify and update its products to avoid our allegations of infringement. We intend to review any updated versions of the Peel products to determine their compliance with our agreement, and will determine an appropriate course of action following such review which we anticipate will take place within the first quarter of 2015.</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2014, two of our subsidiaries, Gemstar Technology (China) Co. Ltd. and Gemstar Technology (Yangzhou) Co. Ltd., each filed arbitration requests in Hong Kong under the arbitration rules of the Hong Kong International Arbitration Centre (the "HKIAC") against Dongguan City Liwang Battery Co. Ltd. ("LiWang"). In these requests, our subsidiaries claimed that LiWang supplied defective batteries and sought damages incurred as a result. LiWang opposed jurisdiction under the HKIAC and, in turn, filed claims against Gemstar Technology (China) Co. Ltd. in the People’s Court of Panyu District, and against Gemstar Technology (Yangzhou) Co., Ltd. in the People’s Court of Bao Ying District, each alleging breach of contract and that jurisdiction should be in China. We opposed these claims and were awaiting a final ruling by the China Courts. On August 29, 2014, the parties entered into a confidential Settlement Agreement whereby the parties each agreed to withdraw and terminate with prejudice and settle 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their respective claims and actions against the other parties. The settlement of this matter did not have a material impact on our consolidated financial condition, results of operations or cash flows.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subsidiary in India maintains a defined benefit pension plan ("India Plan") for local employees, which is consistent with local statutes and practices. The pension plan was adequately funded on December 31, 2014 based on its latest actuarial report. The India Plan has an independent external manager that advises us of the appropriate funding contribution requirements to which we comply. At December 31, 2014, approximately 39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December 31, 2014 and 2013 for the India Plan was not material. During the years ended December 31, 2014, 2013, and 2012, the net periodic benefit costs were also not material.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Treasury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of our common stock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repurchased</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16,168</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3,607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3,451</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Repurchased shares are recorded as shares held in treasury at cost. We hold these shares for future use as management and the Board of Directors deem appropriate, which has included compensating our outside directors. During the years ended December 31, 2014, 2013, and 2012, we issued 15,000, 30,000, and 37,500 shares from treasury, respectively, to outside directors for services performed (see Note 16).</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December 31, 2014, we had 1,067,655 shares available for repurchase under the Board's authorizations.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Business Segment and Foreign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4" w:right="239" w:bottom="1440" w:gutter="0" w:footer="0" w:header="0"/>
        </w:sectPr>
      </w:pPr>
    </w:p>
    <w:bookmarkStart w:id="61" w:name="page62"/>
    <w:bookmarkEnd w:id="6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to external customers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201,579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195,308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165,209</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(excluding PRC)</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129,614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107,886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108,979</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98,057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89,918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76,873</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70,663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72,852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61,617</w:t>
            </w:r>
          </w:p>
        </w:tc>
      </w:tr>
      <w:tr>
        <w:trPr>
          <w:trHeight w:val="27"/>
        </w:trPr>
        <w:tc>
          <w:tcPr>
            <w:tcW w:w="6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Latin America</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28,677</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28,211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21,735</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562,329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529,354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463,090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identification of the customer billing location was the basis used for attributing revenues from external customers to geographic areas.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tangible assets by geographic area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4,662</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People's Republic of China</w:t>
            </w:r>
          </w:p>
        </w:tc>
        <w:tc>
          <w:tcPr>
            <w:tcW w:w="4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70,619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72,957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countries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3,230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long-lived tangible assets</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81,606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80,849</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Stock-Based Compensation</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Employees</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3,733</w:t>
            </w:r>
          </w:p>
        </w:tc>
      </w:tr>
      <w:tr>
        <w:trPr>
          <w:trHeight w:val="27"/>
        </w:trPr>
        <w:tc>
          <w:tcPr>
            <w:tcW w:w="4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Outside directors</w:t>
            </w:r>
          </w:p>
        </w:tc>
        <w:tc>
          <w:tcPr>
            <w:tcW w:w="24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619</w:t>
            </w:r>
          </w:p>
        </w:tc>
      </w:tr>
      <w:tr>
        <w:trPr>
          <w:trHeight w:val="237"/>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4,575</w:t>
            </w:r>
          </w:p>
        </w:tc>
      </w:tr>
      <w:tr>
        <w:trPr>
          <w:trHeight w:val="67"/>
        </w:trPr>
        <w:tc>
          <w:tcPr>
            <w:tcW w:w="4300" w:type="dxa"/>
            <w:vAlign w:val="bottom"/>
            <w:tcBorders>
              <w:bottom w:val="single" w:sz="8" w:color="CCEEFF"/>
            </w:tcBorders>
          </w:tcPr>
          <w:p>
            <w:pPr>
              <w:spacing w:after="0"/>
              <w:rPr>
                <w:sz w:val="5"/>
                <w:szCs w:val="5"/>
                <w:color w:val="auto"/>
              </w:rPr>
            </w:pPr>
          </w:p>
        </w:tc>
        <w:tc>
          <w:tcPr>
            <w:tcW w:w="24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430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8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1,897</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1,488</w:t>
            </w:r>
          </w:p>
        </w:tc>
      </w:tr>
      <w:tr>
        <w:trPr>
          <w:trHeight w:val="486"/>
        </w:trPr>
        <w:tc>
          <w:tcPr>
            <w:tcW w:w="4300" w:type="dxa"/>
            <w:vAlign w:val="bottom"/>
          </w:tcPr>
          <w:p>
            <w:pPr>
              <w:spacing w:after="0"/>
              <w:rPr>
                <w:sz w:val="24"/>
                <w:szCs w:val="24"/>
                <w:color w:val="auto"/>
              </w:rPr>
            </w:pPr>
          </w:p>
        </w:tc>
        <w:tc>
          <w:tcPr>
            <w:tcW w:w="24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assumptions we utilized in the Black-Scholes option pricing model and the resulting weighted average fair value of stock option grants were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69"/>
        </w:trPr>
        <w:tc>
          <w:tcPr>
            <w:tcW w:w="6580" w:type="dxa"/>
            <w:vAlign w:val="bottom"/>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 xml:space="preserve">Weighted average fair value of grants </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8"/>
              </w:rPr>
              <w:t>13.64</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9.57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in years</w:t>
            </w:r>
          </w:p>
        </w:tc>
        <w:tc>
          <w:tcPr>
            <w:tcW w:w="94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5.15</w:t>
            </w:r>
          </w:p>
        </w:tc>
      </w:tr>
    </w:tbl>
    <w:p>
      <w:pPr>
        <w:spacing w:after="0" w:line="9" w:lineRule="exact"/>
        <w:rPr>
          <w:sz w:val="20"/>
          <w:szCs w:val="20"/>
          <w:color w:val="auto"/>
        </w:rPr>
      </w:pPr>
    </w:p>
    <w:p>
      <w:pPr>
        <w:ind w:right="1960" w:firstLine="332"/>
        <w:spacing w:after="0" w:line="432" w:lineRule="auto"/>
        <w:tabs>
          <w:tab w:leader="none" w:pos="648"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weighted average fair value of grants was calculated utilizing the stock options granted during each respective period. Stock option activity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506"/>
              <w:spacing w:after="0"/>
              <w:rPr>
                <w:sz w:val="20"/>
                <w:szCs w:val="20"/>
                <w:color w:val="auto"/>
              </w:rPr>
            </w:pPr>
            <w:r>
              <w:rPr>
                <w:rFonts w:ascii="Times New Roman" w:cs="Times New Roman" w:eastAsia="Times New Roman" w:hAnsi="Times New Roman"/>
                <w:sz w:val="13"/>
                <w:szCs w:val="13"/>
                <w:color w:val="auto"/>
              </w:rPr>
              <w:t>2014</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506"/>
              <w:spacing w:after="0"/>
              <w:rPr>
                <w:sz w:val="20"/>
                <w:szCs w:val="20"/>
                <w:color w:val="auto"/>
              </w:rPr>
            </w:pPr>
            <w:r>
              <w:rPr>
                <w:rFonts w:ascii="Times New Roman" w:cs="Times New Roman" w:eastAsia="Times New Roman" w:hAnsi="Times New Roman"/>
                <w:sz w:val="13"/>
                <w:szCs w:val="13"/>
                <w:color w:val="auto"/>
              </w:rPr>
              <w:t>2013</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3"/>
                <w:szCs w:val="13"/>
                <w:color w:val="auto"/>
              </w:rPr>
              <w:t>2012</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135"/>
        </w:trPr>
        <w:tc>
          <w:tcPr>
            <w:tcW w:w="2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Weighted-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Weighted-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1"/>
              </w:rPr>
              <w:t>Average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Average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2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Remaining</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Remaining</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5"/>
              </w:rPr>
              <w:t>Aggregate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40" w:type="dxa"/>
            <w:vAlign w:val="bottom"/>
            <w:gridSpan w:val="4"/>
          </w:tcPr>
          <w:p>
            <w:pPr>
              <w:jc w:val="center"/>
              <w:ind w:right="26"/>
              <w:spacing w:after="0" w:line="122" w:lineRule="exact"/>
              <w:rPr>
                <w:sz w:val="20"/>
                <w:szCs w:val="20"/>
                <w:color w:val="auto"/>
              </w:rPr>
            </w:pPr>
            <w:r>
              <w:rPr>
                <w:rFonts w:ascii="Times New Roman" w:cs="Times New Roman" w:eastAsia="Times New Roman" w:hAnsi="Times New Roman"/>
                <w:sz w:val="11"/>
                <w:szCs w:val="11"/>
                <w:color w:val="auto"/>
              </w:rPr>
              <w:t>Weighted-   Weighted-Average   Aggregate</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Number of</w:t>
            </w:r>
          </w:p>
        </w:tc>
        <w:tc>
          <w:tcPr>
            <w:tcW w:w="100" w:type="dxa"/>
            <w:vAlign w:val="bottom"/>
          </w:tcPr>
          <w:p>
            <w:pPr>
              <w:spacing w:after="0"/>
              <w:rPr>
                <w:sz w:val="10"/>
                <w:szCs w:val="10"/>
                <w:color w:val="auto"/>
              </w:rPr>
            </w:pPr>
          </w:p>
        </w:tc>
        <w:tc>
          <w:tcPr>
            <w:tcW w:w="660" w:type="dxa"/>
            <w:vAlign w:val="bottom"/>
          </w:tcPr>
          <w:p>
            <w:pPr>
              <w:jc w:val="center"/>
              <w:ind w:right="105"/>
              <w:spacing w:after="0" w:line="122" w:lineRule="exact"/>
              <w:rPr>
                <w:sz w:val="20"/>
                <w:szCs w:val="20"/>
                <w:color w:val="auto"/>
              </w:rPr>
            </w:pPr>
            <w:r>
              <w:rPr>
                <w:rFonts w:ascii="Times New Roman" w:cs="Times New Roman" w:eastAsia="Times New Roman" w:hAnsi="Times New Roman"/>
                <w:sz w:val="11"/>
                <w:szCs w:val="11"/>
                <w:color w:val="auto"/>
                <w:w w:val="98"/>
              </w:rPr>
              <w:t>Weighted-</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Contractual</w:t>
            </w:r>
          </w:p>
        </w:tc>
        <w:tc>
          <w:tcPr>
            <w:tcW w:w="160" w:type="dxa"/>
            <w:vAlign w:val="bottom"/>
          </w:tcPr>
          <w:p>
            <w:pPr>
              <w:spacing w:after="0"/>
              <w:rPr>
                <w:sz w:val="10"/>
                <w:szCs w:val="10"/>
                <w:color w:val="auto"/>
              </w:rPr>
            </w:pPr>
          </w:p>
        </w:tc>
        <w:tc>
          <w:tcPr>
            <w:tcW w:w="7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Aggregate</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Number of</w:t>
            </w:r>
          </w:p>
        </w:tc>
        <w:tc>
          <w:tcPr>
            <w:tcW w:w="100" w:type="dxa"/>
            <w:vAlign w:val="bottom"/>
          </w:tcPr>
          <w:p>
            <w:pPr>
              <w:spacing w:after="0"/>
              <w:rPr>
                <w:sz w:val="10"/>
                <w:szCs w:val="10"/>
                <w:color w:val="auto"/>
              </w:rPr>
            </w:pPr>
          </w:p>
        </w:tc>
        <w:tc>
          <w:tcPr>
            <w:tcW w:w="640" w:type="dxa"/>
            <w:vAlign w:val="bottom"/>
          </w:tcPr>
          <w:p>
            <w:pPr>
              <w:jc w:val="right"/>
              <w:ind w:right="125"/>
              <w:spacing w:after="0" w:line="122" w:lineRule="exact"/>
              <w:rPr>
                <w:sz w:val="20"/>
                <w:szCs w:val="20"/>
                <w:color w:val="auto"/>
              </w:rPr>
            </w:pPr>
            <w:r>
              <w:rPr>
                <w:rFonts w:ascii="Times New Roman" w:cs="Times New Roman" w:eastAsia="Times New Roman" w:hAnsi="Times New Roman"/>
                <w:sz w:val="11"/>
                <w:szCs w:val="11"/>
                <w:color w:val="auto"/>
                <w:w w:val="94"/>
              </w:rPr>
              <w:t>Weighted-</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Contractual</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8"/>
              </w:rPr>
              <w:t>Intrinsic</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Number of</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Average</w:t>
            </w:r>
          </w:p>
        </w:tc>
        <w:tc>
          <w:tcPr>
            <w:tcW w:w="940" w:type="dxa"/>
            <w:vAlign w:val="bottom"/>
          </w:tcPr>
          <w:p>
            <w:pPr>
              <w:jc w:val="center"/>
              <w:ind w:left="5"/>
              <w:spacing w:after="0" w:line="122" w:lineRule="exact"/>
              <w:rPr>
                <w:sz w:val="20"/>
                <w:szCs w:val="20"/>
                <w:color w:val="auto"/>
              </w:rPr>
            </w:pPr>
            <w:r>
              <w:rPr>
                <w:rFonts w:ascii="Times New Roman" w:cs="Times New Roman" w:eastAsia="Times New Roman" w:hAnsi="Times New Roman"/>
                <w:sz w:val="11"/>
                <w:szCs w:val="11"/>
                <w:color w:val="auto"/>
                <w:w w:val="99"/>
              </w:rPr>
              <w:t>Remaining</w:t>
            </w:r>
          </w:p>
        </w:tc>
        <w:tc>
          <w:tcPr>
            <w:tcW w:w="120" w:type="dxa"/>
            <w:vAlign w:val="bottom"/>
          </w:tcPr>
          <w:p>
            <w:pPr>
              <w:spacing w:after="0"/>
              <w:rPr>
                <w:sz w:val="10"/>
                <w:szCs w:val="10"/>
                <w:color w:val="auto"/>
              </w:rPr>
            </w:pPr>
          </w:p>
        </w:tc>
        <w:tc>
          <w:tcPr>
            <w:tcW w:w="5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color w:val="auto"/>
                <w:w w:val="98"/>
              </w:rPr>
              <w:t>Intrinsic</w:t>
            </w:r>
          </w:p>
        </w:tc>
      </w:tr>
      <w:tr>
        <w:trPr>
          <w:trHeight w:val="122"/>
        </w:trPr>
        <w:tc>
          <w:tcPr>
            <w:tcW w:w="25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10"/>
                <w:szCs w:val="10"/>
                <w:color w:val="auto"/>
              </w:rPr>
            </w:pPr>
          </w:p>
        </w:tc>
        <w:tc>
          <w:tcPr>
            <w:tcW w:w="660" w:type="dxa"/>
            <w:vAlign w:val="bottom"/>
          </w:tcPr>
          <w:p>
            <w:pPr>
              <w:jc w:val="center"/>
              <w:ind w:right="85"/>
              <w:spacing w:after="0" w:line="122" w:lineRule="exact"/>
              <w:rPr>
                <w:sz w:val="20"/>
                <w:szCs w:val="20"/>
                <w:color w:val="auto"/>
              </w:rPr>
            </w:pPr>
            <w:r>
              <w:rPr>
                <w:rFonts w:ascii="Times New Roman" w:cs="Times New Roman" w:eastAsia="Times New Roman" w:hAnsi="Times New Roman"/>
                <w:sz w:val="11"/>
                <w:szCs w:val="11"/>
                <w:color w:val="auto"/>
                <w:w w:val="96"/>
              </w:rPr>
              <w:t>Average</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Terms</w:t>
            </w:r>
          </w:p>
        </w:tc>
        <w:tc>
          <w:tcPr>
            <w:tcW w:w="880" w:type="dxa"/>
            <w:vAlign w:val="bottom"/>
            <w:gridSpan w:val="3"/>
          </w:tcPr>
          <w:p>
            <w:pPr>
              <w:ind w:left="80"/>
              <w:spacing w:after="0" w:line="122" w:lineRule="exact"/>
              <w:rPr>
                <w:sz w:val="20"/>
                <w:szCs w:val="20"/>
                <w:color w:val="auto"/>
              </w:rPr>
            </w:pPr>
            <w:r>
              <w:rPr>
                <w:rFonts w:ascii="Times New Roman" w:cs="Times New Roman" w:eastAsia="Times New Roman" w:hAnsi="Times New Roman"/>
                <w:sz w:val="11"/>
                <w:szCs w:val="11"/>
                <w:color w:val="auto"/>
              </w:rPr>
              <w:t>Intrinsic Value</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Options</w:t>
            </w:r>
          </w:p>
        </w:tc>
        <w:tc>
          <w:tcPr>
            <w:tcW w:w="100" w:type="dxa"/>
            <w:vAlign w:val="bottom"/>
          </w:tcPr>
          <w:p>
            <w:pPr>
              <w:spacing w:after="0"/>
              <w:rPr>
                <w:sz w:val="10"/>
                <w:szCs w:val="10"/>
                <w:color w:val="auto"/>
              </w:rPr>
            </w:pPr>
          </w:p>
        </w:tc>
        <w:tc>
          <w:tcPr>
            <w:tcW w:w="640" w:type="dxa"/>
            <w:vAlign w:val="bottom"/>
          </w:tcPr>
          <w:p>
            <w:pPr>
              <w:jc w:val="right"/>
              <w:ind w:right="165"/>
              <w:spacing w:after="0" w:line="122" w:lineRule="exact"/>
              <w:rPr>
                <w:sz w:val="20"/>
                <w:szCs w:val="20"/>
                <w:color w:val="auto"/>
              </w:rPr>
            </w:pPr>
            <w:r>
              <w:rPr>
                <w:rFonts w:ascii="Times New Roman" w:cs="Times New Roman" w:eastAsia="Times New Roman" w:hAnsi="Times New Roman"/>
                <w:sz w:val="11"/>
                <w:szCs w:val="11"/>
                <w:color w:val="auto"/>
              </w:rPr>
              <w:t>Average</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Terms</w:t>
            </w:r>
          </w:p>
        </w:tc>
        <w:tc>
          <w:tcPr>
            <w:tcW w:w="16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color w:val="auto"/>
                <w:w w:val="91"/>
              </w:rPr>
              <w:t>Value</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Options</w:t>
            </w: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Exercise</w:t>
            </w:r>
          </w:p>
        </w:tc>
        <w:tc>
          <w:tcPr>
            <w:tcW w:w="940" w:type="dxa"/>
            <w:vAlign w:val="bottom"/>
          </w:tcPr>
          <w:p>
            <w:pPr>
              <w:jc w:val="center"/>
              <w:ind w:left="5"/>
              <w:spacing w:after="0" w:line="122" w:lineRule="exact"/>
              <w:rPr>
                <w:sz w:val="20"/>
                <w:szCs w:val="20"/>
                <w:color w:val="auto"/>
              </w:rPr>
            </w:pPr>
            <w:r>
              <w:rPr>
                <w:rFonts w:ascii="Times New Roman" w:cs="Times New Roman" w:eastAsia="Times New Roman" w:hAnsi="Times New Roman"/>
                <w:sz w:val="11"/>
                <w:szCs w:val="11"/>
                <w:color w:val="auto"/>
                <w:w w:val="97"/>
              </w:rPr>
              <w:t>Contractual Terms</w:t>
            </w:r>
          </w:p>
        </w:tc>
        <w:tc>
          <w:tcPr>
            <w:tcW w:w="120" w:type="dxa"/>
            <w:vAlign w:val="bottom"/>
          </w:tcPr>
          <w:p>
            <w:pPr>
              <w:spacing w:after="0"/>
              <w:rPr>
                <w:sz w:val="10"/>
                <w:szCs w:val="10"/>
                <w:color w:val="auto"/>
              </w:rPr>
            </w:pPr>
          </w:p>
        </w:tc>
        <w:tc>
          <w:tcPr>
            <w:tcW w:w="5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color w:val="auto"/>
                <w:w w:val="98"/>
              </w:rPr>
              <w:t>Value</w:t>
            </w:r>
          </w:p>
        </w:tc>
      </w:tr>
      <w:tr>
        <w:trPr>
          <w:trHeight w:val="140"/>
        </w:trPr>
        <w:tc>
          <w:tcPr>
            <w:tcW w:w="2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760" w:type="dxa"/>
            <w:vAlign w:val="bottom"/>
            <w:gridSpan w:val="2"/>
          </w:tcPr>
          <w:p>
            <w:pPr>
              <w:jc w:val="center"/>
              <w:ind w:right="5"/>
              <w:spacing w:after="0"/>
              <w:rPr>
                <w:sz w:val="20"/>
                <w:szCs w:val="20"/>
                <w:color w:val="auto"/>
              </w:rPr>
            </w:pPr>
            <w:r>
              <w:rPr>
                <w:rFonts w:ascii="Times New Roman" w:cs="Times New Roman" w:eastAsia="Times New Roman" w:hAnsi="Times New Roman"/>
                <w:sz w:val="11"/>
                <w:szCs w:val="11"/>
                <w:color w:val="auto"/>
                <w:w w:val="97"/>
              </w:rPr>
              <w:t>Exercise Price</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years)</w:t>
            </w:r>
          </w:p>
        </w:tc>
        <w:tc>
          <w:tcPr>
            <w:tcW w:w="16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(in 000's)</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000's)</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Exercise Price</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 years)</w:t>
            </w:r>
          </w:p>
        </w:tc>
        <w:tc>
          <w:tcPr>
            <w:tcW w:w="16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6"/>
              </w:rPr>
              <w:t>(in 000's)</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(in 000's)</w:t>
            </w:r>
          </w:p>
        </w:tc>
        <w:tc>
          <w:tcPr>
            <w:tcW w:w="8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Price</w:t>
            </w:r>
          </w:p>
        </w:tc>
        <w:tc>
          <w:tcPr>
            <w:tcW w:w="94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rPr>
              <w:t>(in years)</w:t>
            </w:r>
          </w:p>
        </w:tc>
        <w:tc>
          <w:tcPr>
            <w:tcW w:w="120" w:type="dxa"/>
            <w:vAlign w:val="bottom"/>
          </w:tcPr>
          <w:p>
            <w:pPr>
              <w:spacing w:after="0"/>
              <w:rPr>
                <w:sz w:val="12"/>
                <w:szCs w:val="12"/>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color w:val="auto"/>
              </w:rPr>
              <w:t>(in 000's)</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4"/>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Outstanding at beginning of the year</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22.04</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1,412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20.56</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1,502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19.53</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48"/>
        </w:trPr>
        <w:tc>
          <w:tcPr>
            <w:tcW w:w="25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Granted</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35.28</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19.68</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19.92</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Exercised</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20.76</w:t>
            </w:r>
          </w:p>
        </w:tc>
        <w:tc>
          <w:tcPr>
            <w:tcW w:w="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10,651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18.22</w:t>
            </w:r>
          </w:p>
        </w:tc>
        <w:tc>
          <w:tcPr>
            <w:tcW w:w="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8,355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11.62</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1,155</w:t>
            </w:r>
          </w:p>
        </w:tc>
      </w:tr>
      <w:tr>
        <w:trPr>
          <w:trHeight w:val="248"/>
        </w:trPr>
        <w:tc>
          <w:tcPr>
            <w:tcW w:w="25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Forfeited/canceled/expired</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21"/>
                <w:szCs w:val="21"/>
                <w:color w:val="auto"/>
              </w:rPr>
            </w:pPr>
          </w:p>
        </w:tc>
        <w:tc>
          <w:tcPr>
            <w:tcW w:w="66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20.77</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21"/>
                <w:szCs w:val="21"/>
                <w:color w:val="auto"/>
              </w:rPr>
            </w:pP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24.75</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21"/>
                <w:szCs w:val="21"/>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21.48</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r>
      <w:tr>
        <w:trPr>
          <w:trHeight w:val="232"/>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Outstanding at end of the year </w:t>
            </w:r>
            <w:r>
              <w:rPr>
                <w:rFonts w:ascii="Times New Roman" w:cs="Times New Roman" w:eastAsia="Times New Roman" w:hAnsi="Times New Roman"/>
                <w:sz w:val="8"/>
                <w:szCs w:val="8"/>
                <w:color w:val="auto"/>
              </w:rPr>
              <w:t>(1)</w:t>
            </w: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650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25.56</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5.59</w:t>
            </w:r>
          </w:p>
        </w:tc>
        <w:tc>
          <w:tcPr>
            <w:tcW w:w="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25,653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924</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22.04</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6.09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14,854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1,412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20.56</w:t>
            </w:r>
          </w:p>
        </w:tc>
        <w:tc>
          <w:tcPr>
            <w:tcW w:w="940" w:type="dxa"/>
            <w:vAlign w:val="bottom"/>
            <w:tcBorders>
              <w:bottom w:val="single" w:sz="8" w:color="CCEEFF"/>
            </w:tcBorders>
            <w:shd w:val="clear" w:color="auto" w:fill="CCEEFF"/>
          </w:tcPr>
          <w:p>
            <w:pPr>
              <w:jc w:val="center"/>
              <w:ind w:left="25"/>
              <w:spacing w:after="0"/>
              <w:rPr>
                <w:sz w:val="20"/>
                <w:szCs w:val="20"/>
                <w:color w:val="auto"/>
              </w:rPr>
            </w:pPr>
            <w:r>
              <w:rPr>
                <w:rFonts w:ascii="Times New Roman" w:cs="Times New Roman" w:eastAsia="Times New Roman" w:hAnsi="Times New Roman"/>
                <w:sz w:val="11"/>
                <w:szCs w:val="11"/>
                <w:color w:val="auto"/>
                <w:w w:val="93"/>
              </w:rPr>
              <w:t>4.91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2,452</w:t>
            </w:r>
          </w:p>
        </w:tc>
      </w:tr>
      <w:tr>
        <w:trPr>
          <w:trHeight w:val="20"/>
        </w:trPr>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25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xml:space="preserve">Vested and expected to vest at the end of the year </w:t>
            </w:r>
            <w:r>
              <w:rPr>
                <w:rFonts w:ascii="Times New Roman" w:cs="Times New Roman" w:eastAsia="Times New Roman" w:hAnsi="Times New Roman"/>
                <w:sz w:val="8"/>
                <w:szCs w:val="8"/>
                <w:color w:val="auto"/>
              </w:rPr>
              <w:t>(1)</w:t>
            </w: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25.57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5.58</w:t>
            </w:r>
          </w:p>
        </w:tc>
        <w:tc>
          <w:tcPr>
            <w:tcW w:w="1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25,618</w:t>
            </w:r>
          </w:p>
        </w:tc>
        <w:tc>
          <w:tcPr>
            <w:tcW w:w="120" w:type="dxa"/>
            <w:vAlign w:val="bottom"/>
          </w:tcPr>
          <w:p>
            <w:pPr>
              <w:spacing w:after="0"/>
              <w:rPr>
                <w:sz w:val="17"/>
                <w:szCs w:val="17"/>
                <w:color w:val="auto"/>
              </w:rPr>
            </w:pPr>
          </w:p>
        </w:tc>
        <w:tc>
          <w:tcPr>
            <w:tcW w:w="7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921</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22.05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6.08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14,791</w:t>
            </w:r>
          </w:p>
        </w:tc>
        <w:tc>
          <w:tcPr>
            <w:tcW w:w="120" w:type="dxa"/>
            <w:vAlign w:val="bottom"/>
          </w:tcPr>
          <w:p>
            <w:pPr>
              <w:spacing w:after="0"/>
              <w:rPr>
                <w:sz w:val="17"/>
                <w:szCs w:val="17"/>
                <w:color w:val="auto"/>
              </w:rPr>
            </w:pPr>
          </w:p>
        </w:tc>
        <w:tc>
          <w:tcPr>
            <w:tcW w:w="6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1,409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20.56</w:t>
            </w:r>
          </w:p>
        </w:tc>
        <w:tc>
          <w:tcPr>
            <w:tcW w:w="94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w w:val="93"/>
              </w:rPr>
              <w:t>4.90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2,446</w:t>
            </w:r>
          </w:p>
        </w:tc>
      </w:tr>
      <w:tr>
        <w:trPr>
          <w:trHeight w:val="22"/>
        </w:trPr>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8"/>
        </w:trPr>
        <w:tc>
          <w:tcPr>
            <w:tcW w:w="2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xml:space="preserve">Exercisable at the end of the year </w:t>
            </w:r>
            <w:r>
              <w:rPr>
                <w:rFonts w:ascii="Times New Roman" w:cs="Times New Roman" w:eastAsia="Times New Roman" w:hAnsi="Times New Roman"/>
                <w:sz w:val="8"/>
                <w:szCs w:val="8"/>
                <w:color w:val="auto"/>
              </w:rPr>
              <w:t>(1)</w:t>
            </w:r>
          </w:p>
        </w:tc>
        <w:tc>
          <w:tcPr>
            <w:tcW w:w="7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23.84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4.87</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17,345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671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22.62</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5.14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10,388</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20.24</w:t>
            </w:r>
          </w:p>
        </w:tc>
        <w:tc>
          <w:tcPr>
            <w:tcW w:w="94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1"/>
                <w:szCs w:val="11"/>
                <w:color w:val="auto"/>
                <w:w w:val="93"/>
              </w:rPr>
              <w:t>4.25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2,347</w:t>
            </w:r>
          </w:p>
        </w:tc>
      </w:tr>
      <w:tr>
        <w:trPr>
          <w:trHeight w:val="22"/>
        </w:trPr>
        <w:tc>
          <w:tcPr>
            <w:tcW w:w="25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jc w:val="both"/>
        <w:ind w:left="660" w:hanging="328"/>
        <w:spacing w:after="0" w:line="228" w:lineRule="auto"/>
        <w:tabs>
          <w:tab w:leader="none" w:pos="66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aggregate intrinsic value represents the total pre-tax value (the difference between our closing stock price on the last trading day of 2014, 2013, and 2012 and the exercise price, multiplied by the number of in-the-money options) that would have been received by the option holders had they all exercised their options on December 31, 2014, 2013, and 2012. This amount will change based on the fair market value of our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2014, 2013, and 2012, there were no modifications made to outstanding stock options.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for the years ended December 31, 2014, 2013, and 2012 was $8.1 million, $12.4 million, and $2.2 million, respectively. The actual tax benefit realized from option exercises was $3.1 million, $2.3 million and $0.2 million for the years ended December 31, 2014, 2013, and 2012,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option groups outstanding at December 31, 2014 and the related weighted average exercise price and life information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 w:type="dxa"/>
            <w:vAlign w:val="bottom"/>
            <w:vMerge w:val="restart"/>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Years of</w:t>
            </w:r>
          </w:p>
        </w:tc>
        <w:tc>
          <w:tcPr>
            <w:tcW w:w="1380" w:type="dxa"/>
            <w:vAlign w:val="bottom"/>
            <w:gridSpan w:val="3"/>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$16.64 to $17.60</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18.25 to 21.95</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24.91 to 29.25</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35.28 to 35.35</w:t>
            </w:r>
          </w:p>
        </w:tc>
        <w:tc>
          <w:tcPr>
            <w:tcW w:w="12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23.84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2014, we expect to recognize $2.1 million of total unrecognized pre-tax stock-based compensation expense related to non-vested stock options over a remaining weighted-average life of 1.8 years.</w:t>
      </w:r>
    </w:p>
    <w:p>
      <w:pPr>
        <w:sectPr>
          <w:pgSz w:w="11900" w:h="16838" w:orient="portrait"/>
          <w:cols w:equalWidth="0" w:num="1">
            <w:col w:w="11420"/>
          </w:cols>
          <w:pgMar w:left="240" w:top="11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4" w:right="23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12, 2015, the Board of Directors granted certain executive employees 73,680 stock options in connection with the 2014 annual review cycle. The options were granted as part of long-term incentive compensation to assist us in meeting our performance and retention objectives and are subject to a three-year vesting period (33.33% on February 12, 2016 and 8.33% each quarter thereafter). The total grant date fair value of these awards was $1.8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restricted stock award activity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49"/>
        </w:trPr>
        <w:tc>
          <w:tcPr>
            <w:tcW w:w="8240" w:type="dxa"/>
            <w:vAlign w:val="bottom"/>
          </w:tcPr>
          <w:p>
            <w:pPr>
              <w:spacing w:after="0"/>
              <w:rPr>
                <w:sz w:val="12"/>
                <w:szCs w:val="12"/>
                <w:color w:val="auto"/>
              </w:rPr>
            </w:pPr>
          </w:p>
        </w:tc>
        <w:tc>
          <w:tcPr>
            <w:tcW w:w="102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8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49"/>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2011</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24.43</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15.22</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21.91</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23.11</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2012</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18.72</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28.86</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15.49</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2013</w:t>
            </w: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24.64</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51.29</w:t>
            </w:r>
          </w:p>
        </w:tc>
      </w:tr>
      <w:tr>
        <w:trPr>
          <w:trHeight w:val="27"/>
        </w:trPr>
        <w:tc>
          <w:tcPr>
            <w:tcW w:w="8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25.78</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37.78</w:t>
            </w:r>
          </w:p>
        </w:tc>
      </w:tr>
      <w:tr>
        <w:trPr>
          <w:trHeight w:val="27"/>
        </w:trPr>
        <w:tc>
          <w:tcPr>
            <w:tcW w:w="8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39.28</w:t>
            </w:r>
          </w:p>
        </w:tc>
      </w:tr>
      <w:tr>
        <w:trPr>
          <w:trHeight w:val="20"/>
        </w:trPr>
        <w:tc>
          <w:tcPr>
            <w:tcW w:w="8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2014, we expect to recognize $9.5 million of total unrecognized pre-tax stock-based compensation expense related to non-vested restricted stock awards over a weighted-average life of 2.3 years.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12, 2015, the Board of Directors granted certain executive employees 27,845 restricted stock awards in connection with the 2014 annual review cycle. The awards were granted as part of long-term incentive compensation to assist us in meeting our performance and retention objectives and are subject to a three-year vesting period (33.33% on February 12, 2016 and 8.33% each quarter thereafter). The total grant date fair value of these awards was $1.8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active stock-based incentive plans include those adopted in 1998, 1999, 2002, 2003, 2006, 2010 and 2014 ("Stock Incentive Plans"). Under the Stock Incentive Plans, we may grant stock options, stock appreciation rights, restricted stock units, performance stock units, or any combination thereof for a period of ten years from the approval date of each respective plan, unless the plan is terminated by resolution of our Board of Directors. No stock appreciation rights or performance stock units have been awarded under our Stock Incentive Plans. Only directors and employees meeting certain employment qualifications are eligible to receive stock-based awards.</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grant price of stock option and restricted stock awards granted under our Stock Incentive Plans is the average of the high and low trades of our stock on the grant date. We prohibit the re-pricing or backdating of stock options. Our stock options become exercisable in various proportions over a three- or four-year time frame. Stock options have a maximum ten-year term. Restricted stock awards vest in various proportions over a one- to three-year time period.</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4" w:right="239" w:bottom="1440" w:gutter="0" w:footer="0" w:header="0"/>
        </w:sectPr>
      </w:pPr>
    </w:p>
    <w:bookmarkStart w:id="64" w:name="page65"/>
    <w:bookmarkEnd w:id="64"/>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our active Stock Incentive Plans was as follows at December 31, 2014: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 Shares</w:t>
            </w:r>
          </w:p>
        </w:tc>
        <w:tc>
          <w:tcPr>
            <w:tcW w:w="220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Remaining Shares</w:t>
            </w:r>
          </w:p>
        </w:tc>
        <w:tc>
          <w:tcPr>
            <w:tcW w:w="15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Approval Date</w:t>
            </w:r>
          </w:p>
        </w:tc>
        <w:tc>
          <w:tcPr>
            <w:tcW w:w="120" w:type="dxa"/>
            <w:vAlign w:val="bottom"/>
            <w:vMerge w:val="restart"/>
          </w:tcPr>
          <w:p>
            <w:pPr>
              <w:spacing w:after="0"/>
              <w:rPr>
                <w:sz w:val="12"/>
                <w:szCs w:val="12"/>
                <w:color w:val="auto"/>
              </w:rPr>
            </w:pPr>
          </w:p>
        </w:tc>
        <w:tc>
          <w:tcPr>
            <w:tcW w:w="1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2200" w:type="dxa"/>
            <w:vAlign w:val="bottom"/>
            <w:gridSpan w:val="7"/>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1998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5/27/1998</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630,000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1999A Stock Incentive Plan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10/7/1999</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2002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2/5/2002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2003 Stock Incentive Plan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6/18/2003</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2006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6/13/2006</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2010 Stock Incentive Plan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6/15/2010</w:t>
            </w:r>
          </w:p>
        </w:tc>
        <w:tc>
          <w:tcPr>
            <w:tcW w:w="120" w:type="dxa"/>
            <w:vAlign w:val="bottom"/>
          </w:tcPr>
          <w:p>
            <w:pPr>
              <w:spacing w:after="0"/>
              <w:rPr>
                <w:sz w:val="21"/>
                <w:szCs w:val="21"/>
                <w:color w:val="auto"/>
              </w:rPr>
            </w:pPr>
          </w:p>
        </w:tc>
        <w:tc>
          <w:tcPr>
            <w:tcW w:w="18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 Stock Incentive Plan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6/12/2014</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1,100,000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998,000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1,049,414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17 — Other Income (Expense), Net</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 consisted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360" w:type="dxa"/>
            <w:vAlign w:val="bottom"/>
            <w:gridSpan w:val="2"/>
            <w:shd w:val="clear" w:color="auto" w:fill="CCEEFF"/>
          </w:tcPr>
          <w:p>
            <w:pPr>
              <w:ind w:left="40"/>
              <w:spacing w:after="0" w:line="269" w:lineRule="exact"/>
              <w:rPr>
                <w:sz w:val="20"/>
                <w:szCs w:val="20"/>
                <w:color w:val="auto"/>
              </w:rPr>
            </w:pPr>
            <w:r>
              <w:rPr>
                <w:rFonts w:ascii="Times New Roman" w:cs="Times New Roman" w:eastAsia="Times New Roman" w:hAnsi="Times New Roman"/>
                <w:sz w:val="18"/>
                <w:szCs w:val="18"/>
                <w:color w:val="auto"/>
              </w:rPr>
              <w:t>Net gain (loss) on foreign currency exchange contracts</w:t>
            </w:r>
            <w:r>
              <w:rPr>
                <w:rFonts w:ascii="Times New Roman" w:cs="Times New Roman" w:eastAsia="Times New Roman" w:hAnsi="Times New Roman"/>
                <w:sz w:val="25"/>
                <w:szCs w:val="25"/>
                <w:color w:val="auto"/>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gridSpan w:val="2"/>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8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gain (loss) on foreign currency exchange transactions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Borders>
              <w:top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This represents the gains and (losses) incurred on foreign currency hedging derivatives (see Note 19 for further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was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per-share amounts)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32,534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16,553</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14,952</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32,534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16,553</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for basic</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14,952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 on a diluted basis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15,110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stock options and shares of restricted stock excluded from the computation of diluted earnings per common share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2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1,038</w:t>
            </w: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166</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4" w:right="239" w:bottom="1440" w:gutter="0" w:footer="0" w:header="0"/>
          <w:type w:val="continuous"/>
        </w:sectPr>
      </w:pPr>
    </w:p>
    <w:bookmarkStart w:id="65" w:name="page66"/>
    <w:bookmarkEnd w:id="65"/>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Derivatives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enter into foreign currency exchange contracts with terms normally lasting less than nine months to protect against the adverse effects that exchange-rate fluctuations may have on our foreign currency-denominated receivables, payables, cash flows and reported income. 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Derivative financial instruments are used to manage risk and are not used for trading or other speculative purposes. We do not use leveraged derivative financial instruments and these derivatives have not qualified for hedge accounting.</w:t>
      </w:r>
    </w:p>
    <w:p>
      <w:pPr>
        <w:spacing w:after="0" w:line="2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and losses on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740" w:type="dxa"/>
            <w:vAlign w:val="bottom"/>
            <w:tcBorders>
              <w:bottom w:val="single" w:sz="8" w:color="auto"/>
            </w:tcBorders>
          </w:tcPr>
          <w:p>
            <w:pPr>
              <w:spacing w:after="0"/>
              <w:rPr>
                <w:sz w:val="16"/>
                <w:szCs w:val="16"/>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80" w:type="dxa"/>
            <w:vAlign w:val="bottom"/>
            <w:gridSpan w:val="2"/>
          </w:tcPr>
          <w:p>
            <w:pPr>
              <w:spacing w:after="0"/>
              <w:rPr>
                <w:sz w:val="22"/>
                <w:szCs w:val="22"/>
                <w:color w:val="auto"/>
              </w:rPr>
            </w:pPr>
          </w:p>
        </w:tc>
        <w:tc>
          <w:tcPr>
            <w:tcW w:w="7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64"/>
        </w:trPr>
        <w:tc>
          <w:tcPr>
            <w:tcW w:w="3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223"/>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exchange futures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4"/>
        </w:trPr>
        <w:tc>
          <w:tcPr>
            <w:tcW w:w="3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509</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held foreign currency exchange contracts which resulted in a net pre-tax loss of approximately $0.5 million, a net pre-tax gain of approximately $0.9 million, and a net pre-tax gain of $35 thousand for the years ended December 31, 2014, 2013, and 2012,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foreign currency exchange contracts held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Gain/(Loss) Recorded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at Balance Sheet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Held</w:t>
            </w:r>
          </w:p>
        </w:tc>
        <w:tc>
          <w:tcPr>
            <w:tcW w:w="120" w:type="dxa"/>
            <w:vAlign w:val="bottom"/>
            <w:vMerge w:val="restart"/>
          </w:tcPr>
          <w:p>
            <w:pPr>
              <w:spacing w:after="0"/>
              <w:rPr>
                <w:sz w:val="12"/>
                <w:szCs w:val="12"/>
                <w:color w:val="auto"/>
              </w:rPr>
            </w:pPr>
          </w:p>
        </w:tc>
        <w:tc>
          <w:tcPr>
            <w:tcW w:w="148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 Rate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17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Settlement Date</w:t>
            </w:r>
          </w:p>
        </w:tc>
        <w:tc>
          <w:tcPr>
            <w:tcW w:w="0" w:type="dxa"/>
            <w:vAlign w:val="bottom"/>
          </w:tcPr>
          <w:p>
            <w:pPr>
              <w:spacing w:after="0"/>
              <w:rPr>
                <w:sz w:val="1"/>
                <w:szCs w:val="1"/>
                <w:color w:val="auto"/>
              </w:rPr>
            </w:pPr>
          </w:p>
        </w:tc>
      </w:tr>
      <w:tr>
        <w:trPr>
          <w:trHeight w:val="195"/>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r>
              <w:rPr>
                <w:rFonts w:ascii="Times New Roman" w:cs="Times New Roman" w:eastAsia="Times New Roman" w:hAnsi="Times New Roman"/>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2014</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23, 2015</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USD/Chinese Yuan</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Renminbi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6.2757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16, 2015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2014</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2.3401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16, 2015</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Brazilian Real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2.5442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16, 2015</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USD/Euro</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Euro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1.3782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31, 2014</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USD/Chinese Yuan</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Chinese Yuan</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2013</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Renminbi</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Renminbi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6.2047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15, 2014</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USD/Brazilian</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2013</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2.3442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January 17, 2014</w:t>
            </w: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USD/Brazilian</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31, 2013</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USD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2.2301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0"/>
                <w:szCs w:val="20"/>
                <w:color w:val="auto"/>
              </w:rPr>
            </w:pPr>
          </w:p>
        </w:tc>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January 17, 2014</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540" w:hanging="328"/>
        <w:spacing w:after="0" w:line="218" w:lineRule="auto"/>
        <w:tabs>
          <w:tab w:leader="none" w:pos="66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Gains on futures contracts are recorded in prepaid expenses and other current assets. Losses on futures contracts are recorded in other accrued expenses.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Employee Benefit Plans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retirement and profit sharing plan under Section 401(k) of the Internal Revenue Code for all of our domestic employees that meet certain qualifications. Participants in the plan may elect to contribute up to the maximum allowed by law. We match 50% of the participants’ contributions up to 15% of their gross salary in the form of newly issued shares of our common stock. We may also make other discretionary contributions to the plan. We recorded $0.8 million, $0.7 million and $0.6 million of expense for company contributions for the years ended December 31, 2014, 2013, and 2012,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4" w:right="239" w:bottom="1440" w:gutter="0" w:footer="0" w:header="0"/>
        </w:sectPr>
      </w:pPr>
    </w:p>
    <w:bookmarkStart w:id="66" w:name="page67"/>
    <w:bookmarkEnd w:id="66"/>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Quarterly Financial Data (Unaudited)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quarterly financial data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146,315</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147,780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138,389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41,681</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9,831</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8,902</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Earnings per share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0.55</w:t>
            </w: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15,831</w:t>
            </w:r>
          </w:p>
        </w:tc>
      </w:tr>
      <w:tr>
        <w:trPr>
          <w:trHeight w:val="237"/>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16,204</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5"/>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114,722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136,109</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136,134</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32,549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40,449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40,628</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7,812</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5,553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Earnings per share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0.36</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0.35</w:t>
            </w:r>
          </w:p>
        </w:tc>
      </w:tr>
      <w:tr>
        <w:trPr>
          <w:trHeight w:val="22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15,602</w:t>
            </w:r>
          </w:p>
        </w:tc>
      </w:tr>
      <w:tr>
        <w:trPr>
          <w:trHeight w:val="237"/>
        </w:trPr>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15,743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16,011</w:t>
            </w:r>
          </w:p>
        </w:tc>
      </w:tr>
      <w:tr>
        <w:trPr>
          <w:trHeight w:val="27"/>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left="660" w:right="100" w:hanging="328"/>
        <w:spacing w:after="0" w:line="218" w:lineRule="auto"/>
        <w:tabs>
          <w:tab w:leader="none" w:pos="66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earnings per common share calculations for each of the quarters were based upon the weighted average number of shares and share equivalents outstanding during each period, and the sum of the quarters may not be equal to the full year earnings per share amounts.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114" w:right="259" w:bottom="1440" w:gutter="0" w:footer="0" w:header="0"/>
        </w:sectPr>
      </w:pPr>
    </w:p>
    <w:bookmarkStart w:id="67" w:name="page68"/>
    <w:bookmarkEnd w:id="67"/>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ind w:right="120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preparation of financial statements for external purposes in accordance with accounting principles generally accepted in the United States of America.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officers, we evaluated the effectiveness of our internal control over financial reporting based on the 2013 Internal Control-Integrated Framework issued by the Committee of Sponsoring Organizations of the Treadway Commission ("COSO") in Internal Control Integrated Framework. Based on our evaluation under this framework, our management concluded that our internal control over financial reporting was effective as of December 31, 2014.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2014 has been audited by Grant Thornton LLP, an independent registered public accounting firm, as stated in its attestation report which is included 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internal controls or in other factors that may significantly affect our internal controls during 2014.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4" w:right="239" w:bottom="1440" w:gutter="0" w:footer="0" w:header="0"/>
        </w:sectPr>
      </w:pPr>
    </w:p>
    <w:bookmarkStart w:id="68" w:name="page69"/>
    <w:bookmarkEnd w:id="68"/>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Universal Electronics Inc. (a Delaware corporation) (the "Company")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2014,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financial statements of the Company as of and for the year ended December 31, 2014, and our report dated March 5, 2015 expressed an unqualified opinion on those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4" w:right="239" w:bottom="1440" w:gutter="0" w:footer="0" w:header="0"/>
        </w:sectPr>
      </w:pPr>
    </w:p>
    <w:bookmarkStart w:id="69" w:name="page70"/>
    <w:bookmarkEnd w:id="69"/>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 401 of Regulation S-K with respect to our directors will be contained in and is hereby incorporated by reference to our definitive Proxy Statement for our 2015 Annual Meeting of Stockholders to be filed pursuant to Regulation 14A promulgated by the Securities and Exchange Commission under the Exchange Act. Information regarding executive officers of the Company is set forth in Part I of this Form 10-K.</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Information required by Item 405 of Regulation S-K will be contained in and is hereby incorporated by reference to our definitive Proxy Statement for our 2015 Annual Meeting of Stockholders to be filed subsequent to the date of filing this Form 10-K, under the caption "Section 16(a) Beneficial Ownership Reporting Compliance". Copies of Section 16 reports, Forms 3, 4 and 5, are available on our website, </w:t>
      </w:r>
      <w:r>
        <w:rPr>
          <w:rFonts w:ascii="Times New Roman" w:cs="Times New Roman" w:eastAsia="Times New Roman" w:hAnsi="Times New Roman"/>
          <w:sz w:val="18"/>
          <w:szCs w:val="18"/>
          <w:u w:val="single" w:color="auto"/>
          <w:color w:val="auto"/>
        </w:rPr>
        <w:t>www.uei.com</w:t>
      </w:r>
      <w:r>
        <w:rPr>
          <w:rFonts w:ascii="Times New Roman" w:cs="Times New Roman" w:eastAsia="Times New Roman" w:hAnsi="Times New Roman"/>
          <w:sz w:val="18"/>
          <w:szCs w:val="18"/>
          <w:color w:val="auto"/>
        </w:rPr>
        <w:t xml:space="preserve"> under the caption "SEC Filings" on the Investor page.</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Code of Conduct. </w:t>
      </w:r>
      <w:r>
        <w:rPr>
          <w:rFonts w:ascii="Times New Roman" w:cs="Times New Roman" w:eastAsia="Times New Roman" w:hAnsi="Times New Roman"/>
          <w:sz w:val="18"/>
          <w:szCs w:val="18"/>
          <w:color w:val="auto"/>
        </w:rPr>
        <w:t>We have adopted a code of conduct that applies to all of our employees, including without limitation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financial officer and principal accounting officer. A copy of the Code of Conduct is included as Exhibit 14.1 to our Annual Report on Form 10-K for the year ended December 31, 2003 filed on March 14, 2004 (File No. 0-21044). The Code of Conduct is also available on our website, </w:t>
      </w:r>
      <w:r>
        <w:rPr>
          <w:rFonts w:ascii="Times New Roman" w:cs="Times New Roman" w:eastAsia="Times New Roman" w:hAnsi="Times New Roman"/>
          <w:sz w:val="18"/>
          <w:szCs w:val="18"/>
          <w:u w:val="single" w:color="auto"/>
          <w:color w:val="auto"/>
        </w:rPr>
        <w:t>www.uei.com</w:t>
      </w:r>
      <w:r>
        <w:rPr>
          <w:rFonts w:ascii="Times New Roman" w:cs="Times New Roman" w:eastAsia="Times New Roman" w:hAnsi="Times New Roman"/>
          <w:sz w:val="18"/>
          <w:szCs w:val="18"/>
          <w:color w:val="auto"/>
        </w:rPr>
        <w:t xml:space="preserve"> under the caption "Corporate Governance" on the Investor page. We will post on our website information regarding any amendment to, or waiver from, any provision of the Code of Conduct that applies to our principal executive officer, principal financial officer or principal accounting officer.</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Items 407(c)(3), (d)(4) and (d)(5) of Regulation S-K will be contained in and is hereby incorporated by reference to our definitive Proxy Statement for our 2015 Annual Meeting of Stockholders to be filed pursuant to Regulation 14A promulgated by the Securities and Exchange Commission under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Items 402 and 407(e)(4) and (e)(5) of Regulation S-K will be contained in and is hereby incorporated by reference to our definitive Proxy Statement for our 2015 Annual Meeting of Stockholders to be filed pursuant to Regulation 14A promulgated by the Securities and Exchange Commission under the Exchange Act.</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 403 of Regulation S-K will be contained in and is hereby incorporated by reference to our definitive Proxy Statement for our 2015 Annual Meeting of Stockholders to be filed pursuant to Regulation 14A promulgated by the Securities and Exchange Commission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equity compensation plans at December 31, 2014:</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249"/>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50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613,987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1,049,414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35,980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1"/>
                <w:szCs w:val="21"/>
                <w:color w:val="auto"/>
              </w:rPr>
            </w:pPr>
          </w:p>
        </w:tc>
        <w:tc>
          <w:tcPr>
            <w:tcW w:w="204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649,967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1,049,414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"ITEM 8. FINANCIAL STATEMENTS AND SUPPLEMENTARY DATA- Notes to Consolidated Financial Statements - Note 16" for a description of each of our stock incentive plans.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4" w:right="239" w:bottom="1440" w:gutter="0" w:footer="0" w:header="0"/>
        </w:sectPr>
      </w:pPr>
    </w:p>
    <w:bookmarkStart w:id="70" w:name="page71"/>
    <w:bookmarkEnd w:id="70"/>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required by Items 404 and 407(a) of Regulation S-K will be contained in and is hereby incorporated by reference to our definitive Proxy Statement for our 2015 Annual Meeting of Stockholders to be filed pursuant to Regulation 14A promulgated by the Securities and Exchange Commission under the Exchange 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will be contained in and is hereby incorporated by reference to our definitive Proxy Statement for our 2015 Annual Meeting of Stockholders to be filed pursuant to Regulation 14A promulgated by the Securities and Exchange Commission under the Exchange Act.</w:t>
      </w:r>
    </w:p>
    <w:p>
      <w:pPr>
        <w:spacing w:after="0" w:line="2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include this portion of ITEM 15 under ITEM 8 of this Report on Form 10-K.</w:t>
      </w:r>
    </w:p>
    <w:p>
      <w:pPr>
        <w:spacing w:after="0" w:line="167"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Statement Schedules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include the financial statement schedules required by the applicable accounting regulations of the SEC in the notes to our consolidated financial statements and incorporate that information in this ITEM 15 by reference.</w:t>
      </w:r>
    </w:p>
    <w:p>
      <w:pPr>
        <w:spacing w:after="0" w:line="104"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Any stockholder who would like a copy of any of the Exhibits listed in this Report on Form 10-K may obtain one from us upon request at a charge that reflects the reproduction cost of such Exhibits. Requests should be made to the Secretary, Universal Electronics Inc., 201 E. Sandpointe Avenue, 8th Floor, Santa Ana, California 92707.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4" w:right="239" w:bottom="1440" w:gutter="0" w:footer="0" w:header="0"/>
        </w:sectPr>
      </w:pPr>
    </w:p>
    <w:bookmarkStart w:id="71" w:name="page72"/>
    <w:bookmarkEnd w:id="71"/>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 of Section 13 or 15(d) of the Securities Exchange Act of 1934, the registrant has duly caused this report to be signed on its behalf by the undersigned, thereunto duly authorized, in the City of Santa Ana, State of California.</w:t>
      </w:r>
    </w:p>
    <w:p>
      <w:pPr>
        <w:spacing w:after="0" w:line="29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UNIVERSAL ELECTRONICS INC.</w:t>
      </w:r>
    </w:p>
    <w:p>
      <w:pPr>
        <w:spacing w:after="0" w:line="189" w:lineRule="exact"/>
        <w:rPr>
          <w:sz w:val="20"/>
          <w:szCs w:val="20"/>
          <w:color w:val="auto"/>
        </w:rPr>
      </w:pPr>
    </w:p>
    <w:p>
      <w:pPr>
        <w:ind w:left="532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Paul D. Arling</w:t>
      </w:r>
    </w:p>
    <w:p>
      <w:pPr>
        <w:spacing w:after="0" w:line="6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54" w:lineRule="exact"/>
        <w:rPr>
          <w:sz w:val="20"/>
          <w:szCs w:val="20"/>
          <w:color w:val="auto"/>
        </w:rPr>
      </w:pPr>
    </w:p>
    <w:p>
      <w:pPr>
        <w:ind w:left="5320"/>
        <w:spacing w:after="0"/>
        <w:tabs>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5, 2015</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Paul D. Arling and Bryan M. Hackworth as true and lawful attorneys-in-fact and agents, each acting alone, with full powers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for all intents and purposes as he might or may do in person, thereby ratifying and confirming all that said attorneys-in-fact and agents, each acting alone, or his substitutes, may lawfully do or cause to be done by virtue hereof.</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320" w:type="dxa"/>
            <w:vAlign w:val="bottom"/>
          </w:tcPr>
          <w:p>
            <w:pPr>
              <w:spacing w:after="0"/>
              <w:rPr>
                <w:sz w:val="16"/>
                <w:szCs w:val="16"/>
                <w:color w:val="auto"/>
              </w:rPr>
            </w:pPr>
          </w:p>
        </w:tc>
        <w:tc>
          <w:tcPr>
            <w:tcW w:w="28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5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Paul D. Arling</w:t>
            </w: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D. Arling</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Bryan M. Hackworth</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Bryan M. Hackworth</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Satjiv S. Chahil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Satjiv S. Chahil</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William C. Mulligan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C. Mulligan</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 C. Sparkman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J.C. Sparkman</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Gregory P. Stapleton</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Gregory P. Stapleton</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Carl E. Vogel</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Carl E. Vogel</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Edward K. Zinser</w:t>
            </w:r>
          </w:p>
        </w:tc>
        <w:tc>
          <w:tcPr>
            <w:tcW w:w="13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494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320" w:type="dxa"/>
            <w:vAlign w:val="bottom"/>
          </w:tcPr>
          <w:p>
            <w:pPr>
              <w:spacing w:after="0"/>
              <w:rPr>
                <w:sz w:val="20"/>
                <w:szCs w:val="20"/>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Edward K. Zinser</w:t>
            </w:r>
          </w:p>
        </w:tc>
        <w:tc>
          <w:tcPr>
            <w:tcW w:w="17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8"/>
              </w:rPr>
              <w:t>March 5, 2015</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3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71</w:t>
            </w:r>
          </w:p>
        </w:tc>
        <w:tc>
          <w:tcPr>
            <w:tcW w:w="28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9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2" w:name="page73"/>
    <w:bookmarkEnd w:id="72"/>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p>
      <w:pPr>
        <w:spacing w:after="0" w:line="248"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14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5"/>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7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7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1180" w:right="20" w:hanging="591"/>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Restated Certificate of Incorporation of Universal Electronics Inc., as amended (Incorporated by reference to Exhibit 3.1 to the Company's Form S-1 Registration filed on or about December 24, 1992 (File No. 33-56358))</w:t>
      </w:r>
    </w:p>
    <w:p>
      <w:pPr>
        <w:spacing w:after="0" w:line="121" w:lineRule="exact"/>
        <w:rPr>
          <w:sz w:val="20"/>
          <w:szCs w:val="20"/>
          <w:color w:val="auto"/>
        </w:rPr>
      </w:pPr>
    </w:p>
    <w:p>
      <w:pPr>
        <w:jc w:val="both"/>
        <w:ind w:left="1180" w:right="20" w:hanging="591"/>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Universal Electronics Inc. (Incorporated by reference to Exhibit 3.2 to the Company's Form S-1 Registration filed on or about December 24, 1992 (File No. 33-56358))</w:t>
      </w:r>
    </w:p>
    <w:p>
      <w:pPr>
        <w:spacing w:after="0" w:line="121" w:lineRule="exact"/>
        <w:rPr>
          <w:sz w:val="20"/>
          <w:szCs w:val="20"/>
          <w:color w:val="auto"/>
        </w:rPr>
      </w:pPr>
    </w:p>
    <w:p>
      <w:pPr>
        <w:jc w:val="both"/>
        <w:ind w:left="1180" w:right="20" w:hanging="591"/>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Certificate of Amendment to Restated Certificate of Incorporation of Universal Electronics Inc. (Incorporated by reference to Exhibit 3.3 to the Company's Annual Report on Form 10-K for the year ended December 31, 1995 filed on April 1, 1996 (File No. 0-21044))</w:t>
      </w:r>
    </w:p>
    <w:p>
      <w:pPr>
        <w:spacing w:after="0" w:line="121" w:lineRule="exact"/>
        <w:rPr>
          <w:sz w:val="20"/>
          <w:szCs w:val="20"/>
          <w:color w:val="auto"/>
        </w:rPr>
      </w:pPr>
    </w:p>
    <w:p>
      <w:pPr>
        <w:jc w:val="both"/>
        <w:ind w:left="1180" w:hanging="591"/>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Article Eighth of our Restated Certificate of Incorporation, as amended, contains certain provisions restricting business combinations with interested stockholders under certain circumstances and imposing higher voting requirements for the approval of certain transactions unless the transaction has been approved by two-thirds of the disinterested directors or fair price provisions have been met. (Incorporated by reference to Exhibit 3.3 to the Company's Annual Report on Form 10-K for the year ended December 31, 1995 filed on April 1, 1996 (File No. 0-21044))</w:t>
      </w:r>
    </w:p>
    <w:p>
      <w:pPr>
        <w:spacing w:after="0" w:line="143"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Form of Salary Continuation Agreement by and between Universal Electronics Inc. and certain employees (Incorporated by reference to Exhibit 10.25 to the Company's Annual Report on Form 10-K for the year ended December 31, 1997, filed on March 30, 1998 (File No. 0-21044))</w:t>
      </w:r>
    </w:p>
    <w:p>
      <w:pPr>
        <w:spacing w:after="0" w:line="136"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Form of Amendment to Salary Continuation Agreement by and between Universal Electronics Inc. and certain employees (Incorporated by reference to Exhibit 10.26 to the Company's Annual Report on Form 10-K for the year ended December 31, 1997, filed on March 30, 1998 (File No. 0-21044))</w:t>
      </w:r>
    </w:p>
    <w:p>
      <w:pPr>
        <w:spacing w:after="0" w:line="136" w:lineRule="exact"/>
        <w:rPr>
          <w:sz w:val="20"/>
          <w:szCs w:val="20"/>
          <w:color w:val="auto"/>
        </w:rPr>
      </w:pPr>
    </w:p>
    <w:p>
      <w:pPr>
        <w:jc w:val="both"/>
        <w:ind w:left="1180" w:right="20" w:hanging="80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Form of Universal Electronics Inc. 1998 Stock Incentive Plan (Incorporated by reference to Exhibit A to the Company's Definitive Proxy Materials for the 1998 Annual Meeting of Stockholders of Universal Electronics Inc. filed on April 20, 1998 (File No. 0-21044))</w:t>
      </w:r>
    </w:p>
    <w:p>
      <w:pPr>
        <w:spacing w:after="0" w:line="121"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Form of Stock Option Agreement by and between Universal Electronics Inc. and certain employees used in connection with options granted to the employees pursuant to the Universal Electronics Inc. 1998 Stock Incentive Plan (Incorporated by reference to Exhibit 10.24 to the Company's Annual Report on Form 10-K for the year ended December 31, 1998 filed on March 31, 1999 (File No. 0-21044))</w:t>
      </w:r>
    </w:p>
    <w:p>
      <w:pPr>
        <w:spacing w:after="0" w:line="136"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Form of Salary Continuation Agreement by and between Universal Electronics Inc. and certain employees (Incorporated by reference to Exhibit 10.39 to the Company's Annual Report on Form 10-K for the year ended December 31, 1999 filed on March 30, 2000 (File No. 0-21044))</w:t>
      </w:r>
    </w:p>
    <w:p>
      <w:pPr>
        <w:spacing w:after="0" w:line="136"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Universal Electronics Inc. 1999A Nonqualified Stock Plan effective October 7, 1999 and subsequently amended February 1, 2000 (Incorporated by reference to Exhibit 10.42 to the Company's Annual Report on Form 10-K for the year ended December 31, 1999 filed on March 30, 2000 (File No. 0-21044))</w:t>
      </w:r>
    </w:p>
    <w:p>
      <w:pPr>
        <w:spacing w:after="0" w:line="136" w:lineRule="exact"/>
        <w:rPr>
          <w:sz w:val="20"/>
          <w:szCs w:val="20"/>
          <w:color w:val="auto"/>
        </w:rPr>
      </w:pPr>
    </w:p>
    <w:p>
      <w:pPr>
        <w:jc w:val="both"/>
        <w:ind w:left="1180" w:right="2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Form of Stock Option Agreement by and between Universal Electronics Inc. and certain employees used in connection with options granted to the employees pursuant to the Universal Electronics Inc. 1999A Nonqualified Stock Plan (Incorporated by reference to Exhibit 10.43 to the Company's Annual Report on Form 10-K for the year ended December 31, 1999 filed on March 30, 2000 (File No. 0-21044))</w:t>
      </w:r>
    </w:p>
    <w:p>
      <w:pPr>
        <w:spacing w:after="0" w:line="136" w:lineRule="exact"/>
        <w:rPr>
          <w:sz w:val="20"/>
          <w:szCs w:val="20"/>
          <w:color w:val="auto"/>
        </w:rPr>
      </w:pPr>
    </w:p>
    <w:p>
      <w:pPr>
        <w:jc w:val="both"/>
        <w:ind w:left="1180" w:right="20" w:hanging="80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Form of Universal Electronics Inc. 2002 Stock Incentive Plan (Incorporated by reference to Exhibit 10.49 to the Company's Quarterly Report on Form 10-Q for the quarter ended June 30, 2002 filed on August 14, 2002 (File No. 0-21044))</w:t>
      </w:r>
    </w:p>
    <w:p>
      <w:pPr>
        <w:spacing w:after="0" w:line="121" w:lineRule="exact"/>
        <w:rPr>
          <w:sz w:val="20"/>
          <w:szCs w:val="20"/>
          <w:color w:val="auto"/>
        </w:rPr>
      </w:pPr>
    </w:p>
    <w:p>
      <w:pPr>
        <w:jc w:val="both"/>
        <w:ind w:left="1180" w:hanging="803"/>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Form of Stock Option Agreement by and between Universal Electronics Inc. and certain directors, officers and other employees used in connection with options granted to the employees pursuant to the Universal Electronics Inc. 2002 Stock Incentive Plan (Incorporated by reference to Exhibit 10.50 to the Company's Quarterly Report on Form 10-Q for the quarter ended June 30, 2002 filed on August 14, 2002 (File No. 0-21044))</w:t>
      </w:r>
    </w:p>
    <w:p>
      <w:pPr>
        <w:spacing w:after="0" w:line="140" w:lineRule="exact"/>
        <w:rPr>
          <w:sz w:val="20"/>
          <w:szCs w:val="20"/>
          <w:color w:val="auto"/>
        </w:rPr>
      </w:pPr>
    </w:p>
    <w:p>
      <w:pPr>
        <w:jc w:val="both"/>
        <w:ind w:left="118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Form of Universal Electronics Inc. 2003 Stock Incentive Plan (Incorporated by reference to Appendix B to the Company's Definitive Proxy Materials for the 2003 Annual Meeting of Stockholders of Universal Electronics Inc. filed on April 28, 2003 (File No. 0-21044))</w:t>
      </w:r>
    </w:p>
    <w:p>
      <w:pPr>
        <w:spacing w:after="0" w:line="121" w:lineRule="exact"/>
        <w:rPr>
          <w:sz w:val="20"/>
          <w:szCs w:val="20"/>
          <w:color w:val="auto"/>
        </w:rPr>
      </w:pPr>
    </w:p>
    <w:p>
      <w:pPr>
        <w:jc w:val="both"/>
        <w:ind w:left="1180" w:hanging="844"/>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Form of Executive Officer Employment Agreement dated April 23, 2003 by and between Universal Electronics Inc. and Paul D. Arling (Incorporated by reference to Exhibit 10.42 to the Company's Annual Report on Form 10-K for the year ended December 31, 2003 filed on March 14, 2004 (File No. 0-21044))</w:t>
      </w:r>
    </w:p>
    <w:p>
      <w:pPr>
        <w:sectPr>
          <w:pgSz w:w="11900" w:h="16838" w:orient="portrait"/>
          <w:cols w:equalWidth="0" w:num="1">
            <w:col w:w="11400"/>
          </w:cols>
          <w:pgMar w:left="240" w:top="114" w:right="25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14" w:right="25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2">
              <w:r>
                <w:rPr>
                  <w:rFonts w:ascii="Times New Roman" w:cs="Times New Roman" w:eastAsia="Times New Roman" w:hAnsi="Times New Roman"/>
                  <w:sz w:val="14"/>
                  <w:szCs w:val="14"/>
                  <w:b w:val="1"/>
                  <w:bCs w:val="1"/>
                  <w:u w:val="single" w:color="auto"/>
                  <w:color w:val="0000EE"/>
                </w:rPr>
                <w:t>Table of Contents</w:t>
              </w:r>
            </w:hyperlink>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334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u w:val="single" w:color="auto"/>
                <w:color w:val="auto"/>
              </w:rPr>
              <w:t>Document Description</w:t>
            </w:r>
          </w:p>
        </w:tc>
        <w:tc>
          <w:tcPr>
            <w:tcW w:w="0" w:type="dxa"/>
            <w:vAlign w:val="bottom"/>
          </w:tcPr>
          <w:p>
            <w:pPr>
              <w:spacing w:after="0"/>
              <w:rPr>
                <w:sz w:val="1"/>
                <w:szCs w:val="1"/>
                <w:color w:val="auto"/>
              </w:rPr>
            </w:pPr>
          </w:p>
        </w:tc>
      </w:tr>
      <w:tr>
        <w:trPr>
          <w:trHeight w:val="190"/>
        </w:trPr>
        <w:tc>
          <w:tcPr>
            <w:tcW w:w="3340" w:type="dxa"/>
            <w:vAlign w:val="bottom"/>
          </w:tcPr>
          <w:p>
            <w:pPr>
              <w:jc w:val="center"/>
              <w:ind w:right="210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1180" w:right="20" w:hanging="848"/>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Form of First Amendment to Executive Officer Employment Agreement dated October 21, 2005 by and between Universal Electronics Inc. and Paul D. Arling (Incorporated by reference to Exhibit 10.24 to the Company's Annual Report on Form 10-K for the year ended December 31, 2005 filed on March 16, 2006 (File No. 0-21044))</w:t>
      </w:r>
    </w:p>
    <w:p>
      <w:pPr>
        <w:spacing w:after="0" w:line="136" w:lineRule="exact"/>
        <w:rPr>
          <w:sz w:val="20"/>
          <w:szCs w:val="20"/>
          <w:color w:val="auto"/>
        </w:rPr>
      </w:pPr>
    </w:p>
    <w:p>
      <w:pPr>
        <w:jc w:val="both"/>
        <w:ind w:left="118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Form of Universal Electronics Inc. 2006 Stock Incentive Plan (Incorporated by reference to Appendix C to the Company's Definitive Proxy Materials for the 2006 Annual Meeting of Stockholders of Universal Electronics Inc. filed on April 26, 2006 (File No. 0-21044))</w:t>
      </w:r>
    </w:p>
    <w:p>
      <w:pPr>
        <w:spacing w:after="0" w:line="121" w:lineRule="exact"/>
        <w:rPr>
          <w:sz w:val="20"/>
          <w:szCs w:val="20"/>
          <w:color w:val="auto"/>
        </w:rPr>
      </w:pPr>
    </w:p>
    <w:p>
      <w:pPr>
        <w:jc w:val="both"/>
        <w:ind w:left="1180" w:right="2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Form of Lease dated January 31, 2007 between FirstCal Industrial 2 Acquisition, LLC and Universal Electronics Inc. (Incorporated by reference to Exhibit 10.26 to the Company's Annual Report on Form 10-K for the year ended December 31, 2006 filed on March 16, 2007 (File No. 0-21044))</w:t>
      </w:r>
    </w:p>
    <w:p>
      <w:pPr>
        <w:spacing w:after="0" w:line="136" w:lineRule="exact"/>
        <w:rPr>
          <w:sz w:val="20"/>
          <w:szCs w:val="20"/>
          <w:color w:val="auto"/>
        </w:rPr>
      </w:pPr>
    </w:p>
    <w:p>
      <w:pPr>
        <w:jc w:val="both"/>
        <w:ind w:left="1180" w:right="20" w:hanging="848"/>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color w:val="auto"/>
        </w:rPr>
        <w:t>Form of Indemnification Agreements, dated as of January 2, 2007 between the Company and each director and certain officers of the Company (Incorporated by reference to Exhibit 10.28 to the Company's Annual Report on Form 10-K for the year ended December 31, 2006 filed on March 16, 2007 (File No. 0-21044))</w:t>
      </w:r>
    </w:p>
    <w:p>
      <w:pPr>
        <w:spacing w:after="0" w:line="136" w:lineRule="exact"/>
        <w:rPr>
          <w:sz w:val="20"/>
          <w:szCs w:val="20"/>
          <w:color w:val="auto"/>
        </w:rPr>
      </w:pPr>
    </w:p>
    <w:p>
      <w:pPr>
        <w:jc w:val="both"/>
        <w:ind w:left="118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Form of Restricted Stock Unit Agreement (Incorporated herein by reference to Exhibit 4.5 to the Company's Form S-8 Registration Statement filed on March 27, 2008 (File No. 333-149926))</w:t>
      </w:r>
    </w:p>
    <w:p>
      <w:pPr>
        <w:spacing w:after="0" w:line="121"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color w:val="auto"/>
        </w:rPr>
        <w:t>Pledge Agreement dated November 1, 2010 between UEI Hong Kong Private Limited and Enson Assets Limited to U.S. Bank National Association (Incorporated by reference to Exhibit 10.30 to the Company's Annual Report on Form 10-K for the year ended December 31, 2010 filed on March 16, 2011 (File No. 0-21044))</w:t>
      </w:r>
    </w:p>
    <w:p>
      <w:pPr>
        <w:spacing w:after="0" w:line="136" w:lineRule="exact"/>
        <w:rPr>
          <w:sz w:val="20"/>
          <w:szCs w:val="20"/>
          <w:color w:val="auto"/>
        </w:rPr>
      </w:pPr>
    </w:p>
    <w:p>
      <w:pPr>
        <w:jc w:val="both"/>
        <w:ind w:left="1180" w:right="2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color w:val="auto"/>
        </w:rPr>
        <w:t>Security Agreement dated November 1, 2010 from Universal Electronics Inc. to U.S. Bank National Association (Incorporated by reference to Exhibit 10.31 to the Company's Annual Report on Form 10-K for the year ended December 31, 2010 filed on March 16, 011 (File No. 0-21044))</w:t>
      </w:r>
    </w:p>
    <w:p>
      <w:pPr>
        <w:spacing w:after="0" w:line="136" w:lineRule="exact"/>
        <w:rPr>
          <w:sz w:val="20"/>
          <w:szCs w:val="20"/>
          <w:color w:val="auto"/>
        </w:rPr>
      </w:pPr>
    </w:p>
    <w:p>
      <w:pPr>
        <w:ind w:left="340"/>
        <w:spacing w:after="0"/>
        <w:tabs>
          <w:tab w:leader="none" w:pos="116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8"/>
          <w:szCs w:val="18"/>
          <w:color w:val="auto"/>
        </w:rPr>
        <w:t>Universal Electronics Inc. 2010 Stock Incentive Plan (Incorporated by reference to Appendix C to the Company's Proxy Statement for its</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2010 Annual Meeting of Stockholders filed on April 30, 2010 (File No. 0-21044))</w:t>
      </w:r>
    </w:p>
    <w:p>
      <w:pPr>
        <w:spacing w:after="0" w:line="166" w:lineRule="exact"/>
        <w:rPr>
          <w:sz w:val="20"/>
          <w:szCs w:val="20"/>
          <w:color w:val="auto"/>
        </w:rPr>
      </w:pPr>
    </w:p>
    <w:p>
      <w:pPr>
        <w:jc w:val="both"/>
        <w:ind w:left="118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Form of Option Agreement used in connection with the Universal Electronics Inc. 2010 Stock Incentive Plan (Incorporated by reference to Exhibit 4.6 to the Company's Registration Statement on Form S-8 filed on July 5, 2011 (File No. 333-175345))</w:t>
      </w:r>
    </w:p>
    <w:p>
      <w:pPr>
        <w:spacing w:after="0" w:line="121" w:lineRule="exact"/>
        <w:rPr>
          <w:sz w:val="20"/>
          <w:szCs w:val="20"/>
          <w:color w:val="auto"/>
        </w:rPr>
      </w:pPr>
    </w:p>
    <w:p>
      <w:pPr>
        <w:jc w:val="both"/>
        <w:ind w:left="1180" w:right="2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8"/>
          <w:szCs w:val="18"/>
          <w:color w:val="auto"/>
        </w:rPr>
        <w:t>Form of Restricted Stock Unit Agreement used in connection with the Universal Electronics Inc. 2010 Stock Incentive Plan (Incorporated by reference to Exhibit 4.7 to the Company's Registration Statement on Form S-8 filed on July 5, 2011 (File No. 333-175345))</w:t>
      </w:r>
    </w:p>
    <w:p>
      <w:pPr>
        <w:spacing w:after="0" w:line="135" w:lineRule="exact"/>
        <w:rPr>
          <w:sz w:val="20"/>
          <w:szCs w:val="20"/>
          <w:color w:val="auto"/>
        </w:rPr>
      </w:pPr>
    </w:p>
    <w:p>
      <w:pPr>
        <w:jc w:val="both"/>
        <w:ind w:left="1180" w:right="20" w:hanging="848"/>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Form of Second Amendment to Executive Officer Employment Agreement dated February 29, 2008 by and between Universal Electronics Inc. and Paul D. Arling (Incorporated by reference to Exhibit 10.31 to the Company's Annual Report on Form 10-K for the year ended December 31, 2012 filed on March 14, 2013 (File No. 0-21044))</w:t>
      </w:r>
    </w:p>
    <w:p>
      <w:pPr>
        <w:spacing w:after="0" w:line="136" w:lineRule="exact"/>
        <w:rPr>
          <w:sz w:val="20"/>
          <w:szCs w:val="20"/>
          <w:color w:val="auto"/>
        </w:rPr>
      </w:pPr>
    </w:p>
    <w:p>
      <w:pPr>
        <w:jc w:val="both"/>
        <w:ind w:left="1180" w:right="2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Acknowledgment and Agreement of Pledgor dated October 26, 2011 from UEI Hong Kong Private Limited (Incorporated by reference to Exhibit 10.36 to the Company's Annual Report on Form 10-K for the year ended December 31, 2011 filed on March 14, 2012 (File No. 0-21044))</w:t>
      </w:r>
    </w:p>
    <w:p>
      <w:pPr>
        <w:spacing w:after="0" w:line="136" w:lineRule="exact"/>
        <w:rPr>
          <w:sz w:val="20"/>
          <w:szCs w:val="20"/>
          <w:color w:val="auto"/>
        </w:rPr>
      </w:pPr>
    </w:p>
    <w:p>
      <w:pPr>
        <w:jc w:val="both"/>
        <w:ind w:left="1180" w:right="20" w:hanging="803"/>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Standard Office Lease between Universal Electronics Inc. and The Realty Associates Fund VIII, L.P., dated May 11, 2012 (Incorporated by references to Exhibit 10.1 to the Company's Current Report on Form 8-K dated May 11, 2012 filed on May 18, 2012 (File No. 0-21044))</w:t>
      </w:r>
    </w:p>
    <w:p>
      <w:pPr>
        <w:spacing w:after="0" w:line="121" w:lineRule="exact"/>
        <w:rPr>
          <w:sz w:val="20"/>
          <w:szCs w:val="20"/>
          <w:color w:val="auto"/>
        </w:rPr>
      </w:pPr>
    </w:p>
    <w:p>
      <w:pPr>
        <w:jc w:val="both"/>
        <w:ind w:left="1180" w:hanging="803"/>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color w:val="auto"/>
        </w:rPr>
        <w:t>Amended and Restated Credit Agreement dated October 2, 2012 between Universal Electronics Inc. and U.S. Bank National Association (Incorporated by reference to Exhibit 10.36 to the Company's Annual Report on Form 10-K for the year ended December 31, 2012 filed on March 14, 2013 (File No. 0-21044))</w:t>
      </w:r>
    </w:p>
    <w:p>
      <w:pPr>
        <w:spacing w:after="0" w:line="136" w:lineRule="exact"/>
        <w:rPr>
          <w:sz w:val="20"/>
          <w:szCs w:val="20"/>
          <w:color w:val="auto"/>
        </w:rPr>
      </w:pPr>
    </w:p>
    <w:p>
      <w:pPr>
        <w:jc w:val="both"/>
        <w:ind w:left="1180" w:right="2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color w:val="auto"/>
        </w:rPr>
        <w:t>Summary of Universal Electronics Inc. 2013 Director Compensation (Incorporated by reference to Exhibit 10.34 to the Company's Annual Report on 10-K for the year ended December 31, 2013 filed on March 12, 2014 (File No. 0-21044))</w:t>
      </w:r>
    </w:p>
    <w:p>
      <w:pPr>
        <w:spacing w:after="0" w:line="121" w:lineRule="exact"/>
        <w:rPr>
          <w:sz w:val="20"/>
          <w:szCs w:val="20"/>
          <w:color w:val="auto"/>
        </w:rPr>
      </w:pPr>
    </w:p>
    <w:p>
      <w:pPr>
        <w:jc w:val="both"/>
        <w:ind w:left="1180" w:hanging="848"/>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color w:val="auto"/>
        </w:rPr>
        <w:t>Universal Electronics Inc. 2003 Stock Incentive Plan, Universal Electronics Inc. Compensation Plan for Outside Members of the Board of Directors (2001), and Universal Electronics Inc. 2004 Directors' Compensation Plan (Incorporated by reference to the Company's Registration Statement on Form S-8 filed on March 12, 2014 (File No. 333-194511))</w:t>
      </w:r>
    </w:p>
    <w:p>
      <w:pPr>
        <w:spacing w:after="0" w:line="136" w:lineRule="exact"/>
        <w:rPr>
          <w:sz w:val="20"/>
          <w:szCs w:val="20"/>
          <w:color w:val="auto"/>
        </w:rPr>
      </w:pPr>
    </w:p>
    <w:p>
      <w:pPr>
        <w:jc w:val="both"/>
        <w:ind w:left="1180" w:hanging="848"/>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color w:val="auto"/>
        </w:rPr>
        <w:t>Universal Electronics Inc. 2014 Stock Incentive Plan (Incorporated by reference to Exhibit 4.5 to the Company's Registration Statement on Form S-8 filed on August 12, 2014 (File No. 333-198083))</w:t>
      </w:r>
    </w:p>
    <w:p>
      <w:pPr>
        <w:sectPr>
          <w:pgSz w:w="11900" w:h="16838" w:orient="portrait"/>
          <w:cols w:equalWidth="0" w:num="1">
            <w:col w:w="11400"/>
          </w:cols>
          <w:pgMar w:left="240" w:top="114" w:right="25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14" w:right="25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3"/>
          </w:tcPr>
          <w:p>
            <w:pPr>
              <w:spacing w:after="0"/>
              <w:rPr>
                <w:rFonts w:ascii="Times New Roman" w:cs="Times New Roman" w:eastAsia="Times New Roman" w:hAnsi="Times New Roman"/>
                <w:sz w:val="14"/>
                <w:szCs w:val="14"/>
                <w:b w:val="1"/>
                <w:bCs w:val="1"/>
                <w:color w:val="0000EE"/>
              </w:rPr>
            </w:pPr>
            <w:hyperlink w:anchor="page2">
              <w:r>
                <w:rPr>
                  <w:rFonts w:ascii="Times New Roman" w:cs="Times New Roman" w:eastAsia="Times New Roman" w:hAnsi="Times New Roman"/>
                  <w:sz w:val="14"/>
                  <w:szCs w:val="14"/>
                  <w:b w:val="1"/>
                  <w:bCs w:val="1"/>
                  <w:color w:val="0000EE"/>
                </w:rPr>
                <w:t>Table of Contents</w:t>
              </w:r>
            </w:hyperlink>
          </w:p>
        </w:tc>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6"/>
        </w:trPr>
        <w:tc>
          <w:tcPr>
            <w:tcW w:w="320" w:type="dxa"/>
            <w:vAlign w:val="bottom"/>
          </w:tcPr>
          <w:p>
            <w:pPr>
              <w:spacing w:after="0"/>
              <w:rPr>
                <w:sz w:val="24"/>
                <w:szCs w:val="24"/>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60" w:type="dxa"/>
            <w:vAlign w:val="bottom"/>
          </w:tcPr>
          <w:p>
            <w:pPr>
              <w:spacing w:after="0"/>
              <w:rPr>
                <w:sz w:val="24"/>
                <w:szCs w:val="24"/>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44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gridSpan w:val="2"/>
          </w:tcPr>
          <w:p>
            <w:pPr>
              <w:spacing w:after="0"/>
              <w:rPr>
                <w:sz w:val="13"/>
                <w:szCs w:val="13"/>
                <w:color w:val="auto"/>
              </w:rPr>
            </w:pPr>
          </w:p>
        </w:tc>
        <w:tc>
          <w:tcPr>
            <w:tcW w:w="446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4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6"/>
              </w:rPr>
              <w:t>*10.29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of Option Agreement used in connection with the Universal Electronics Inc. 2014 Stock Incentive Plan (Incorporated by reference to</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4.6 to the Company's Registration Statement on Form S-8 filed on August 12, 2014 (File No. 333-198083))</w:t>
            </w:r>
          </w:p>
        </w:tc>
        <w:tc>
          <w:tcPr>
            <w:tcW w:w="0" w:type="dxa"/>
            <w:vAlign w:val="bottom"/>
          </w:tcPr>
          <w:p>
            <w:pPr>
              <w:spacing w:after="0"/>
              <w:rPr>
                <w:sz w:val="1"/>
                <w:szCs w:val="1"/>
                <w:color w:val="auto"/>
              </w:rPr>
            </w:pPr>
          </w:p>
        </w:tc>
      </w:tr>
      <w:tr>
        <w:trPr>
          <w:trHeight w:val="373"/>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6"/>
              </w:rPr>
              <w:t>*10.30</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 of Restricted Stock Unit Agreement used in connection with the Universal Electronics Inc. 2014 Stock Incentive Plan (Incorporated by</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reference to Exhibit 4.7 to the Company's Registration Statement on Form S-8 filed on August 12, 2014 (File No. 333-198083))</w:t>
            </w:r>
          </w:p>
        </w:tc>
        <w:tc>
          <w:tcPr>
            <w:tcW w:w="0" w:type="dxa"/>
            <w:vAlign w:val="bottom"/>
          </w:tcPr>
          <w:p>
            <w:pPr>
              <w:spacing w:after="0"/>
              <w:rPr>
                <w:sz w:val="1"/>
                <w:szCs w:val="1"/>
                <w:color w:val="auto"/>
              </w:rPr>
            </w:pPr>
          </w:p>
        </w:tc>
      </w:tr>
      <w:tr>
        <w:trPr>
          <w:trHeight w:val="373"/>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w w:val="98"/>
              </w:rPr>
              <w:t>10.31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First Amendment to Amended and Restated Credit Agreement dated October 9, 2014 between Universal Electronics Inc. and U.S. Bank</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National Association (filed herewith)</w:t>
            </w:r>
          </w:p>
        </w:tc>
        <w:tc>
          <w:tcPr>
            <w:tcW w:w="0" w:type="dxa"/>
            <w:vAlign w:val="bottom"/>
          </w:tcPr>
          <w:p>
            <w:pPr>
              <w:spacing w:after="0"/>
              <w:rPr>
                <w:sz w:val="1"/>
                <w:szCs w:val="1"/>
                <w:color w:val="auto"/>
              </w:rPr>
            </w:pPr>
          </w:p>
        </w:tc>
      </w:tr>
      <w:tr>
        <w:trPr>
          <w:trHeight w:val="373"/>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Code of Conduct (incorporated by reference to Exhibit 14.1 to the Company's Annual Report on Form 10-K for the year ended December 31,</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2003 filed on March 14, 2004 (File No. 0-21044))</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List of Subsidiaries of the Registrant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Power of Attorney (filed as part of the signature page hereto)</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Rule 13a-14(a)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Rule 13a-14(a)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1350 Certifications of the Chief Executive Officer (filed herewith)</w:t>
            </w:r>
          </w:p>
        </w:tc>
        <w:tc>
          <w:tcPr>
            <w:tcW w:w="0" w:type="dxa"/>
            <w:vAlign w:val="bottom"/>
          </w:tcPr>
          <w:p>
            <w:pPr>
              <w:spacing w:after="0"/>
              <w:rPr>
                <w:sz w:val="1"/>
                <w:szCs w:val="1"/>
                <w:color w:val="auto"/>
              </w:rPr>
            </w:pPr>
          </w:p>
        </w:tc>
      </w:tr>
      <w:tr>
        <w:trPr>
          <w:trHeight w:val="392"/>
        </w:trPr>
        <w:tc>
          <w:tcPr>
            <w:tcW w:w="840" w:type="dxa"/>
            <w:vAlign w:val="bottom"/>
            <w:gridSpan w:val="2"/>
          </w:tcPr>
          <w:p>
            <w:pPr>
              <w:jc w:val="center"/>
              <w:ind w:left="231"/>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Section 1350 Certifications of the Chief Financial Officer (principal financial officer and principal accounting officer) (filed herewith)</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Taxonomy Extension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5620" w:right="1780" w:hanging="4919"/>
        <w:spacing w:after="0" w:line="595" w:lineRule="auto"/>
        <w:tabs>
          <w:tab w:leader="none" w:pos="8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compensation plan or arrangement identified pursuant to Items 15(a)(3) and 15(c) of Form 10-K. 74</w:t>
      </w:r>
    </w:p>
    <w:p>
      <w:pPr>
        <w:sectPr>
          <w:pgSz w:w="11900" w:h="16838" w:orient="portrait"/>
          <w:cols w:equalWidth="0" w:num="1">
            <w:col w:w="11400"/>
          </w:cols>
          <w:pgMar w:left="240" w:top="114" w:right="2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Amended and Restated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October 9, 2014, is by and between UNIVERSAL ELECTRONICS INC., a corporation organized under the laws of the State of Delaware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U.S. BANK NATIONAL ASSOCIATION, a national banking association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656"/>
        <w:spacing w:after="0" w:line="282" w:lineRule="auto"/>
        <w:tabs>
          <w:tab w:leader="none" w:pos="10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 have entered into an Amended and Restated Credit Agreement dated as of October 2, 2012 (as amended, restated,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56"/>
        <w:spacing w:after="0" w:line="282" w:lineRule="auto"/>
        <w:tabs>
          <w:tab w:leader="none" w:pos="10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 make certain amendments to the Credit Agreement and the Lender is willing to do so,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promises herein set forth and for other good and valuable consideration, the Borrower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agree as follows:</w:t>
      </w:r>
    </w:p>
    <w:p>
      <w:pPr>
        <w:spacing w:after="0" w:line="230" w:lineRule="exact"/>
        <w:rPr>
          <w:sz w:val="20"/>
          <w:szCs w:val="20"/>
          <w:color w:val="auto"/>
        </w:rPr>
      </w:pPr>
    </w:p>
    <w:p>
      <w:pPr>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Capitalized Terms</w:t>
      </w:r>
      <w:r>
        <w:rPr>
          <w:rFonts w:ascii="Times New Roman" w:cs="Times New Roman" w:eastAsia="Times New Roman" w:hAnsi="Times New Roman"/>
          <w:sz w:val="18"/>
          <w:szCs w:val="18"/>
          <w:color w:val="auto"/>
        </w:rPr>
        <w:t>. Capitalized terms used herein and not otherwise defined herein shall have the meanings assigned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them in the Credit Agreement, unless the context shall otherwise require.</w:t>
      </w:r>
    </w:p>
    <w:p>
      <w:pPr>
        <w:spacing w:after="0" w:line="155" w:lineRule="exact"/>
        <w:rPr>
          <w:sz w:val="20"/>
          <w:szCs w:val="20"/>
          <w:color w:val="auto"/>
        </w:rPr>
      </w:pPr>
    </w:p>
    <w:p>
      <w:pPr>
        <w:ind w:left="6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Amendments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Credit Agreement is hereby amended as follows: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Section 1.1 of the Credit Agreement is amended by:</w:t>
      </w:r>
    </w:p>
    <w:p>
      <w:pPr>
        <w:spacing w:after="0" w:line="256" w:lineRule="exact"/>
        <w:rPr>
          <w:sz w:val="20"/>
          <w:szCs w:val="20"/>
          <w:color w:val="auto"/>
        </w:rPr>
      </w:pPr>
    </w:p>
    <w:p>
      <w:pPr>
        <w:ind w:left="2800" w:hanging="685"/>
        <w:spacing w:after="0"/>
        <w:tabs>
          <w:tab w:leader="none" w:pos="2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and restating the definition of “</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contained therein, to read in its</w:t>
      </w:r>
    </w:p>
    <w:p>
      <w:pPr>
        <w:spacing w:after="0" w:line="4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entirety as follows:</w:t>
      </w:r>
    </w:p>
    <w:p>
      <w:pPr>
        <w:spacing w:after="0" w:line="239" w:lineRule="exact"/>
        <w:rPr>
          <w:sz w:val="20"/>
          <w:szCs w:val="20"/>
          <w:color w:val="auto"/>
        </w:rPr>
      </w:pPr>
    </w:p>
    <w:p>
      <w:pPr>
        <w:jc w:val="both"/>
        <w:ind w:left="196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Fixed Charge Coverage Ratio</w:t>
      </w:r>
      <w:r>
        <w:rPr>
          <w:rFonts w:ascii="Times New Roman" w:cs="Times New Roman" w:eastAsia="Times New Roman" w:hAnsi="Times New Roman"/>
          <w:sz w:val="18"/>
          <w:szCs w:val="18"/>
          <w:color w:val="auto"/>
        </w:rPr>
        <w:t>”: For any period of determination, on a consolidated basis for the Borrower and without duplication, as measured on the last day of a fiscal quarter for the four quarters then ended, (a) Consolidated EBITDAR, minus cash taxes, minus Restricted Payments paid in cash and not financed with proceeds of Revolving Loans, minus Restricted Payments paid in cash, and minus Consolidated Maintenance Capital Expenditures divided by (b) the sum of consolidated required principal payments (on short and long term debt and Capitalized Leases), plus Consolidated Interest Expense paid in cash, plus rental or lease expense, all as determined for said period in accordance with GAAP.</w:t>
      </w:r>
    </w:p>
    <w:p>
      <w:pPr>
        <w:spacing w:after="0" w:line="215" w:lineRule="exact"/>
        <w:rPr>
          <w:sz w:val="20"/>
          <w:szCs w:val="20"/>
          <w:color w:val="auto"/>
        </w:rPr>
      </w:pPr>
    </w:p>
    <w:p>
      <w:pPr>
        <w:ind w:left="1300" w:firstLine="815"/>
        <w:spacing w:after="0" w:line="329" w:lineRule="auto"/>
        <w:tabs>
          <w:tab w:leader="none" w:pos="28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in their entirety each of the references to “Section 6.16” in subsection (b)(v) of the definition of “</w:t>
      </w:r>
      <w:r>
        <w:rPr>
          <w:rFonts w:ascii="Times New Roman" w:cs="Times New Roman" w:eastAsia="Times New Roman" w:hAnsi="Times New Roman"/>
          <w:sz w:val="18"/>
          <w:szCs w:val="18"/>
          <w:u w:val="single" w:color="auto"/>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 contained therein, with references to “Section 6.14”.</w:t>
      </w:r>
    </w:p>
    <w:p>
      <w:pPr>
        <w:spacing w:after="0" w:line="161" w:lineRule="exact"/>
        <w:rPr>
          <w:rFonts w:ascii="Times New Roman" w:cs="Times New Roman" w:eastAsia="Times New Roman" w:hAnsi="Times New Roman"/>
          <w:sz w:val="18"/>
          <w:szCs w:val="18"/>
          <w:color w:val="auto"/>
        </w:rPr>
      </w:pPr>
    </w:p>
    <w:p>
      <w:pPr>
        <w:ind w:left="1300" w:right="20" w:firstLine="815"/>
        <w:spacing w:after="0" w:line="284" w:lineRule="auto"/>
        <w:tabs>
          <w:tab w:leader="none" w:pos="27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and restating subsection (b)(vii) of the definition of “</w:t>
      </w:r>
      <w:r>
        <w:rPr>
          <w:rFonts w:ascii="Times New Roman" w:cs="Times New Roman" w:eastAsia="Times New Roman" w:hAnsi="Times New Roman"/>
          <w:sz w:val="18"/>
          <w:szCs w:val="18"/>
          <w:u w:val="single" w:color="auto"/>
          <w:color w:val="auto"/>
        </w:rPr>
        <w:t>Permitted Acquisitions</w:t>
      </w:r>
      <w:r>
        <w:rPr>
          <w:rFonts w:ascii="Times New Roman" w:cs="Times New Roman" w:eastAsia="Times New Roman" w:hAnsi="Times New Roman"/>
          <w:sz w:val="18"/>
          <w:szCs w:val="18"/>
          <w:color w:val="auto"/>
        </w:rPr>
        <w:t>” contained therein, to read in its entirety as follows:</w:t>
      </w:r>
    </w:p>
    <w:p>
      <w:pPr>
        <w:spacing w:after="0" w:line="1" w:lineRule="exact"/>
        <w:rPr>
          <w:rFonts w:ascii="Times New Roman" w:cs="Times New Roman" w:eastAsia="Times New Roman" w:hAnsi="Times New Roman"/>
          <w:sz w:val="18"/>
          <w:szCs w:val="18"/>
          <w:color w:val="auto"/>
        </w:rPr>
      </w:pPr>
    </w:p>
    <w:p>
      <w:pPr>
        <w:ind w:left="3100" w:hanging="499"/>
        <w:spacing w:after="0"/>
        <w:tabs>
          <w:tab w:leader="none" w:pos="31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Acquisition, Consolidated Liquidity shall be greater than or equal to $10,000,000.</w:t>
      </w:r>
    </w:p>
    <w:p>
      <w:pPr>
        <w:spacing w:after="0" w:line="247" w:lineRule="exact"/>
        <w:rPr>
          <w:rFonts w:ascii="Times New Roman" w:cs="Times New Roman" w:eastAsia="Times New Roman" w:hAnsi="Times New Roman"/>
          <w:sz w:val="18"/>
          <w:szCs w:val="18"/>
          <w:color w:val="auto"/>
        </w:rPr>
      </w:pPr>
    </w:p>
    <w:p>
      <w:pPr>
        <w:ind w:left="2820" w:hanging="705"/>
        <w:spacing w:after="0"/>
        <w:tabs>
          <w:tab w:leader="none" w:pos="2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and restating the definition of “</w:t>
      </w:r>
      <w:r>
        <w:rPr>
          <w:rFonts w:ascii="Times New Roman" w:cs="Times New Roman" w:eastAsia="Times New Roman" w:hAnsi="Times New Roman"/>
          <w:sz w:val="18"/>
          <w:szCs w:val="18"/>
          <w:u w:val="single" w:color="auto"/>
          <w:color w:val="auto"/>
        </w:rPr>
        <w:t>Revolving Commitment Amount</w:t>
      </w:r>
      <w:r>
        <w:rPr>
          <w:rFonts w:ascii="Times New Roman" w:cs="Times New Roman" w:eastAsia="Times New Roman" w:hAnsi="Times New Roman"/>
          <w:sz w:val="18"/>
          <w:szCs w:val="18"/>
          <w:color w:val="auto"/>
        </w:rPr>
        <w:t>” contained therein, to read in its entirety as</w:t>
      </w:r>
    </w:p>
    <w:p>
      <w:pPr>
        <w:spacing w:after="0" w:line="4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39" w:lineRule="exact"/>
        <w:rPr>
          <w:sz w:val="20"/>
          <w:szCs w:val="20"/>
          <w:color w:val="auto"/>
        </w:rPr>
      </w:pPr>
    </w:p>
    <w:p>
      <w:pPr>
        <w:ind w:left="19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Amount</w:t>
      </w:r>
      <w:r>
        <w:rPr>
          <w:rFonts w:ascii="Times New Roman" w:cs="Times New Roman" w:eastAsia="Times New Roman" w:hAnsi="Times New Roman"/>
          <w:sz w:val="18"/>
          <w:szCs w:val="18"/>
          <w:color w:val="auto"/>
        </w:rPr>
        <w:t>”: $55,000,000, or such increased amount as agreed to between the Borrower and the Bank from time to time pursuant to Section 2.22 of this Agreement.</w:t>
      </w:r>
    </w:p>
    <w:p>
      <w:pPr>
        <w:spacing w:after="0" w:line="189" w:lineRule="exact"/>
        <w:rPr>
          <w:sz w:val="20"/>
          <w:szCs w:val="20"/>
          <w:color w:val="auto"/>
        </w:rPr>
      </w:pPr>
    </w:p>
    <w:p>
      <w:pPr>
        <w:ind w:left="2800" w:hanging="685"/>
        <w:spacing w:after="0"/>
        <w:tabs>
          <w:tab w:leader="none" w:pos="2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and restating the definition of “</w:t>
      </w:r>
      <w:r>
        <w:rPr>
          <w:rFonts w:ascii="Times New Roman" w:cs="Times New Roman" w:eastAsia="Times New Roman" w:hAnsi="Times New Roman"/>
          <w:sz w:val="18"/>
          <w:szCs w:val="18"/>
          <w:u w:val="single" w:color="auto"/>
          <w:color w:val="auto"/>
        </w:rPr>
        <w:t>Revolving Commitment End Date</w:t>
      </w:r>
      <w:r>
        <w:rPr>
          <w:rFonts w:ascii="Times New Roman" w:cs="Times New Roman" w:eastAsia="Times New Roman" w:hAnsi="Times New Roman"/>
          <w:sz w:val="18"/>
          <w:szCs w:val="18"/>
          <w:color w:val="auto"/>
        </w:rPr>
        <w:t>” contained therein, to read in its entirety</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follows:</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 End Date</w:t>
      </w:r>
      <w:r>
        <w:rPr>
          <w:rFonts w:ascii="Times New Roman" w:cs="Times New Roman" w:eastAsia="Times New Roman" w:hAnsi="Times New Roman"/>
          <w:sz w:val="18"/>
          <w:szCs w:val="18"/>
          <w:color w:val="auto"/>
        </w:rPr>
        <w:t>”: November 1, 2017.</w:t>
      </w:r>
    </w:p>
    <w:p>
      <w:pPr>
        <w:spacing w:after="0" w:line="247" w:lineRule="exact"/>
        <w:rPr>
          <w:sz w:val="20"/>
          <w:szCs w:val="20"/>
          <w:color w:val="auto"/>
        </w:rPr>
      </w:pPr>
    </w:p>
    <w:p>
      <w:pPr>
        <w:ind w:left="2780" w:hanging="665"/>
        <w:spacing w:after="0"/>
        <w:tabs>
          <w:tab w:leader="none" w:pos="2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w:t>
      </w:r>
      <w:r>
        <w:rPr>
          <w:rFonts w:ascii="Times New Roman" w:cs="Times New Roman" w:eastAsia="Times New Roman" w:hAnsi="Times New Roman"/>
          <w:sz w:val="18"/>
          <w:szCs w:val="18"/>
          <w:u w:val="single" w:color="auto"/>
          <w:color w:val="auto"/>
        </w:rPr>
        <w:t>Regulatory Change</w:t>
      </w:r>
      <w:r>
        <w:rPr>
          <w:rFonts w:ascii="Times New Roman" w:cs="Times New Roman" w:eastAsia="Times New Roman" w:hAnsi="Times New Roman"/>
          <w:sz w:val="18"/>
          <w:szCs w:val="18"/>
          <w:color w:val="auto"/>
        </w:rPr>
        <w:t>”, contained therein.</w:t>
      </w:r>
    </w:p>
    <w:p>
      <w:pPr>
        <w:sectPr>
          <w:pgSz w:w="11900" w:h="16838" w:orient="portrait"/>
          <w:cols w:equalWidth="0" w:num="1">
            <w:col w:w="11420"/>
          </w:cols>
          <w:pgMar w:left="240" w:top="360" w:right="239" w:bottom="1440" w:gutter="0" w:footer="0" w:header="0"/>
        </w:sectPr>
      </w:pPr>
    </w:p>
    <w:bookmarkStart w:id="76" w:name="page77"/>
    <w:bookmarkEnd w:id="76"/>
    <w:p>
      <w:pPr>
        <w:ind w:left="2160" w:hanging="705"/>
        <w:spacing w:after="0"/>
        <w:tabs>
          <w:tab w:leader="none" w:pos="2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w:t>
      </w:r>
      <w:r>
        <w:rPr>
          <w:rFonts w:ascii="Times New Roman" w:cs="Times New Roman" w:eastAsia="Times New Roman" w:hAnsi="Times New Roman"/>
          <w:sz w:val="18"/>
          <w:szCs w:val="18"/>
          <w:u w:val="single" w:color="auto"/>
          <w:color w:val="auto"/>
        </w:rPr>
        <w:t>Shares Repurchase Dutch Auction</w:t>
      </w:r>
      <w:r>
        <w:rPr>
          <w:rFonts w:ascii="Times New Roman" w:cs="Times New Roman" w:eastAsia="Times New Roman" w:hAnsi="Times New Roman"/>
          <w:sz w:val="18"/>
          <w:szCs w:val="18"/>
          <w:color w:val="auto"/>
        </w:rPr>
        <w:t>”, contained therein.</w:t>
      </w:r>
    </w:p>
    <w:p>
      <w:pPr>
        <w:spacing w:after="0" w:line="265" w:lineRule="exact"/>
        <w:rPr>
          <w:rFonts w:ascii="Times New Roman" w:cs="Times New Roman" w:eastAsia="Times New Roman" w:hAnsi="Times New Roman"/>
          <w:sz w:val="18"/>
          <w:szCs w:val="18"/>
          <w:color w:val="auto"/>
        </w:rPr>
      </w:pPr>
    </w:p>
    <w:p>
      <w:pPr>
        <w:ind w:left="2160" w:hanging="705"/>
        <w:spacing w:after="0"/>
        <w:tabs>
          <w:tab w:leader="none" w:pos="2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Deleting the definition of “</w:t>
      </w:r>
      <w:r>
        <w:rPr>
          <w:rFonts w:ascii="Times New Roman" w:cs="Times New Roman" w:eastAsia="Times New Roman" w:hAnsi="Times New Roman"/>
          <w:sz w:val="18"/>
          <w:szCs w:val="18"/>
          <w:u w:val="single" w:color="auto"/>
          <w:color w:val="auto"/>
        </w:rPr>
        <w:t>Standby Letter of Credit Sublimit</w:t>
      </w:r>
      <w:r>
        <w:rPr>
          <w:rFonts w:ascii="Times New Roman" w:cs="Times New Roman" w:eastAsia="Times New Roman" w:hAnsi="Times New Roman"/>
          <w:sz w:val="18"/>
          <w:szCs w:val="18"/>
          <w:color w:val="auto"/>
        </w:rPr>
        <w:t>”, contained therein.</w:t>
      </w:r>
    </w:p>
    <w:p>
      <w:pPr>
        <w:spacing w:after="0" w:line="265" w:lineRule="exact"/>
        <w:rPr>
          <w:rFonts w:ascii="Times New Roman" w:cs="Times New Roman" w:eastAsia="Times New Roman" w:hAnsi="Times New Roman"/>
          <w:sz w:val="18"/>
          <w:szCs w:val="18"/>
          <w:color w:val="auto"/>
        </w:rPr>
      </w:pPr>
    </w:p>
    <w:p>
      <w:pPr>
        <w:ind w:left="1940" w:right="2340" w:hanging="485"/>
        <w:spacing w:after="0" w:line="298" w:lineRule="auto"/>
        <w:tabs>
          <w:tab w:leader="none" w:pos="21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new definition of “</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to read in its entirety as follows: “</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$4,500,000.</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Terms of the Credit Facilities</w:t>
      </w:r>
      <w:r>
        <w:rPr>
          <w:rFonts w:ascii="Times New Roman" w:cs="Times New Roman" w:eastAsia="Times New Roman" w:hAnsi="Times New Roman"/>
          <w:sz w:val="18"/>
          <w:szCs w:val="18"/>
          <w:color w:val="auto"/>
        </w:rPr>
        <w:t>. Article II of the Credit Agreement is amended by:</w:t>
      </w:r>
    </w:p>
    <w:p>
      <w:pPr>
        <w:spacing w:after="0" w:line="229" w:lineRule="exact"/>
        <w:rPr>
          <w:sz w:val="20"/>
          <w:szCs w:val="20"/>
          <w:color w:val="auto"/>
        </w:rPr>
      </w:pPr>
    </w:p>
    <w:p>
      <w:pPr>
        <w:ind w:left="1940" w:right="2800" w:hanging="485"/>
        <w:spacing w:after="0" w:line="530" w:lineRule="auto"/>
        <w:tabs>
          <w:tab w:leader="none" w:pos="182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Amending and restating subclause (b) of Section 2.7 to read in its entirety as follows: “(b) the Letter of Credit Outstandings to exceed the Letter of Credit Sublimit.”</w:t>
      </w:r>
    </w:p>
    <w:p>
      <w:pPr>
        <w:ind w:left="1840" w:hanging="385"/>
        <w:spacing w:after="0"/>
        <w:tabs>
          <w:tab w:leader="none" w:pos="1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and restating subclause (a) of Section 2.14 to read in its entirety as follows: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in the case of each standby Letter of Credit, at all times such Letter of Credit is outstanding, an amount determined by multiplying the Applicable Margin for LIBOR Rate Loans by the original face amount of each such Letter of Credit determined on a per annum basis, payable quarterly in arrears on each Quarterly Payment Date, and”</w:t>
      </w:r>
    </w:p>
    <w:p>
      <w:pPr>
        <w:spacing w:after="0" w:line="176" w:lineRule="exact"/>
        <w:rPr>
          <w:sz w:val="20"/>
          <w:szCs w:val="20"/>
          <w:color w:val="auto"/>
        </w:rPr>
      </w:pPr>
    </w:p>
    <w:p>
      <w:pPr>
        <w:ind w:left="1460"/>
        <w:spacing w:after="0"/>
        <w:tabs>
          <w:tab w:leader="none" w:pos="180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Adding a new Section 2.22 to read in its entirety as follows:</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Increase in Revolving Commitment Amount.</w:t>
      </w:r>
      <w:r>
        <w:rPr>
          <w:rFonts w:ascii="Times New Roman" w:cs="Times New Roman" w:eastAsia="Times New Roman" w:hAnsi="Times New Roman"/>
          <w:sz w:val="18"/>
          <w:szCs w:val="18"/>
          <w:color w:val="auto"/>
        </w:rPr>
        <w:t xml:space="preserve"> Notwithstanding anything to the contrary, so long as no Default or Event of Default is continuing, the Borrower may, from time to time, request in writing an increase in the Revolving Commitment Amount by an aggregate amount (for all such requests) not exceeding on and after the Closing Date, $70,000,000;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of $10,000,000 and in whole increments of $10,000,000 in excess thereof and (ii) that the Revolving Commitment Amount, after giving effect to any such increase, shall not exceed $125,000,000. Upon receipt of the Borrower’s request for such an increase in the Revolving Commitment Amount, the Bank shall notify the Borrower whether it agrees, in its sole discretion, to increase the Revolving Commitment Amount. If the Bank, in its sole discretion, agrees to increase the Revolving Commitment Amount, the Borrower and the Bank shall mutually agree on the date as of which the increased Revolving Commitment Amount shall become effective. In connection with any increase of the Revolving Commitment Amount pursuant to this Section 2.22 and as a condition to the effectiveness of such increase, the Bank shall have received, in form and substance satisfactory to it, such other assurances, certificates, documents or consents related to the foregoing as the Bank may reasonably request.”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u w:val="single" w:color="auto"/>
          <w:color w:val="auto"/>
        </w:rPr>
        <w:t>Financial Statements and Reports</w:t>
      </w:r>
      <w:r>
        <w:rPr>
          <w:rFonts w:ascii="Times New Roman" w:cs="Times New Roman" w:eastAsia="Times New Roman" w:hAnsi="Times New Roman"/>
          <w:sz w:val="18"/>
          <w:szCs w:val="18"/>
          <w:color w:val="auto"/>
        </w:rPr>
        <w:t>. Section 5.1(c) of the Credit Agreement is amended by deleting the reference to “Sections 5.14,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6.14, 6.15, and 6.16” and replacing such reference with “Sections 5.14, 6.14 and 6.15”.</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u w:val="single" w:color="auto"/>
          <w:color w:val="auto"/>
        </w:rPr>
        <w:t>Restricted Payments. Prepayment of Indebtedness</w:t>
      </w:r>
      <w:r>
        <w:rPr>
          <w:rFonts w:ascii="Times New Roman" w:cs="Times New Roman" w:eastAsia="Times New Roman" w:hAnsi="Times New Roman"/>
          <w:sz w:val="18"/>
          <w:szCs w:val="18"/>
          <w:color w:val="auto"/>
        </w:rPr>
        <w:t>. Section 6.6 of the Credit Agreement is amended and restated to read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entirety as follows: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Restricted Payments. Prepayment of Indebtedness.</w:t>
      </w:r>
      <w:r>
        <w:rPr>
          <w:rFonts w:ascii="Times New Roman" w:cs="Times New Roman" w:eastAsia="Times New Roman" w:hAnsi="Times New Roman"/>
          <w:sz w:val="18"/>
          <w:szCs w:val="18"/>
          <w:color w:val="auto"/>
        </w:rPr>
        <w:t xml:space="preserve"> The Borrower shall not make any Restricted Payment if a Default or Event of Default has occurred or is continuing or a Default or Event of Default would exist after giving effect to the making of any such Restricted Payment immediately or by reference to pro forma compliance with under the most recent Compliance Certificate delivered by the Borrower pursuant to Section 5.1(c). The Borrower shall not, and shall not permit any Restricted Subsidiary to, prepay or redeem in advance of maturity or regular installments of principal in effect as of the date of this Agreement, or establish a sinking fund for such purpose, with respect to any Indebtedness other than Indebtedness owing to the Bank.”</w:t>
      </w:r>
    </w:p>
    <w:p>
      <w:pPr>
        <w:sectPr>
          <w:pgSz w:w="11900" w:h="16838" w:orient="portrait"/>
          <w:cols w:equalWidth="0" w:num="1">
            <w:col w:w="10760"/>
          </w:cols>
          <w:pgMar w:left="900" w:top="607" w:right="239" w:bottom="1440" w:gutter="0" w:footer="0" w:header="0"/>
        </w:sectPr>
      </w:pPr>
    </w:p>
    <w:bookmarkStart w:id="77" w:name="page78"/>
    <w:bookmarkEnd w:id="77"/>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u w:val="single" w:color="auto"/>
          <w:color w:val="auto"/>
        </w:rPr>
        <w:t>Investments and Indebtedness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4" w:firstLine="653"/>
        <w:spacing w:after="0" w:line="282" w:lineRule="auto"/>
        <w:tabs>
          <w:tab w:leader="none" w:pos="15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6.10 of the Credit Agreement is amended by deleting the reference to “Section 6.19” in subsection (k) thereof and replacing such reference with “Section 6.18”.</w:t>
      </w:r>
    </w:p>
    <w:p>
      <w:pPr>
        <w:spacing w:after="0" w:line="161" w:lineRule="exact"/>
        <w:rPr>
          <w:rFonts w:ascii="Times New Roman" w:cs="Times New Roman" w:eastAsia="Times New Roman" w:hAnsi="Times New Roman"/>
          <w:sz w:val="18"/>
          <w:szCs w:val="18"/>
          <w:color w:val="auto"/>
        </w:rPr>
      </w:pPr>
    </w:p>
    <w:p>
      <w:pPr>
        <w:ind w:left="644" w:firstLine="653"/>
        <w:spacing w:after="0" w:line="282" w:lineRule="auto"/>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6.11 of the Credit Agreement is amended by deleting the reference to “Section 6.19” in subsection (g) thereof and replacing such reference with “Section 6.18”.</w:t>
      </w:r>
    </w:p>
    <w:p>
      <w:pPr>
        <w:spacing w:after="0" w:line="15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u w:val="single" w:color="auto"/>
          <w:color w:val="auto"/>
        </w:rPr>
        <w:t>Consolidated Cash Flow Leverage Ratio</w:t>
      </w:r>
      <w:r>
        <w:rPr>
          <w:rFonts w:ascii="Times New Roman" w:cs="Times New Roman" w:eastAsia="Times New Roman" w:hAnsi="Times New Roman"/>
          <w:sz w:val="18"/>
          <w:szCs w:val="18"/>
          <w:color w:val="auto"/>
        </w:rPr>
        <w:t>. Section 6.14 of the Credit Agreement is amended and restated to read in its entirety as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4"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Consolidated Cash Flow Leverage Ratio</w:t>
      </w:r>
      <w:r>
        <w:rPr>
          <w:rFonts w:ascii="Times New Roman" w:cs="Times New Roman" w:eastAsia="Times New Roman" w:hAnsi="Times New Roman"/>
          <w:sz w:val="18"/>
          <w:szCs w:val="18"/>
          <w:color w:val="auto"/>
        </w:rPr>
        <w:t>. The Borrower shall not permit the Consolidated Cash Flow Leverage Ratio to be more than 2.00 to 1.0 as of the last day of any fiscal quarter.”</w:t>
      </w:r>
    </w:p>
    <w:p>
      <w:pPr>
        <w:spacing w:after="0" w:line="158" w:lineRule="exact"/>
        <w:rPr>
          <w:sz w:val="20"/>
          <w:szCs w:val="20"/>
          <w:color w:val="auto"/>
        </w:rPr>
      </w:pPr>
    </w:p>
    <w:p>
      <w:pPr>
        <w:ind w:left="4"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18"/>
          <w:szCs w:val="18"/>
          <w:b w:val="1"/>
          <w:bCs w:val="1"/>
          <w:u w:val="single" w:color="auto"/>
          <w:color w:val="auto"/>
        </w:rPr>
        <w:t>Consolidated Liquidity</w:t>
      </w:r>
      <w:r>
        <w:rPr>
          <w:rFonts w:ascii="Times New Roman" w:cs="Times New Roman" w:eastAsia="Times New Roman" w:hAnsi="Times New Roman"/>
          <w:sz w:val="18"/>
          <w:szCs w:val="18"/>
          <w:color w:val="auto"/>
        </w:rPr>
        <w:t>. Section 6.16 of the Credit Agreement is deleted in its entirety and Sections 6.17, 6.18 and 6.19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renumbered as 6.16, 6.17 and 6.18 respectively.</w:t>
      </w:r>
    </w:p>
    <w:p>
      <w:pPr>
        <w:spacing w:after="0" w:line="155" w:lineRule="exact"/>
        <w:rPr>
          <w:sz w:val="20"/>
          <w:szCs w:val="20"/>
          <w:color w:val="auto"/>
        </w:rPr>
      </w:pPr>
    </w:p>
    <w:p>
      <w:pPr>
        <w:ind w:left="4"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u w:val="single" w:color="auto"/>
          <w:color w:val="auto"/>
        </w:rPr>
        <w:t>Compliance Certificate</w:t>
      </w:r>
      <w:r>
        <w:rPr>
          <w:rFonts w:ascii="Times New Roman" w:cs="Times New Roman" w:eastAsia="Times New Roman" w:hAnsi="Times New Roman"/>
          <w:sz w:val="18"/>
          <w:szCs w:val="18"/>
          <w:color w:val="auto"/>
        </w:rPr>
        <w:t>. The “Attachment to the Compliance Certificate” included as Exhibit C to the Credit Agreement is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replaced in its entirety with the Attachment to the Compliance Certificate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ind w:left="4"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b w:val="1"/>
          <w:bCs w:val="1"/>
          <w:u w:val="single" w:color="auto"/>
          <w:color w:val="auto"/>
        </w:rPr>
        <w:t>Pricing Schedule</w:t>
      </w:r>
      <w:r>
        <w:rPr>
          <w:rFonts w:ascii="Times New Roman" w:cs="Times New Roman" w:eastAsia="Times New Roman" w:hAnsi="Times New Roman"/>
          <w:sz w:val="18"/>
          <w:szCs w:val="18"/>
          <w:color w:val="auto"/>
        </w:rPr>
        <w:t>. Schedule 1.1 of the Credit Agreement is amended and replaced in its entirety with the Schedule 1.1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55" w:lineRule="exact"/>
        <w:rPr>
          <w:sz w:val="20"/>
          <w:szCs w:val="20"/>
          <w:color w:val="auto"/>
        </w:rPr>
      </w:pPr>
    </w:p>
    <w:p>
      <w:pPr>
        <w:ind w:left="644"/>
        <w:spacing w:after="0"/>
        <w:tabs>
          <w:tab w:leader="none" w:pos="1583"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8"/>
          <w:szCs w:val="18"/>
          <w:b w:val="1"/>
          <w:bCs w:val="1"/>
          <w:u w:val="single" w:color="auto"/>
          <w:color w:val="auto"/>
        </w:rPr>
        <w:t>Conditions and Effectiveness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This Amendment shall become effective only upon satisfaction of the following conditions:</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Borrower shall have duly executed and delivered to the Lender this Amendment.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The Borrower shall have delivered to the Lender a certification by the Secretary or Assistant Secretary of the Borrower certifying as to</w:t>
      </w:r>
    </w:p>
    <w:p>
      <w:pPr>
        <w:spacing w:after="0" w:line="31" w:lineRule="exact"/>
        <w:rPr>
          <w:sz w:val="20"/>
          <w:szCs w:val="20"/>
          <w:color w:val="auto"/>
        </w:rPr>
      </w:pPr>
    </w:p>
    <w:p>
      <w:pPr>
        <w:jc w:val="both"/>
        <w:ind w:left="4" w:hanging="4"/>
        <w:spacing w:after="0" w:line="254" w:lineRule="auto"/>
        <w:tabs>
          <w:tab w:leader="none" w:pos="2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Borrower’s Restated Certificate of Incorporation and Amended and Restated Bylaws attached thereto, (ii) resolutions of the Borrower’s Board of Directors authorizing the execution, delivery and performance of this Amendment, and (iii) the incumbency, names, titles, and signatures of each officer of the Borrower authorized to execute this Amendment and any other instrument or agreement executed by the Borrower in connection with this Amendment.</w:t>
      </w:r>
    </w:p>
    <w:p>
      <w:pPr>
        <w:spacing w:after="0" w:line="182" w:lineRule="exact"/>
        <w:rPr>
          <w:sz w:val="20"/>
          <w:szCs w:val="20"/>
          <w:color w:val="auto"/>
        </w:rPr>
      </w:pPr>
    </w:p>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color w:val="auto"/>
        </w:rPr>
        <w:t>The Borrower shall have satisfied any other conditions as specified by the Lender, including payment of all unpaid legal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by the Lender through the date of this Amendment in connection with the Credit Agreement.</w:t>
      </w:r>
    </w:p>
    <w:p>
      <w:pPr>
        <w:spacing w:after="0" w:line="155" w:lineRule="exact"/>
        <w:rPr>
          <w:sz w:val="20"/>
          <w:szCs w:val="20"/>
          <w:color w:val="auto"/>
        </w:rPr>
      </w:pPr>
    </w:p>
    <w:p>
      <w:pPr>
        <w:ind w:left="644"/>
        <w:spacing w:after="0"/>
        <w:tabs>
          <w:tab w:leader="none" w:pos="1543"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u w:val="single" w:color="auto"/>
          <w:color w:val="auto"/>
        </w:rPr>
        <w:t>Representations, Warranties, Authority, No Adverse Claim</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Reassertion of Representations and Warranties, No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represents that on and as of the date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this Amendment (a) all of the representations and warranties contained in the Credit Agreement are true, correct and complete in all respects as of the date hereof as though made on and as of such date, except for changes permitted by the terms of the Credit Agreement, and</w:t>
      </w:r>
    </w:p>
    <w:p>
      <w:pPr>
        <w:ind w:left="4" w:hanging="4"/>
        <w:spacing w:after="0" w:line="261"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exist no Event of Default under the Credit Agreement as amended by this Amendment on such date which has not been waived by the Lender.</w:t>
      </w:r>
    </w:p>
    <w:p>
      <w:pPr>
        <w:spacing w:after="0" w:line="17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Authority, No Conflict, No Consent Required,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and warrants that the Borrower has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and legal right and authority to enter into this Amendment and any other instrument or agreement executed by the Borrower in connection with this Amendment (collectively, the “</w:t>
      </w:r>
      <w:r>
        <w:rPr>
          <w:rFonts w:ascii="Times New Roman" w:cs="Times New Roman" w:eastAsia="Times New Roman" w:hAnsi="Times New Roman"/>
          <w:sz w:val="18"/>
          <w:szCs w:val="18"/>
          <w:u w:val="single" w:color="auto"/>
          <w:color w:val="auto"/>
        </w:rPr>
        <w:t>Amendment Documents</w:t>
      </w:r>
      <w:r>
        <w:rPr>
          <w:rFonts w:ascii="Times New Roman" w:cs="Times New Roman" w:eastAsia="Times New Roman" w:hAnsi="Times New Roman"/>
          <w:sz w:val="18"/>
          <w:szCs w:val="18"/>
          <w:color w:val="auto"/>
        </w:rPr>
        <w:t>”) and has duly authorized as appropriate the execution and delivery of the Amendment Documents and other agreements and documents executed and delivered by the Borrower in connection herewith or therewith by proper company action, and none of the Amendment Documents nor the agreements contained herein or therein contravenes or constitutes a default under any agreement, instrument or indenture to which the Borrower is a party or a signatory or a provision of the Borrower’s articles of organization, Bylaws or any other agreement or requirement of law, or result in the imposition of any lien on any of its property under any agreement binding on or applicable to the Borrower or any of its property except, if any, in favor of the Lender. The Borrower represents and warrants that no consent, approval or authorization</w:t>
      </w:r>
    </w:p>
    <w:p>
      <w:pPr>
        <w:sectPr>
          <w:pgSz w:w="11900" w:h="16838" w:orient="portrait"/>
          <w:cols w:equalWidth="0" w:num="1">
            <w:col w:w="10764"/>
          </w:cols>
          <w:pgMar w:left="896" w:top="360" w:right="239" w:bottom="1440" w:gutter="0" w:footer="0" w:header="0"/>
        </w:sectPr>
      </w:pPr>
    </w:p>
    <w:bookmarkStart w:id="78" w:name="page79"/>
    <w:bookmarkEnd w:id="78"/>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of or registration or declaration with any entity, including but not limited to any governmental authority, is required in connection with the execution and delivery by the Borrower of the Amendment Documents or other agreements and documents executed and delivered by the Borrower in connection therewith or the performance of obligations of the Borrower therein described, except for those which the Borrower has obtained or provided and as to which the Borrower has delivered certified copies of documents evidencing each such action to the Lender. The Borrower represents and warrants that this Amendment constitutes the legal, valid and binding obligations of the Borrower, enforceable against the Borrower in accordance with its terms, subject to limitations as to enforceability which might result from bankruptcy, insolvency, moratorium and other similar laws affecting creditors’ rights generally and subject to limitations on the availability of equitable remedies.</w:t>
      </w:r>
    </w:p>
    <w:p>
      <w:pPr>
        <w:spacing w:after="0" w:line="185" w:lineRule="exact"/>
        <w:rPr>
          <w:sz w:val="20"/>
          <w:szCs w:val="20"/>
          <w:color w:val="auto"/>
        </w:rPr>
      </w:pPr>
    </w:p>
    <w:p>
      <w:pPr>
        <w:jc w:val="both"/>
        <w:ind w:left="660"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No Adverse Claim</w:t>
      </w:r>
      <w:r>
        <w:rPr>
          <w:rFonts w:ascii="Times New Roman" w:cs="Times New Roman" w:eastAsia="Times New Roman" w:hAnsi="Times New Roman"/>
          <w:sz w:val="18"/>
          <w:szCs w:val="18"/>
          <w:color w:val="auto"/>
        </w:rPr>
        <w:t>. The Borrower warrants, acknowledges and agrees that no events have taken place and no circumstances exist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hereof which would give the Borrower a basis to assert a defense, offset or counterclaim to any claim of the Lender with respect to the Borrower’s obligations under the Credit Agreement as amended by this Amendment.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Affirmation of Credit Agreement, Further References, Affirmation of Security Interest</w:t>
      </w:r>
      <w:r>
        <w:rPr>
          <w:rFonts w:ascii="Times New Roman" w:cs="Times New Roman" w:eastAsia="Times New Roman" w:hAnsi="Times New Roman"/>
          <w:sz w:val="18"/>
          <w:szCs w:val="18"/>
          <w:color w:val="auto"/>
        </w:rPr>
        <w:t>. The Lender and the Borrower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and affirm that the Credit Agreement, as hereby amended, is hereby ratified and confirmed in all respects and all terms, conditions and provisions of the Credit Agreement, except as amended by this Amendment, shall remain unmodified and in full force and effect. All references in any document or instrument to the Credit Agreement are hereby amended and shall refer to the Credit Agreement as amended by this Amendment. The Borrower confirms to the Lender that the Borrower’s obligations under the Credit Agreement, as amended by this Amendment, are and continue to be secured by the security interest granted by the Borrower in favor of the Lender under that certain Borrower’s Security Agreement dated as of October 2, 2012 and made by the Borrower in favor of the Lender, and all of the terms, conditions, provisions, agreements, requirements, promises, obligations, duties, covenants and representations of the Borrower under such documents and any and all other documents and agreements entered into with respect to the obligations under the Credit Agreement are incorporated herein by reference and are hereby ratified and affirmed in all respects by the Borrower.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Merger and Integration, Superseding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from and after the date hereof, embodies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between the parties hereto and supersedes and has merged into this Amendment all prior oral and written agreements on the same subjects by and between the parties hereto with the effect that this Amendment shall control with respect to the specific subjects hereof and thereof.</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Whenever possible, each provision of this Amendment and any other statement, instrument or transaction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or thereby or relating hereto or thereto shall be interpreted in such manner as to be effective, valid and enforceable under the applicable law of any jurisdiction, but, if any provision of this Amendment, or any other statement, instrument or transaction contemplated hereby or thereby or relating hereto or thereto shall be held to be prohibited, invalid or unenforceable under the applicable law, such provision shall be ineffective in such jurisdiction only to the extent of such prohibition, invalidity or unenforceability, without invalidating or rendering unenforceable the remainder of such provision or the remaining provisions of this Amendment, or any other statement, instrument or transaction contemplated hereby or thereby or relating hereto or thereto in such jurisdiction, or affecting the effectiveness, validity or enforceability of such provision in any other jurisdiction.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color w:val="auto"/>
        </w:rPr>
        <w:t>. This Amendment shall be binding upon the Borrower and the Lender and their respective successors and assigns,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inure to the benefit of the Borrower and the Lender and the successors and assigns of the Lender.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Legal Expenses</w:t>
      </w:r>
      <w:r>
        <w:rPr>
          <w:rFonts w:ascii="Times New Roman" w:cs="Times New Roman" w:eastAsia="Times New Roman" w:hAnsi="Times New Roman"/>
          <w:sz w:val="18"/>
          <w:szCs w:val="18"/>
          <w:color w:val="auto"/>
        </w:rPr>
        <w:t>. As provided in Section 8.2 of the Credit Agreement, the Borrower agrees to pay or reimburse the Lender,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of this Amendment, for all reasonable out-of-pocket expenses paid or incurred by the Lender, including filing and recording costs and fees, charges and disbursements of outside counsel to the Lender and/or the allocated costs of in-house counsel incurred from time to time, in connection with the Credit Agreement, including in connection with the negotiation, preparation, execution, collection and enforcement of the Amendment Documents and all other documents negotiated, prepared and executed in connection with the Amendment Documents, and in enforcing the obligations of the Borrower under the Amendment Documents, and to pay and save the Lender harmless from all liability for, any stamp or other taxes which may be payable with respect to the execution or delivery of the Amendment Documents, which obligations of the Borrower shall survive any termination of the Credit Agreement.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of various sections of this Amendment have been inserted for reference only and shall not be deemed to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this Amendment.</w:t>
      </w:r>
    </w:p>
    <w:p>
      <w:pPr>
        <w:sectPr>
          <w:pgSz w:w="11900" w:h="16838" w:orient="portrait"/>
          <w:cols w:equalWidth="0" w:num="1">
            <w:col w:w="11420"/>
          </w:cols>
          <w:pgMar w:left="240" w:top="364" w:right="239" w:bottom="1440" w:gutter="0" w:footer="0" w:header="0"/>
        </w:sectPr>
      </w:pPr>
    </w:p>
    <w:bookmarkStart w:id="79" w:name="page80"/>
    <w:bookmarkEnd w:id="7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Amendment may be executed in several counterparts as deemed necessary or convenient, each of which, when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shall be deemed an original, provided that all such counterparts shall be regarded as one and the same document, and either party to the Amendment may execute any such agreement by executing a counterpart of such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AMENDMENT DOCUMENTS SHALL BE GOVERNED BY THE INTERNAL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WITHOUT GIVING EFFECT TO CONFLICT OF LAW PRINCIPLES THEREOF, BUT GIVING EFFECT TO FEDERAL LAWS APPLICABLE TO NATIONAL BANKS, THEIR HOLDING COMPANIES AND THEIR AFFILIATES.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ectPr>
          <w:pgSz w:w="11900" w:h="16838" w:orient="portrait"/>
          <w:cols w:equalWidth="0" w:num="1">
            <w:col w:w="11420"/>
          </w:cols>
          <w:pgMar w:left="240" w:top="360" w:right="239" w:bottom="1440" w:gutter="0" w:footer="0" w:header="0"/>
        </w:sectPr>
      </w:pPr>
    </w:p>
    <w:bookmarkStart w:id="80" w:name="page81"/>
    <w:bookmarkEnd w:id="8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by their officers thereunto duly authorized as of the date first above written.</w:t>
      </w:r>
    </w:p>
    <w:p>
      <w:pPr>
        <w:spacing w:after="0" w:line="3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UNIVERSAL ELECTRONICS INC.</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34290</wp:posOffset>
            </wp:positionV>
            <wp:extent cx="2881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38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Andrew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34290</wp:posOffset>
            </wp:positionV>
            <wp:extent cx="2881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Andrew Williams</w:t>
      </w:r>
    </w:p>
    <w:p>
      <w:pPr>
        <w:spacing w:after="0" w:line="6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580" w:right="2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ATTACHMENT TO COMPLIANCE CERTIFICATE</w:t>
      </w:r>
    </w:p>
    <w:p>
      <w:pPr>
        <w:spacing w:after="0" w:line="33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AS OF ______________, ____WHICH PERTAINS</w:t>
      </w:r>
    </w:p>
    <w:p>
      <w:pPr>
        <w:spacing w:after="0" w:line="6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TO THE PERIOD FROM ________________, ______</w:t>
      </w:r>
    </w:p>
    <w:p>
      <w:pPr>
        <w:spacing w:after="0" w:line="6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 ________________, 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Sections identified are Sections of the Credit Agreement to which reference should be made for a more complete description of requirements.</w:t>
      </w:r>
    </w:p>
    <w:p>
      <w:pPr>
        <w:spacing w:after="0" w:line="200" w:lineRule="exact"/>
        <w:rPr>
          <w:sz w:val="20"/>
          <w:szCs w:val="20"/>
          <w:color w:val="auto"/>
        </w:rPr>
      </w:pPr>
    </w:p>
    <w:p>
      <w:pPr>
        <w:spacing w:after="0" w:line="282" w:lineRule="exact"/>
        <w:rPr>
          <w:sz w:val="20"/>
          <w:szCs w:val="20"/>
          <w:color w:val="auto"/>
        </w:rPr>
      </w:pPr>
    </w:p>
    <w:tbl>
      <w:tblPr>
        <w:tblLayout w:type="fixed"/>
        <w:tblInd w:w="190" w:type="dxa"/>
        <w:tblCellMar>
          <w:top w:w="0" w:type="dxa"/>
          <w:left w:w="0" w:type="dxa"/>
          <w:bottom w:w="0" w:type="dxa"/>
          <w:right w:w="0" w:type="dxa"/>
        </w:tblCellMar>
      </w:tblPr>
      <w:tr>
        <w:trPr>
          <w:trHeight w:val="234"/>
        </w:trPr>
        <w:tc>
          <w:tcPr>
            <w:tcW w:w="2220" w:type="dxa"/>
            <w:vAlign w:val="bottom"/>
            <w:tcBorders>
              <w:top w:val="single" w:sz="8" w:color="auto"/>
              <w:left w:val="single" w:sz="8" w:color="auto"/>
              <w:right w:val="single" w:sz="8" w:color="auto"/>
            </w:tcBorders>
          </w:tcPr>
          <w:p>
            <w:pPr>
              <w:spacing w:after="0"/>
              <w:rPr>
                <w:sz w:val="20"/>
                <w:szCs w:val="20"/>
                <w:color w:val="auto"/>
              </w:rPr>
            </w:pPr>
          </w:p>
        </w:tc>
        <w:tc>
          <w:tcPr>
            <w:tcW w:w="2720" w:type="dxa"/>
            <w:vAlign w:val="bottom"/>
            <w:tcBorders>
              <w:top w:val="single" w:sz="8" w:color="auto"/>
              <w:right w:val="single" w:sz="8" w:color="auto"/>
            </w:tcBorders>
          </w:tcPr>
          <w:p>
            <w:pPr>
              <w:spacing w:after="0"/>
              <w:rPr>
                <w:sz w:val="20"/>
                <w:szCs w:val="20"/>
                <w:color w:val="auto"/>
              </w:rPr>
            </w:pPr>
          </w:p>
        </w:tc>
        <w:tc>
          <w:tcPr>
            <w:tcW w:w="334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Compliance</w:t>
            </w:r>
          </w:p>
        </w:tc>
      </w:tr>
      <w:tr>
        <w:trPr>
          <w:trHeight w:val="238"/>
        </w:trPr>
        <w:tc>
          <w:tcPr>
            <w:tcW w:w="222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Covenant</w:t>
            </w:r>
          </w:p>
        </w:tc>
        <w:tc>
          <w:tcPr>
            <w:tcW w:w="272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33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Required</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(Yes/No)</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18"/>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Borrower and Restricted</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______ % of the aggregate amount</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Borrower and Restricted Subsidiaries</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Subsidiaries (pursuant to</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the consolidated assets of the</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must at least constitute both (i) 70% of the</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Section 5.14)</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Borrower and the Borrower's</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aggregate amount of the consolidated assets</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Subsidiaries and ______ % of the</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the Borrower and the Borrower's</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aggregate Consolidated EBITDA of</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Subsidiaries and (ii) 70% of the aggregate</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Borrower and the Borrower's</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EBITDA of the Borrower and</w:t>
            </w:r>
          </w:p>
        </w:tc>
        <w:tc>
          <w:tcPr>
            <w:tcW w:w="2180" w:type="dxa"/>
            <w:vAlign w:val="bottom"/>
            <w:tcBorders>
              <w:right w:val="single" w:sz="8" w:color="auto"/>
            </w:tcBorders>
          </w:tcPr>
          <w:p>
            <w:pPr>
              <w:spacing w:after="0"/>
              <w:rPr>
                <w:sz w:val="18"/>
                <w:szCs w:val="18"/>
                <w:color w:val="auto"/>
              </w:rPr>
            </w:pP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Borrower's Subsidiaries</w:t>
            </w:r>
          </w:p>
        </w:tc>
        <w:tc>
          <w:tcPr>
            <w:tcW w:w="2180" w:type="dxa"/>
            <w:vAlign w:val="bottom"/>
            <w:tcBorders>
              <w:right w:val="single" w:sz="8" w:color="auto"/>
            </w:tcBorders>
          </w:tcPr>
          <w:p>
            <w:pPr>
              <w:spacing w:after="0"/>
              <w:rPr>
                <w:sz w:val="20"/>
                <w:szCs w:val="20"/>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18"/>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Cash Flow</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_______ to 1.0</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more than 2.00 to 1.0 as of the last day</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Leverage Ratio (pursuant to</w:t>
            </w:r>
          </w:p>
        </w:tc>
        <w:tc>
          <w:tcPr>
            <w:tcW w:w="27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any fiscal quarter</w:t>
            </w:r>
          </w:p>
        </w:tc>
        <w:tc>
          <w:tcPr>
            <w:tcW w:w="2180" w:type="dxa"/>
            <w:vAlign w:val="bottom"/>
            <w:tcBorders>
              <w:right w:val="single" w:sz="8" w:color="auto"/>
            </w:tcBorders>
          </w:tcPr>
          <w:p>
            <w:pPr>
              <w:spacing w:after="0"/>
              <w:rPr>
                <w:sz w:val="18"/>
                <w:szCs w:val="18"/>
                <w:color w:val="auto"/>
              </w:rPr>
            </w:pPr>
          </w:p>
        </w:tc>
      </w:tr>
      <w:tr>
        <w:trPr>
          <w:trHeight w:val="234"/>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Section 6.14)</w:t>
            </w:r>
          </w:p>
        </w:tc>
        <w:tc>
          <w:tcPr>
            <w:tcW w:w="272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18"/>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Fixed Charge</w:t>
            </w:r>
          </w:p>
        </w:tc>
        <w:tc>
          <w:tcPr>
            <w:tcW w:w="2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_______ to 1.0</w:t>
            </w:r>
          </w:p>
        </w:tc>
        <w:tc>
          <w:tcPr>
            <w:tcW w:w="33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less than 2.00 to 1.0</w:t>
            </w:r>
          </w:p>
        </w:tc>
        <w:tc>
          <w:tcPr>
            <w:tcW w:w="218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Coverage Ratio (pursuant to</w:t>
            </w:r>
          </w:p>
        </w:tc>
        <w:tc>
          <w:tcPr>
            <w:tcW w:w="2720" w:type="dxa"/>
            <w:vAlign w:val="bottom"/>
            <w:tcBorders>
              <w:right w:val="single" w:sz="8" w:color="auto"/>
            </w:tcBorders>
          </w:tcPr>
          <w:p>
            <w:pPr>
              <w:spacing w:after="0"/>
              <w:rPr>
                <w:sz w:val="18"/>
                <w:szCs w:val="18"/>
                <w:color w:val="auto"/>
              </w:rPr>
            </w:pPr>
          </w:p>
        </w:tc>
        <w:tc>
          <w:tcPr>
            <w:tcW w:w="33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r>
      <w:tr>
        <w:trPr>
          <w:trHeight w:val="234"/>
        </w:trPr>
        <w:tc>
          <w:tcPr>
            <w:tcW w:w="2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Section 6.15)</w:t>
            </w:r>
          </w:p>
        </w:tc>
        <w:tc>
          <w:tcPr>
            <w:tcW w:w="272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80"/>
          </w:cols>
          <w:pgMar w:left="560" w:top="576" w:right="5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1.1 - Pricing Schedule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SCHEDULE</w:t>
      </w:r>
    </w:p>
    <w:p>
      <w:pPr>
        <w:spacing w:after="0" w:line="200" w:lineRule="exact"/>
        <w:rPr>
          <w:sz w:val="20"/>
          <w:szCs w:val="20"/>
          <w:color w:val="auto"/>
        </w:rPr>
      </w:pPr>
    </w:p>
    <w:p>
      <w:pPr>
        <w:spacing w:after="0" w:line="271" w:lineRule="exact"/>
        <w:rPr>
          <w:sz w:val="20"/>
          <w:szCs w:val="20"/>
          <w:color w:val="auto"/>
        </w:rPr>
      </w:pPr>
    </w:p>
    <w:tbl>
      <w:tblPr>
        <w:tblLayout w:type="fixed"/>
        <w:tblInd w:w="110" w:type="dxa"/>
        <w:tblCellMar>
          <w:top w:w="0" w:type="dxa"/>
          <w:left w:w="0" w:type="dxa"/>
          <w:bottom w:w="0" w:type="dxa"/>
          <w:right w:w="0" w:type="dxa"/>
        </w:tblCellMar>
      </w:tblPr>
      <w:tr>
        <w:trPr>
          <w:trHeight w:val="234"/>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III</w:t>
            </w:r>
          </w:p>
        </w:tc>
      </w:tr>
      <w:tr>
        <w:trPr>
          <w:trHeight w:val="23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LIBOR Rate Loan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Alternate Base Rate Loan</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References to Sections and the Credit Agreement refer to the Credit Agreement to which this Schedule is attached, and Sections therein. For the purposes of this Schedule, the following terms have the following meanings, subject to the final paragraph of this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“Financials” means the annual or quarterly financial statements of the Borrower delivered pursuant to </w:t>
      </w:r>
      <w:r>
        <w:rPr>
          <w:rFonts w:ascii="Times New Roman" w:cs="Times New Roman" w:eastAsia="Times New Roman" w:hAnsi="Times New Roman"/>
          <w:sz w:val="18"/>
          <w:szCs w:val="18"/>
          <w:u w:val="single" w:color="auto"/>
          <w:color w:val="auto"/>
        </w:rPr>
        <w:t>Section 5.1(a) or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I Status” exists at any date if, as of the last day of the fiscal quarter of the Borrower referred to in its most recent financial statement, the Consolidated Cash Flow Leverage Ratio is less than or equal to 1.50 to 1.00.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II Status” exists at any date if, as of the last day of the fiscal quarter of the Borrower referred to in its most recent financial statements, the Consolidated Cash Flow Leverage Ratio is less than or equal to 2.00 to 1.00 and is greater than 1.50 to 1.00.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III Status” exists at any date if, as of the last day of the fiscal quarter of the Borrower referred to in its most recent financial statements, the Consolidated Cash Flow Leverage Ratio is greater than 2.00 to 1.00.</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“Status” means either Level I Status, Level II Status or Level III Status.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Applicable Margin shall be determined in accordance with the foregoing table based on the Borrower’s Status as reflected in the then most recent financial statements. Adjustments, if any, to the Applicable Margin shall be effective from and after the first day of the first month immediately following the date on which the delivery of such financial statements is required until the first day of the first month immediately following the next such date on which delivery of such financial statements of the Borrower is so required. If the financial statements (the “initial Financials”) on which a determination of the Status are restated (the “restated Financials”), and as a result the Applicable Margin based on the initial Financials would have been determined by reference to a different Status, then on the first day of the first month immediately following delivery to the Bank of such restated Financials either (i) the Borrower shall pay additional interest, determined by reference to such different Status if such different Status is at a higher Status than the Status determined by reference to the initial Financials, or (ii) the Bank shall credit the Borrower for the additional interest paid to the Bank as determined by reference to such different Status if such different Status is at a lower Status than the Status determined by reference to the initial Financials. If the Borrower fails to deliver the financial statements to the Bank at the time required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then the Applicable Margin shall be the highest Applicable Margin set forth in the foregoing table until five days after such financial statements are so delivered. Subject to the preceding sentence, from and after the date of the Credit Agreement to and including the first day of the first month immediately following the delivery of financial statements for the fiscal quarter ending on September 30, 2012, the Status shall be Level I Status.</w:t>
      </w:r>
    </w:p>
    <w:p>
      <w:pPr>
        <w:sectPr>
          <w:pgSz w:w="11900" w:h="16838" w:orient="portrait"/>
          <w:cols w:equalWidth="0" w:num="1">
            <w:col w:w="11420"/>
          </w:cols>
          <w:pgMar w:left="240" w:top="576"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Universal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List of Subsidiaries of the Registrant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Asia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Development Limited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Group (organized under the laws of the British Virgin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 Timepiece Limited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Enson Assets Limited (organized under the laws of the British Virgin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Polyfirst Limited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(China)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(Qinzhou)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Gemstar Technology (Yangzhou) Co. Limited (organized under the laws of the People's Republic of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Argentina S.R.L (organized under the laws of Argentina)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France S.A.S. (organized under the laws of France)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GmbH (organized under the laws of Germany)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Iberia S.L. (organized under the laws of Spain)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For All UK, Ltd. (organized under the laws of the United Kingdom)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 Singapore Pte. Ltd. (organized under the laws of the Republic of Singapore)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do Brasil Controles Remotos Ltda. (organized under the laws of Brazil)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Cayman Inc. (organized under the laws of the Cayman Islands)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Electronics Private Limited (organized under the laws of India)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UEI Hong Kong Private Limited (organized under the laws of Hong Kong)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BV (organized under the laws of the Netherlands)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Italia S.R.L. (organized under the laws of Italy)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Universal Electronics Trading Co. Limited (organized under the laws of the People's Republic of China)</w:t>
      </w:r>
    </w:p>
    <w:p>
      <w:pPr>
        <w:sectPr>
          <w:pgSz w:w="11900" w:h="16838" w:orient="portrait"/>
          <w:cols w:equalWidth="0" w:num="1">
            <w:col w:w="11420"/>
          </w:cols>
          <w:pgMar w:left="240" w:top="576" w:right="239" w:bottom="1440" w:gutter="0" w:footer="0" w:header="0"/>
        </w:sectPr>
      </w:pPr>
    </w:p>
    <w:bookmarkStart w:id="84" w:name="page85"/>
    <w:bookmarkEnd w:id="84"/>
    <w:p>
      <w:pPr>
        <w:ind w:left="10480"/>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issued our reports dated March 5, 2015, with respect to the consolidated financial statements and internal control over financial reporting in the Annual Report of Universal Electronics Inc. on Form 10-K for the year ended December 31, 2014. We hereby consent to the incorporation by reference of said reports in the Registration Statements of Universal Electronics Inc. on Forms S-8 (File No. 333-91101, effective November 17, 1999; File No. 333-47378, effective October 5, 2000; File No. 333-103038, effective February 7, 2003; File No. 333-117782, effective July 30, 2004; File No. 333-149926, effective March 27, 2008; File No. 333-175345, effective July 5, 2011; File No. 333-194511, effective March 12, 2014; and File No. 333-198093, effective August 12, 2014).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2015</w:t>
      </w:r>
    </w:p>
    <w:p>
      <w:pPr>
        <w:sectPr>
          <w:pgSz w:w="11900" w:h="16838" w:orient="portrait"/>
          <w:cols w:equalWidth="0" w:num="1">
            <w:col w:w="11420"/>
          </w:cols>
          <w:pgMar w:left="240" w:top="576"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D. Arling, certify that:</w:t>
      </w:r>
    </w:p>
    <w:p>
      <w:pPr>
        <w:spacing w:after="0" w:line="9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33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Rule 13a-14(a) 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M. Hackworth, certify that:</w:t>
      </w:r>
    </w:p>
    <w:p>
      <w:pPr>
        <w:spacing w:after="0" w:line="90"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Universal Electronics Inc.;</w:t>
      </w:r>
    </w:p>
    <w:p>
      <w:pPr>
        <w:spacing w:after="0" w:line="90"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2015</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33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ectPr>
          <w:pgSz w:w="11900" w:h="16838" w:orient="portrait"/>
          <w:cols w:equalWidth="0" w:num="1">
            <w:col w:w="11420"/>
          </w:cols>
          <w:pgMar w:left="240" w:top="117"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Paul D. Arling, as Chief Executive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2014 as filed with the Securities and Exchange Commission on the date hereof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33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5, 2015</w:t>
      </w:r>
    </w:p>
    <w:p>
      <w:pPr>
        <w:sectPr>
          <w:pgSz w:w="11900" w:h="16838" w:orient="portrait"/>
          <w:cols w:equalWidth="0" w:num="1">
            <w:col w:w="11420"/>
          </w:cols>
          <w:pgMar w:left="240" w:top="117"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Bryan M. Hackworth, as Chief Financial Officer of Universal Electronics Inc. (the “Company”), certifies, pursuant to 18 U.S.C. Section 1350, as adopted pursuant to Section 906 of the Sarbanes-Oxley Act of 2002, that:</w:t>
      </w:r>
    </w:p>
    <w:p>
      <w:pPr>
        <w:spacing w:after="0" w:line="27"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2014 as filed with the Securities and Exchange Commission on the date hereof (the “Report”) fully complies with the requirements of Section 13(a) or 15(d) of the Securities Exchange Act of 1934;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33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March 5,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2"/>
    </w:lvl>
  </w:abstractNum>
  <w:abstractNum w:abstractNumId="32">
    <w:nsid w:val="153EA438"/>
    <w:multiLevelType w:val="hybridMultilevel"/>
    <w:lvl w:ilvl="0">
      <w:lvlJc w:val="left"/>
      <w:lvlText w:val="(%1)"/>
      <w:numFmt w:val="decimal"/>
      <w:start w:val="3"/>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upperLetter"/>
      <w:start w:val="1"/>
    </w:lvl>
  </w:abstractNum>
  <w:abstractNum w:abstractNumId="35">
    <w:nsid w:val="6A2342EC"/>
    <w:multiLevelType w:val="hybridMultilevel"/>
    <w:lvl w:ilvl="0">
      <w:lvlJc w:val="left"/>
      <w:lvlText w:val="%1."/>
      <w:numFmt w:val="upperLetter"/>
      <w:start w:val="3"/>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2"/>
    </w:lvl>
    <w:lvl w:ilvl="1">
      <w:lvlJc w:val="left"/>
      <w:lvlText w:val="(%2)"/>
      <w:numFmt w:val="lowerRoman"/>
      <w:start w:val="7"/>
    </w:lvl>
  </w:abstractNum>
  <w:abstractNum w:abstractNumId="38">
    <w:nsid w:val="725A06FB"/>
    <w:multiLevelType w:val="hybridMultilevel"/>
    <w:lvl w:ilvl="0">
      <w:lvlJc w:val="left"/>
      <w:lvlText w:val="(%1)"/>
      <w:numFmt w:val="lowerLetter"/>
      <w:start w:val="5"/>
    </w:lvl>
  </w:abstractNum>
  <w:abstractNum w:abstractNumId="39">
    <w:nsid w:val="2CD89A32"/>
    <w:multiLevelType w:val="hybridMultilevel"/>
    <w:lvl w:ilvl="0">
      <w:lvlJc w:val="left"/>
      <w:lvlText w:val="(%1)"/>
      <w:numFmt w:val="lowerLetter"/>
      <w:start w:val="6"/>
    </w:lvl>
  </w:abstractNum>
  <w:abstractNum w:abstractNumId="40">
    <w:nsid w:val="57E4CCAF"/>
    <w:multiLevelType w:val="hybridMultilevel"/>
    <w:lvl w:ilvl="0">
      <w:lvlJc w:val="left"/>
      <w:lvlText w:val="(%1)"/>
      <w:numFmt w:val="lowerLetter"/>
      <w:start w:val="7"/>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Roman"/>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2019-12-29T18:47:54Z</dcterms:created>
  <dcterms:modified xsi:type="dcterms:W3CDTF">2019-12-29T18:47:54Z</dcterms:modified>
</cp:coreProperties>
</file>