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ANNUAL AND TRANSITION REPORTS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SECTIONS 13 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15(d) OF THE SECURITIES EXCHANGE ACT OF 1934</w:t>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7"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For the fiscal year ended December 31, 2018</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4860" w:type="dxa"/>
            <w:vAlign w:val="bottom"/>
          </w:tcPr>
          <w:p>
            <w:pPr>
              <w:jc w:val="center"/>
              <w:ind w:right="1879"/>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tcPr>
          <w:p>
            <w:pPr>
              <w:jc w:val="center"/>
              <w:ind w:left="1901"/>
              <w:spacing w:after="0"/>
              <w:rPr>
                <w:sz w:val="20"/>
                <w:szCs w:val="20"/>
                <w:color w:val="auto"/>
              </w:rPr>
            </w:pPr>
            <w:r>
              <w:rPr>
                <w:rFonts w:ascii="Arial" w:cs="Arial" w:eastAsia="Arial" w:hAnsi="Arial"/>
                <w:sz w:val="18"/>
                <w:szCs w:val="18"/>
                <w:b w:val="1"/>
                <w:bCs w:val="1"/>
                <w:color w:val="auto"/>
                <w:w w:val="89"/>
              </w:rPr>
              <w:t>33-0204817</w:t>
            </w:r>
          </w:p>
        </w:tc>
      </w:tr>
      <w:tr>
        <w:trPr>
          <w:trHeight w:val="180"/>
        </w:trPr>
        <w:tc>
          <w:tcPr>
            <w:tcW w:w="4860" w:type="dxa"/>
            <w:vAlign w:val="bottom"/>
          </w:tcPr>
          <w:p>
            <w:pPr>
              <w:jc w:val="center"/>
              <w:ind w:right="1879"/>
              <w:spacing w:after="0"/>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860" w:type="dxa"/>
            <w:vAlign w:val="bottom"/>
          </w:tcPr>
          <w:p>
            <w:pPr>
              <w:jc w:val="center"/>
              <w:ind w:right="1879"/>
              <w:spacing w:after="0"/>
              <w:rPr>
                <w:sz w:val="20"/>
                <w:szCs w:val="20"/>
                <w:color w:val="auto"/>
              </w:rPr>
            </w:pPr>
            <w:r>
              <w:rPr>
                <w:rFonts w:ascii="Arial" w:cs="Arial" w:eastAsia="Arial" w:hAnsi="Arial"/>
                <w:sz w:val="14"/>
                <w:szCs w:val="14"/>
                <w:b w:val="1"/>
                <w:bCs w:val="1"/>
                <w:color w:val="auto"/>
                <w:w w:val="95"/>
              </w:rPr>
              <w:t>Incorporation or Organization)</w:t>
            </w:r>
          </w:p>
        </w:tc>
        <w:tc>
          <w:tcPr>
            <w:tcW w:w="3080" w:type="dxa"/>
            <w:vAlign w:val="bottom"/>
          </w:tcPr>
          <w:p>
            <w:pPr>
              <w:jc w:val="center"/>
              <w:ind w:left="1881"/>
              <w:spacing w:after="0"/>
              <w:rPr>
                <w:sz w:val="20"/>
                <w:szCs w:val="20"/>
                <w:color w:val="auto"/>
              </w:rPr>
            </w:pPr>
            <w:r>
              <w:rPr>
                <w:rFonts w:ascii="Arial" w:cs="Arial" w:eastAsia="Arial" w:hAnsi="Arial"/>
                <w:sz w:val="14"/>
                <w:szCs w:val="14"/>
                <w:b w:val="1"/>
                <w:bCs w:val="1"/>
                <w:color w:val="auto"/>
                <w:w w:val="94"/>
              </w:rPr>
              <w:t>Identification No.)</w:t>
            </w:r>
          </w:p>
        </w:tc>
      </w:tr>
      <w:tr>
        <w:trPr>
          <w:trHeight w:val="520"/>
        </w:trPr>
        <w:tc>
          <w:tcPr>
            <w:tcW w:w="4860" w:type="dxa"/>
            <w:vAlign w:val="bottom"/>
          </w:tcPr>
          <w:p>
            <w:pPr>
              <w:jc w:val="center"/>
              <w:ind w:right="1879"/>
              <w:spacing w:after="0"/>
              <w:rPr>
                <w:sz w:val="20"/>
                <w:szCs w:val="20"/>
                <w:color w:val="auto"/>
              </w:rPr>
            </w:pPr>
            <w:r>
              <w:rPr>
                <w:rFonts w:ascii="Arial" w:cs="Arial" w:eastAsia="Arial" w:hAnsi="Arial"/>
                <w:sz w:val="18"/>
                <w:szCs w:val="18"/>
                <w:b w:val="1"/>
                <w:bCs w:val="1"/>
                <w:color w:val="auto"/>
                <w:w w:val="90"/>
              </w:rPr>
              <w:t>15147 N. Scottsdale Road, Suite H300</w:t>
            </w:r>
          </w:p>
        </w:tc>
        <w:tc>
          <w:tcPr>
            <w:tcW w:w="3080" w:type="dxa"/>
            <w:vAlign w:val="bottom"/>
          </w:tcPr>
          <w:p>
            <w:pPr>
              <w:spacing w:after="0"/>
              <w:rPr>
                <w:sz w:val="24"/>
                <w:szCs w:val="24"/>
                <w:color w:val="auto"/>
              </w:rPr>
            </w:pPr>
          </w:p>
        </w:tc>
      </w:tr>
      <w:tr>
        <w:trPr>
          <w:trHeight w:val="234"/>
        </w:trPr>
        <w:tc>
          <w:tcPr>
            <w:tcW w:w="4860" w:type="dxa"/>
            <w:vAlign w:val="bottom"/>
          </w:tcPr>
          <w:p>
            <w:pPr>
              <w:jc w:val="center"/>
              <w:ind w:right="1879"/>
              <w:spacing w:after="0"/>
              <w:rPr>
                <w:sz w:val="20"/>
                <w:szCs w:val="20"/>
                <w:color w:val="auto"/>
              </w:rPr>
            </w:pPr>
            <w:r>
              <w:rPr>
                <w:rFonts w:ascii="Arial" w:cs="Arial" w:eastAsia="Arial" w:hAnsi="Arial"/>
                <w:sz w:val="18"/>
                <w:szCs w:val="18"/>
                <w:b w:val="1"/>
                <w:bCs w:val="1"/>
                <w:color w:val="auto"/>
                <w:w w:val="89"/>
              </w:rPr>
              <w:t>Scottsdale, Arizona</w:t>
            </w:r>
          </w:p>
        </w:tc>
        <w:tc>
          <w:tcPr>
            <w:tcW w:w="3080" w:type="dxa"/>
            <w:vAlign w:val="bottom"/>
          </w:tcPr>
          <w:p>
            <w:pPr>
              <w:jc w:val="center"/>
              <w:ind w:left="1901"/>
              <w:spacing w:after="0"/>
              <w:rPr>
                <w:sz w:val="20"/>
                <w:szCs w:val="20"/>
                <w:color w:val="auto"/>
              </w:rPr>
            </w:pPr>
            <w:r>
              <w:rPr>
                <w:rFonts w:ascii="Arial" w:cs="Arial" w:eastAsia="Arial" w:hAnsi="Arial"/>
                <w:sz w:val="18"/>
                <w:szCs w:val="18"/>
                <w:b w:val="1"/>
                <w:bCs w:val="1"/>
                <w:color w:val="auto"/>
                <w:w w:val="89"/>
              </w:rPr>
              <w:t>85254-2494</w:t>
            </w:r>
          </w:p>
        </w:tc>
      </w:tr>
      <w:tr>
        <w:trPr>
          <w:trHeight w:val="218"/>
        </w:trPr>
        <w:tc>
          <w:tcPr>
            <w:tcW w:w="4860" w:type="dxa"/>
            <w:vAlign w:val="bottom"/>
          </w:tcPr>
          <w:p>
            <w:pPr>
              <w:jc w:val="center"/>
              <w:ind w:right="18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8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(480) 530-3000</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420"/>
          </w:cols>
          <w:pgMar w:left="240" w:top="225" w:right="239" w:bottom="0" w:gutter="0" w:footer="0" w:header="0"/>
        </w:sectPr>
      </w:pPr>
    </w:p>
    <w:p>
      <w:pPr>
        <w:spacing w:after="0" w:line="360" w:lineRule="exact"/>
        <w:rPr>
          <w:sz w:val="24"/>
          <w:szCs w:val="24"/>
          <w:color w:val="auto"/>
        </w:rPr>
      </w:pPr>
    </w:p>
    <w:p>
      <w:pPr>
        <w:ind w:left="1180"/>
        <w:spacing w:after="0"/>
        <w:rPr>
          <w:sz w:val="20"/>
          <w:szCs w:val="20"/>
          <w:color w:val="auto"/>
        </w:rPr>
      </w:pPr>
      <w:r>
        <w:rPr>
          <w:rFonts w:ascii="Arial" w:cs="Arial" w:eastAsia="Arial" w:hAnsi="Arial"/>
          <w:sz w:val="16"/>
          <w:szCs w:val="16"/>
          <w:b w:val="1"/>
          <w:bCs w:val="1"/>
          <w:color w:val="auto"/>
        </w:rPr>
        <w:t>Common Stock, par value $.01 per share</w:t>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70" w:lineRule="exact"/>
        <w:rPr>
          <w:sz w:val="24"/>
          <w:szCs w:val="24"/>
          <w:color w:val="auto"/>
        </w:rPr>
      </w:pPr>
    </w:p>
    <w:p>
      <w:pPr>
        <w:sectPr>
          <w:pgSz w:w="11900" w:h="16838" w:orient="portrait"/>
          <w:cols w:equalWidth="0" w:num="2">
            <w:col w:w="6660" w:space="720"/>
            <w:col w:w="4040"/>
          </w:cols>
          <w:pgMar w:left="240" w:top="225" w:right="239" w:bottom="0" w:gutter="0" w:footer="0" w:header="0"/>
          <w:type w:val="continuous"/>
        </w:sectPr>
      </w:pPr>
    </w:p>
    <w:p>
      <w:pPr>
        <w:ind w:left="2300"/>
        <w:spacing w:after="0"/>
        <w:rPr>
          <w:sz w:val="20"/>
          <w:szCs w:val="20"/>
          <w:color w:val="auto"/>
        </w:rPr>
      </w:pPr>
      <w:r>
        <w:rPr>
          <w:rFonts w:ascii="Arial" w:cs="Arial" w:eastAsia="Arial" w:hAnsi="Arial"/>
          <w:sz w:val="13"/>
          <w:szCs w:val="13"/>
          <w:b w:val="1"/>
          <w:bCs w:val="1"/>
          <w:color w:val="auto"/>
        </w:rPr>
        <w:t>(Title of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122" w:lineRule="exact"/>
        <w:rPr>
          <w:sz w:val="24"/>
          <w:szCs w:val="24"/>
          <w:color w:val="auto"/>
        </w:rPr>
      </w:pPr>
    </w:p>
    <w:p>
      <w:pPr>
        <w:sectPr>
          <w:pgSz w:w="11900" w:h="16838" w:orient="portrait"/>
          <w:cols w:equalWidth="0" w:num="2">
            <w:col w:w="6580" w:space="720"/>
            <w:col w:w="4120"/>
          </w:cols>
          <w:pgMar w:left="240" w:top="225" w:right="239" w:bottom="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62"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ectPr>
          <w:pgSz w:w="11900" w:h="16838" w:orient="portrait"/>
          <w:cols w:equalWidth="0" w:num="1">
            <w:col w:w="11420"/>
          </w:cols>
          <w:pgMar w:left="240" w:top="225" w:right="239" w:bottom="0" w:gutter="0" w:footer="0" w:header="0"/>
          <w:type w:val="continuous"/>
        </w:sectPr>
      </w:pP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whether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82" w:lineRule="exact"/>
        <w:rPr>
          <w:sz w:val="24"/>
          <w:szCs w:val="24"/>
          <w:color w:val="auto"/>
        </w:rPr>
      </w:pPr>
    </w:p>
    <w:p>
      <w:pPr>
        <w:sectPr>
          <w:pgSz w:w="11900" w:h="16838" w:orient="portrait"/>
          <w:cols w:equalWidth="0" w:num="4">
            <w:col w:w="9080" w:space="180"/>
            <w:col w:w="260" w:space="80"/>
            <w:col w:w="160" w:space="200"/>
            <w:col w:w="1460"/>
          </w:cols>
          <w:pgMar w:left="240" w:top="225" w:right="2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3" w:lineRule="exact"/>
        <w:rPr>
          <w:sz w:val="24"/>
          <w:szCs w:val="24"/>
          <w:color w:val="auto"/>
        </w:rPr>
      </w:pPr>
    </w:p>
    <w:p>
      <w:pPr>
        <w:sectPr>
          <w:pgSz w:w="11900" w:h="16838" w:orient="portrait"/>
          <w:cols w:equalWidth="0" w:num="4">
            <w:col w:w="8620" w:space="180"/>
            <w:col w:w="260" w:space="80"/>
            <w:col w:w="160" w:space="180"/>
            <w:col w:w="1940"/>
          </w:cols>
          <w:pgMar w:left="240" w:top="225" w:right="239" w:bottom="0"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r>
        <w:rPr>
          <w:rFonts w:ascii="Arial" w:cs="Arial" w:eastAsia="Arial" w:hAnsi="Arial"/>
          <w:sz w:val="18"/>
          <w:szCs w:val="18"/>
          <w:color w:val="211D1E"/>
        </w:rPr>
        <w:t>"</w:t>
      </w:r>
      <w:r>
        <w:rPr>
          <w:rFonts w:ascii="Arial" w:cs="Arial" w:eastAsia="Arial" w:hAnsi="Arial"/>
          <w:sz w:val="18"/>
          <w:szCs w:val="18"/>
          <w:color w:val="auto"/>
        </w:rPr>
        <w:t xml:space="preserve"> in Rule 12b-2 of the Exchange Act.</w:t>
      </w:r>
    </w:p>
    <w:p>
      <w:pPr>
        <w:spacing w:after="0" w:line="284" w:lineRule="exact"/>
        <w:rPr>
          <w:sz w:val="24"/>
          <w:szCs w:val="24"/>
          <w:color w:val="auto"/>
        </w:rPr>
      </w:pPr>
    </w:p>
    <w:tbl>
      <w:tblPr>
        <w:tblLayout w:type="fixed"/>
        <w:tblInd w:w="274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8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9"/>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8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bl>
    <w:p>
      <w:pPr>
        <w:sectPr>
          <w:pgSz w:w="11900" w:h="16838" w:orient="portrait"/>
          <w:cols w:equalWidth="0" w:num="1">
            <w:col w:w="11420"/>
          </w:cols>
          <w:pgMar w:left="240" w:top="225" w:right="239" w:bottom="0" w:gutter="0" w:footer="0" w:header="0"/>
          <w:type w:val="continuous"/>
        </w:sectPr>
      </w:pPr>
    </w:p>
    <w:bookmarkStart w:id="1" w:name="page2"/>
    <w:bookmarkEnd w:id="1"/>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0"/>
          <w:szCs w:val="20"/>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on June 29, 2018, the last business day of the registrant's most recently completed second fiscal quarter was $244,562,266 based upon the closing sale price of the Company's common stock as reported on the NASDAQ Stock Market for that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March 11, 2019, 13,842,562 shares of Common Stock, par value $.01 per share, of the registrant were outstanding.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Portions of the registrant's notice of annual meeting of shareowners and proxy statement to be filed pursuant to Regulation 14A within 120 days after registrant's fiscal year end of December 31, 2018 are incorporated by reference into Part III of this Form 10-K. The Proxy Statement will be filed with the Securities and Exchange Commission no later than April 30, 2019.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as otherwise stated, the information contained in this Form 10-K is as of December 31, 2018.</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40" w:type="dxa"/>
            <w:vAlign w:val="bottom"/>
            <w:gridSpan w:val="8"/>
          </w:tcPr>
          <w:p>
            <w:pPr>
              <w:jc w:val="center"/>
              <w:ind w:right="1500"/>
              <w:spacing w:after="0"/>
              <w:rPr>
                <w:sz w:val="20"/>
                <w:szCs w:val="20"/>
                <w:color w:val="auto"/>
              </w:rPr>
            </w:pPr>
            <w:r>
              <w:rPr>
                <w:rFonts w:ascii="Arial" w:cs="Arial" w:eastAsia="Arial" w:hAnsi="Arial"/>
                <w:sz w:val="18"/>
                <w:szCs w:val="18"/>
                <w:b w:val="1"/>
                <w:bCs w:val="1"/>
                <w:color w:val="auto"/>
              </w:rPr>
              <w:t>UNIVERSAL ELECTRONICS INC.</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80" w:type="dxa"/>
            <w:vAlign w:val="bottom"/>
            <w:gridSpan w:val="7"/>
          </w:tcPr>
          <w:p>
            <w:pPr>
              <w:jc w:val="center"/>
              <w:ind w:right="2380"/>
              <w:spacing w:after="0"/>
              <w:rPr>
                <w:sz w:val="20"/>
                <w:szCs w:val="20"/>
                <w:color w:val="auto"/>
              </w:rPr>
            </w:pPr>
            <w:r>
              <w:rPr>
                <w:rFonts w:ascii="Arial" w:cs="Arial" w:eastAsia="Arial" w:hAnsi="Arial"/>
                <w:sz w:val="18"/>
                <w:szCs w:val="18"/>
                <w:b w:val="1"/>
                <w:bCs w:val="1"/>
                <w:color w:val="auto"/>
                <w:w w:val="93"/>
              </w:rPr>
              <w:t>Annual Report on Form 10-K</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40" w:type="dxa"/>
            <w:vAlign w:val="bottom"/>
            <w:gridSpan w:val="8"/>
          </w:tcPr>
          <w:p>
            <w:pPr>
              <w:jc w:val="center"/>
              <w:ind w:right="1520"/>
              <w:spacing w:after="0"/>
              <w:rPr>
                <w:sz w:val="20"/>
                <w:szCs w:val="20"/>
                <w:color w:val="auto"/>
              </w:rPr>
            </w:pPr>
            <w:r>
              <w:rPr>
                <w:rFonts w:ascii="Arial" w:cs="Arial" w:eastAsia="Arial" w:hAnsi="Arial"/>
                <w:sz w:val="18"/>
                <w:szCs w:val="18"/>
                <w:b w:val="1"/>
                <w:bCs w:val="1"/>
                <w:color w:val="auto"/>
                <w:w w:val="90"/>
              </w:rPr>
              <w:t>For the Fiscal Year Ended December 31, 2018</w:t>
            </w: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w w:val="89"/>
              </w:rPr>
              <w:t>Table of Contents</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9400" w:type="dxa"/>
            <w:vAlign w:val="bottom"/>
            <w:gridSpan w:val="24"/>
          </w:tcPr>
          <w:p>
            <w:pPr>
              <w:spacing w:after="0"/>
              <w:rPr>
                <w:sz w:val="20"/>
                <w:szCs w:val="20"/>
                <w:color w:val="auto"/>
              </w:rPr>
            </w:pPr>
            <w:r>
              <w:rPr>
                <w:rFonts w:ascii="Arial" w:cs="Arial" w:eastAsia="Arial" w:hAnsi="Arial"/>
                <w:sz w:val="14"/>
                <w:szCs w:val="14"/>
                <w:b w:val="1"/>
                <w:bCs w:val="1"/>
                <w:color w:val="auto"/>
              </w:rPr>
              <w:t>Item</w:t>
            </w:r>
          </w:p>
        </w:tc>
        <w:tc>
          <w:tcPr>
            <w:tcW w:w="1220" w:type="dxa"/>
            <w:vAlign w:val="bottom"/>
          </w:tcPr>
          <w:p>
            <w:pPr>
              <w:spacing w:after="0"/>
              <w:rPr>
                <w:sz w:val="24"/>
                <w:szCs w:val="24"/>
                <w:color w:val="auto"/>
              </w:rPr>
            </w:pPr>
          </w:p>
        </w:tc>
        <w:tc>
          <w:tcPr>
            <w:tcW w:w="7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Page</w:t>
            </w:r>
          </w:p>
        </w:tc>
      </w:tr>
      <w:tr>
        <w:trPr>
          <w:trHeight w:val="158"/>
        </w:trPr>
        <w:tc>
          <w:tcPr>
            <w:tcW w:w="9400" w:type="dxa"/>
            <w:vAlign w:val="bottom"/>
            <w:gridSpan w:val="24"/>
          </w:tcPr>
          <w:p>
            <w:pPr>
              <w:spacing w:after="0" w:line="158" w:lineRule="exact"/>
              <w:rPr>
                <w:sz w:val="20"/>
                <w:szCs w:val="20"/>
                <w:color w:val="auto"/>
              </w:rPr>
            </w:pPr>
            <w:r>
              <w:rPr>
                <w:rFonts w:ascii="Arial" w:cs="Arial" w:eastAsia="Arial" w:hAnsi="Arial"/>
                <w:sz w:val="14"/>
                <w:szCs w:val="14"/>
                <w:b w:val="1"/>
                <w:bCs w:val="1"/>
                <w:color w:val="auto"/>
              </w:rPr>
              <w:t>Number</w:t>
            </w:r>
          </w:p>
        </w:tc>
        <w:tc>
          <w:tcPr>
            <w:tcW w:w="1960" w:type="dxa"/>
            <w:vAlign w:val="bottom"/>
            <w:gridSpan w:val="5"/>
          </w:tcPr>
          <w:p>
            <w:pPr>
              <w:jc w:val="right"/>
              <w:ind w:right="150"/>
              <w:spacing w:after="0" w:line="158" w:lineRule="exact"/>
              <w:rPr>
                <w:sz w:val="20"/>
                <w:szCs w:val="20"/>
                <w:color w:val="auto"/>
              </w:rPr>
            </w:pPr>
            <w:r>
              <w:rPr>
                <w:rFonts w:ascii="Arial" w:cs="Arial" w:eastAsia="Arial" w:hAnsi="Arial"/>
                <w:sz w:val="14"/>
                <w:szCs w:val="14"/>
                <w:b w:val="1"/>
                <w:bCs w:val="1"/>
                <w:color w:val="auto"/>
              </w:rPr>
              <w:t>Number</w:t>
            </w:r>
          </w:p>
        </w:tc>
      </w:tr>
      <w:tr>
        <w:trPr>
          <w:trHeight w:val="264"/>
        </w:trPr>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w w:val="98"/>
              </w:rPr>
              <w:t>PART I</w:t>
            </w:r>
          </w:p>
        </w:tc>
        <w:tc>
          <w:tcPr>
            <w:tcW w:w="12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635"/>
        </w:trPr>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680" w:type="dxa"/>
            <w:vAlign w:val="bottom"/>
            <w:tcBorders>
              <w:bottom w:val="single" w:sz="8" w:color="0000EE"/>
            </w:tcBorders>
            <w:gridSpan w:val="3"/>
          </w:tcPr>
          <w:p>
            <w:pPr>
              <w:ind w:left="40"/>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620" w:type="dxa"/>
            <w:vAlign w:val="bottom"/>
            <w:gridSpan w:val="20"/>
          </w:tcPr>
          <w:p>
            <w:pPr>
              <w:spacing w:after="0"/>
              <w:rPr>
                <w:sz w:val="24"/>
                <w:szCs w:val="24"/>
                <w:color w:val="auto"/>
              </w:rPr>
            </w:pPr>
          </w:p>
        </w:tc>
        <w:tc>
          <w:tcPr>
            <w:tcW w:w="186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9400" w:type="dxa"/>
            <w:vAlign w:val="bottom"/>
            <w:gridSpan w:val="2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1A Risk Factors</w:t>
              </w:r>
            </w:hyperlink>
          </w:p>
        </w:tc>
        <w:tc>
          <w:tcPr>
            <w:tcW w:w="1960" w:type="dxa"/>
            <w:vAlign w:val="bottom"/>
            <w:gridSpan w:val="5"/>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9</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300" w:type="dxa"/>
            <w:vAlign w:val="bottom"/>
            <w:gridSpan w:val="1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1B Unresolved Staff Comments</w:t>
              </w:r>
            </w:hyperlink>
          </w:p>
        </w:tc>
        <w:tc>
          <w:tcPr>
            <w:tcW w:w="7100" w:type="dxa"/>
            <w:vAlign w:val="bottom"/>
            <w:gridSpan w:val="1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w:t>
              </w:r>
            </w:hyperlink>
          </w:p>
        </w:tc>
        <w:tc>
          <w:tcPr>
            <w:tcW w:w="760" w:type="dxa"/>
            <w:vAlign w:val="bottom"/>
            <w:gridSpan w:val="4"/>
          </w:tcPr>
          <w:p>
            <w:pPr>
              <w:ind w:left="40"/>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Properties</w:t>
              </w:r>
            </w:hyperlink>
          </w:p>
        </w:tc>
        <w:tc>
          <w:tcPr>
            <w:tcW w:w="1440" w:type="dxa"/>
            <w:vAlign w:val="bottom"/>
            <w:gridSpan w:val="7"/>
          </w:tcPr>
          <w:p>
            <w:pPr>
              <w:spacing w:after="0"/>
              <w:rPr>
                <w:sz w:val="21"/>
                <w:szCs w:val="21"/>
                <w:color w:val="auto"/>
              </w:rPr>
            </w:pPr>
          </w:p>
        </w:tc>
        <w:tc>
          <w:tcPr>
            <w:tcW w:w="7100" w:type="dxa"/>
            <w:vAlign w:val="bottom"/>
            <w:gridSpan w:val="1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3</w:t>
              </w:r>
            </w:hyperlink>
          </w:p>
        </w:tc>
        <w:tc>
          <w:tcPr>
            <w:tcW w:w="9300" w:type="dxa"/>
            <w:vAlign w:val="bottom"/>
            <w:gridSpan w:val="23"/>
          </w:tcPr>
          <w:p>
            <w:pPr>
              <w:ind w:left="40"/>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960" w:type="dxa"/>
            <w:vAlign w:val="bottom"/>
            <w:gridSpan w:val="5"/>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4</w:t>
              </w:r>
            </w:hyperlink>
          </w:p>
        </w:tc>
        <w:tc>
          <w:tcPr>
            <w:tcW w:w="9300" w:type="dxa"/>
            <w:vAlign w:val="bottom"/>
            <w:gridSpan w:val="23"/>
          </w:tcPr>
          <w:p>
            <w:pPr>
              <w:ind w:left="40"/>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1960" w:type="dxa"/>
            <w:vAlign w:val="bottom"/>
            <w:gridSpan w:val="5"/>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rPr>
              <w:t>PART II</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100" w:type="dxa"/>
            <w:vAlign w:val="bottom"/>
          </w:tcPr>
          <w:p>
            <w:pPr>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5</w:t>
              </w:r>
            </w:hyperlink>
          </w:p>
        </w:tc>
        <w:tc>
          <w:tcPr>
            <w:tcW w:w="9300" w:type="dxa"/>
            <w:vAlign w:val="bottom"/>
            <w:gridSpan w:val="23"/>
          </w:tcPr>
          <w:p>
            <w:pPr>
              <w:ind w:left="40"/>
              <w:spacing w:after="0"/>
              <w:rPr>
                <w:rFonts w:ascii="Arial" w:cs="Arial" w:eastAsia="Arial" w:hAnsi="Arial"/>
                <w:sz w:val="18"/>
                <w:szCs w:val="18"/>
                <w:color w:val="0000EE"/>
              </w:rPr>
            </w:pPr>
            <w:hyperlink w:anchor="page27">
              <w:r>
                <w:rPr>
                  <w:rFonts w:ascii="Arial" w:cs="Arial" w:eastAsia="Arial" w:hAnsi="Arial"/>
                  <w:sz w:val="18"/>
                  <w:szCs w:val="18"/>
                  <w:color w:val="0000EE"/>
                </w:rPr>
                <w:t>Market for Registrant's Common Equity, Related Stockholder Matters and Issuer Purchases of Equity Securities</w:t>
              </w:r>
            </w:hyperlink>
          </w:p>
        </w:tc>
        <w:tc>
          <w:tcPr>
            <w:tcW w:w="1960" w:type="dxa"/>
            <w:vAlign w:val="bottom"/>
            <w:gridSpan w:val="5"/>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6</w:t>
              </w:r>
            </w:hyperlink>
          </w:p>
        </w:tc>
        <w:tc>
          <w:tcPr>
            <w:tcW w:w="2740" w:type="dxa"/>
            <w:vAlign w:val="bottom"/>
            <w:gridSpan w:val="12"/>
          </w:tcPr>
          <w:p>
            <w:pPr>
              <w:ind w:left="4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Selected Consolidated Financial Data</w:t>
              </w:r>
            </w:hyperlink>
          </w:p>
        </w:tc>
        <w:tc>
          <w:tcPr>
            <w:tcW w:w="5340" w:type="dxa"/>
            <w:vAlign w:val="bottom"/>
            <w:gridSpan w:val="10"/>
          </w:tcPr>
          <w:p>
            <w:pPr>
              <w:spacing w:after="0"/>
              <w:rPr>
                <w:sz w:val="21"/>
                <w:szCs w:val="21"/>
                <w:color w:val="auto"/>
              </w:rPr>
            </w:pPr>
          </w:p>
        </w:tc>
        <w:tc>
          <w:tcPr>
            <w:tcW w:w="1220" w:type="dxa"/>
            <w:vAlign w:val="bottom"/>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7</w:t>
              </w:r>
            </w:hyperlink>
          </w:p>
        </w:tc>
        <w:tc>
          <w:tcPr>
            <w:tcW w:w="6480" w:type="dxa"/>
            <w:vAlign w:val="bottom"/>
            <w:gridSpan w:val="19"/>
          </w:tcPr>
          <w:p>
            <w:pPr>
              <w:ind w:left="40"/>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2820" w:type="dxa"/>
            <w:vAlign w:val="bottom"/>
            <w:gridSpan w:val="4"/>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620" w:type="dxa"/>
            <w:vAlign w:val="bottom"/>
            <w:gridSpan w:val="18"/>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7A Quantitative and Qualitative Disclosures About Market Risk</w:t>
              </w:r>
            </w:hyperlink>
          </w:p>
        </w:tc>
        <w:tc>
          <w:tcPr>
            <w:tcW w:w="1960" w:type="dxa"/>
            <w:vAlign w:val="bottom"/>
            <w:gridSpan w:val="2"/>
          </w:tcPr>
          <w:p>
            <w:pPr>
              <w:spacing w:after="0"/>
              <w:rPr>
                <w:sz w:val="21"/>
                <w:szCs w:val="21"/>
                <w:color w:val="auto"/>
              </w:rPr>
            </w:pPr>
          </w:p>
        </w:tc>
        <w:tc>
          <w:tcPr>
            <w:tcW w:w="2820" w:type="dxa"/>
            <w:vAlign w:val="bottom"/>
            <w:gridSpan w:val="4"/>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8</w:t>
              </w:r>
            </w:hyperlink>
          </w:p>
        </w:tc>
        <w:tc>
          <w:tcPr>
            <w:tcW w:w="3360" w:type="dxa"/>
            <w:vAlign w:val="bottom"/>
            <w:gridSpan w:val="15"/>
          </w:tcPr>
          <w:p>
            <w:pPr>
              <w:ind w:left="40"/>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Financial Statements and Supplementary Data</w:t>
              </w:r>
            </w:hyperlink>
          </w:p>
        </w:tc>
        <w:tc>
          <w:tcPr>
            <w:tcW w:w="1160" w:type="dxa"/>
            <w:vAlign w:val="bottom"/>
            <w:gridSpan w:val="2"/>
          </w:tcPr>
          <w:p>
            <w:pPr>
              <w:spacing w:after="0"/>
              <w:rPr>
                <w:sz w:val="21"/>
                <w:szCs w:val="21"/>
                <w:color w:val="auto"/>
              </w:rPr>
            </w:pPr>
          </w:p>
        </w:tc>
        <w:tc>
          <w:tcPr>
            <w:tcW w:w="4780" w:type="dxa"/>
            <w:vAlign w:val="bottom"/>
            <w:gridSpan w:val="6"/>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9</w:t>
              </w:r>
            </w:hyperlink>
          </w:p>
        </w:tc>
        <w:tc>
          <w:tcPr>
            <w:tcW w:w="9300" w:type="dxa"/>
            <w:vAlign w:val="bottom"/>
            <w:gridSpan w:val="23"/>
          </w:tcPr>
          <w:p>
            <w:pPr>
              <w:ind w:left="40"/>
              <w:spacing w:after="0"/>
              <w:rPr>
                <w:rFonts w:ascii="Arial" w:cs="Arial" w:eastAsia="Arial" w:hAnsi="Arial"/>
                <w:sz w:val="18"/>
                <w:szCs w:val="18"/>
                <w:color w:val="0000EE"/>
              </w:rPr>
            </w:pPr>
            <w:hyperlink w:anchor="page81">
              <w:r>
                <w:rPr>
                  <w:rFonts w:ascii="Arial" w:cs="Arial" w:eastAsia="Arial" w:hAnsi="Arial"/>
                  <w:sz w:val="18"/>
                  <w:szCs w:val="18"/>
                  <w:color w:val="0000EE"/>
                </w:rPr>
                <w:t>Changes in and Disagreements with Accountants on Accounting and Financial Disclosure</w:t>
              </w:r>
            </w:hyperlink>
          </w:p>
        </w:tc>
        <w:tc>
          <w:tcPr>
            <w:tcW w:w="1960" w:type="dxa"/>
            <w:vAlign w:val="bottom"/>
            <w:gridSpan w:val="5"/>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EE"/>
                <w:w w:val="87"/>
              </w:rPr>
            </w:pPr>
            <w:hyperlink w:anchor="page81">
              <w:r>
                <w:rPr>
                  <w:rFonts w:ascii="Arial" w:cs="Arial" w:eastAsia="Arial" w:hAnsi="Arial"/>
                  <w:sz w:val="18"/>
                  <w:szCs w:val="18"/>
                  <w:color w:val="0000EE"/>
                  <w:w w:val="87"/>
                </w:rPr>
                <w:t>9A Controls and Procedures</w:t>
              </w:r>
            </w:hyperlink>
          </w:p>
        </w:tc>
        <w:tc>
          <w:tcPr>
            <w:tcW w:w="4580" w:type="dxa"/>
            <w:vAlign w:val="bottom"/>
            <w:gridSpan w:val="10"/>
          </w:tcPr>
          <w:p>
            <w:pPr>
              <w:spacing w:after="0"/>
              <w:rPr>
                <w:sz w:val="21"/>
                <w:szCs w:val="21"/>
                <w:color w:val="auto"/>
              </w:rPr>
            </w:pPr>
          </w:p>
        </w:tc>
        <w:tc>
          <w:tcPr>
            <w:tcW w:w="2800" w:type="dxa"/>
            <w:vAlign w:val="bottom"/>
            <w:gridSpan w:val="3"/>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9B Other Information</w:t>
              </w:r>
            </w:hyperlink>
          </w:p>
        </w:tc>
        <w:tc>
          <w:tcPr>
            <w:tcW w:w="7380" w:type="dxa"/>
            <w:vAlign w:val="bottom"/>
            <w:gridSpan w:val="13"/>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rPr>
              <w:t>PART III</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4320" w:type="dxa"/>
            <w:vAlign w:val="bottom"/>
            <w:gridSpan w:val="17"/>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10 Directors, Executive Officers and Corporate Governance</w:t>
              </w:r>
            </w:hyperlink>
          </w:p>
        </w:tc>
        <w:tc>
          <w:tcPr>
            <w:tcW w:w="5080" w:type="dxa"/>
            <w:vAlign w:val="bottom"/>
            <w:gridSpan w:val="7"/>
          </w:tcPr>
          <w:p>
            <w:pPr>
              <w:spacing w:after="0"/>
              <w:rPr>
                <w:sz w:val="24"/>
                <w:szCs w:val="24"/>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EE"/>
                <w:w w:val="88"/>
              </w:rPr>
            </w:pPr>
            <w:hyperlink w:anchor="page83">
              <w:r>
                <w:rPr>
                  <w:rFonts w:ascii="Arial" w:cs="Arial" w:eastAsia="Arial" w:hAnsi="Arial"/>
                  <w:sz w:val="18"/>
                  <w:szCs w:val="18"/>
                  <w:color w:val="0000EE"/>
                  <w:w w:val="88"/>
                </w:rPr>
                <w:t>11 Executive Compensation</w:t>
              </w:r>
            </w:hyperlink>
          </w:p>
        </w:tc>
        <w:tc>
          <w:tcPr>
            <w:tcW w:w="2300" w:type="dxa"/>
            <w:vAlign w:val="bottom"/>
            <w:gridSpan w:val="6"/>
          </w:tcPr>
          <w:p>
            <w:pPr>
              <w:spacing w:after="0"/>
              <w:rPr>
                <w:sz w:val="21"/>
                <w:szCs w:val="21"/>
                <w:color w:val="auto"/>
              </w:rPr>
            </w:pPr>
          </w:p>
        </w:tc>
        <w:tc>
          <w:tcPr>
            <w:tcW w:w="5080" w:type="dxa"/>
            <w:vAlign w:val="bottom"/>
            <w:gridSpan w:val="7"/>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520" w:type="dxa"/>
            <w:vAlign w:val="bottom"/>
            <w:gridSpan w:val="22"/>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12 Security Ownership of Certain Beneficial Owners and Management and Related Stockholder Matters</w:t>
              </w:r>
            </w:hyperlink>
          </w:p>
        </w:tc>
        <w:tc>
          <w:tcPr>
            <w:tcW w:w="1880" w:type="dxa"/>
            <w:vAlign w:val="bottom"/>
            <w:gridSpan w:val="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680" w:type="dxa"/>
            <w:vAlign w:val="bottom"/>
            <w:gridSpan w:val="19"/>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13 Certain Relationships and Related Transactions, and Director Independence</w:t>
              </w:r>
            </w:hyperlink>
          </w:p>
        </w:tc>
        <w:tc>
          <w:tcPr>
            <w:tcW w:w="1840" w:type="dxa"/>
            <w:vAlign w:val="bottom"/>
            <w:gridSpan w:val="3"/>
          </w:tcPr>
          <w:p>
            <w:pPr>
              <w:spacing w:after="0"/>
              <w:rPr>
                <w:sz w:val="21"/>
                <w:szCs w:val="21"/>
                <w:color w:val="auto"/>
              </w:rPr>
            </w:pPr>
          </w:p>
        </w:tc>
        <w:tc>
          <w:tcPr>
            <w:tcW w:w="1880" w:type="dxa"/>
            <w:vAlign w:val="bottom"/>
            <w:gridSpan w:val="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680" w:type="dxa"/>
            <w:vAlign w:val="bottom"/>
            <w:gridSpan w:val="19"/>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14 Principal Accounting Fees and Services</w:t>
              </w:r>
            </w:hyperlink>
          </w:p>
        </w:tc>
        <w:tc>
          <w:tcPr>
            <w:tcW w:w="3720" w:type="dxa"/>
            <w:vAlign w:val="bottom"/>
            <w:gridSpan w:val="5"/>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rPr>
              <w:t>PART IV</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3380" w:type="dxa"/>
            <w:vAlign w:val="bottom"/>
            <w:gridSpan w:val="15"/>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15 Exhibits and Financial Statement Schedules</w:t>
              </w:r>
            </w:hyperlink>
          </w:p>
        </w:tc>
        <w:tc>
          <w:tcPr>
            <w:tcW w:w="6020" w:type="dxa"/>
            <w:vAlign w:val="bottom"/>
            <w:gridSpan w:val="9"/>
          </w:tcPr>
          <w:p>
            <w:pPr>
              <w:spacing w:after="0"/>
              <w:rPr>
                <w:sz w:val="24"/>
                <w:szCs w:val="24"/>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380" w:type="dxa"/>
            <w:vAlign w:val="bottom"/>
            <w:gridSpan w:val="15"/>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16 Form 10-K Summary</w:t>
              </w:r>
            </w:hyperlink>
          </w:p>
        </w:tc>
        <w:tc>
          <w:tcPr>
            <w:tcW w:w="6020" w:type="dxa"/>
            <w:vAlign w:val="bottom"/>
            <w:gridSpan w:val="9"/>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87</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7640" w:type="dxa"/>
            <w:vAlign w:val="bottom"/>
            <w:gridSpan w:val="1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7"/>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Signatures</w:t>
              </w:r>
            </w:hyperlink>
          </w:p>
        </w:tc>
        <w:tc>
          <w:tcPr>
            <w:tcW w:w="7640" w:type="dxa"/>
            <w:vAlign w:val="bottom"/>
            <w:gridSpan w:val="15"/>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88</w:t>
              </w:r>
            </w:hyperlink>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118" w:right="2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Universal Electronics Inc.</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Universal Electronics Inc. ("UEI") was incorporated under the laws of Delaware in 1986 and began operations in 1987. The principal executive offices are located at 15147 N. Scottsdale Road, Suite H300, Scottsdale, Arizona 85254-2494. As used herein, the terms "we", "us" and "our" refer to UEI and its subsidiaries unless the context indicates to the contrary.</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information regarding UEI may be obtained at www.uei.com. Our website address is not intended to function as a hyperlink and the information available at our website address is not incorporated by reference into this Annual Report on Form 10-K. We make our periodic and current reports, together with amendments to these reports, available on our website, free of charge, as soon as reasonably practicable after such material is electronically filed with, or furnished to, the U.S. Securities and Exchange Commission ("SEC"). The SEC maintains a website at www.sec.gov that contains the reports, proxy and other information that we file electronically with the SEC.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Universal Electronics Inc. develops control and sensor technology solutions and manufactures a broad line of pre-programmed and universal control products, audio-video ("AV") accessories, and intelligent wireless security and smart home products dedicated to redefining the home entertainment, automation and security experience. Our offerings include:</w:t>
      </w:r>
    </w:p>
    <w:p>
      <w:pPr>
        <w:spacing w:after="0" w:line="19" w:lineRule="exact"/>
        <w:rPr>
          <w:sz w:val="20"/>
          <w:szCs w:val="20"/>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easy-to-use, pre-programmed universal infrared ("IR") and radio frequency ("RF") remote controls that are sold primarily to subscription broadcasting providers (cable, satellite and Internet Protocol television ("IPTV")), original equipment manufacturers ("OEMs"), retailers, and private label customers;</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integrated circuits, on which our software and universal device control database is embedded, sold primarily to OEMs, subscription broadcasting providers, and private label customers;</w:t>
      </w:r>
    </w:p>
    <w:p>
      <w:pPr>
        <w:spacing w:after="0" w:line="8"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 firmware and technology solutions that can enable devices such as TVs, set-top boxes, audio systems, smartphones, tablets, game controllers and other consumer electronic devices to wirelessly connect and interact with home networks and interactive services to control and deliver digital entertainment and information;</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 which we license primarily to OEMs, software development companies, private label customers, and subscription broadcasting providers;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automation applications;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intelligent energy management systems, primarily to OEM customers as well as hospitality system integrators;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comprised of one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Markets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principal markets are the subscription broadcast, consumer and mobile electronics and residential security markets where our customers include subscription broadcasters, OEMs, international retailers, private label brands, pro-security dealers and companies in the computing industry.</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subscription broadcasting providers, both domestically and internationally, with our universal remote control devices and integrated circuits, on which our software and device code libraries are embedded. We also sell integrated circuits, on which our software and device control code libraries are embedded, and license our device control database to OEMs that manufacture televisions, digital audio and video players, streamer boxes, cable converters, satellite receivers, set-top boxes, room and central heating, ventilation and air conditioning ("HVAC") equipment, game consoles, and wireless mobile phones and tablets.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continue to place significant emphasis on expanding our sales and marketing efforts to subscription broadcasters and OEMs in Asia, Latin America and Europe. We currently own and operate vertically integrated manufacturing and assembly factories in the People's Republic of China ("PRC"), Mexico and Brazil, which allow us the ability to produce in the regional markets and to scale our production to meet growing customer demand.</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Leveraging our scale and expertise in low-power RF microcontrollers, we continue to pursue further penetration of the more traditional OEM consumer electronics markets as well as newer product categories in the smart home and Internet of Things ("IoT") markets such as lighting, window coverings, and bathroom controllers. Customers in these markets integrate our solutions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technology into their products to enhance their consumer lifestyle ecosystems. Growth in these markets has been driven by the increasing demand for more energy efficient homes and the increasing proliferation of connected smart devices.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2015, we acquired Ecolink Intelligent Technology, Inc. ("Ecolink"), a leading developer of safety and security products. Ecolink provides a wide range of intelligent wireless security and automation components dedicated to redefining the home security experience. Ecolink has over 20 years of wireless engineering expertise in the home security and automation market and currently holds more than 50 related pending and issued patents. UEI’s current subscription broadcasting customers are adding home security and automation to their list of service offerings. Our acquisition of Ecolink, a premise equipment supplier to this market, enables us to broaden our design expertise and product portfolio to add home security and automation sensors to our capabilities.</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6, 2017, we acquired Residential Control Systems, Inc. ("RCS"), a U.S.-based designer and manufacturer of energy management and control products for the residential, small commercial and hospitality markets. The acquisition of RCS allows us to expand our product offering to include smart thermostat, sensing and monitoring products and enables us to broaden our technology and design expertise in these product categories. Smart and connected thermostats are critical components of the smart home that help deliver energy-efficiency and an enhanced consumer lifestyle.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years ended December 31, 2018, 2017, and 2016, our sales to Comcast accounted for 17.6%, 23.0%, and 22.9% of our net sales, respectively. For the years ended December 31, 2017 and 2016 our sales to AT&amp;T (formerly DIRECTV) and its sub-contractors collectively accounted for 11.2%, and 11.5% of our net sales, respectively.</w:t>
      </w:r>
    </w:p>
    <w:p>
      <w:pPr>
        <w:spacing w:after="0" w:line="127"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One For All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 of remote controls and audio video accessories sold within the international retail markets accounted for 7.4%, 7.1%, and 7.2% of our total net sales for the years ended December 31, 2018, 2017, and 2016,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and Technology</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hold a number of patents in the United States and abroad related to our products and technology, and have filed domestic and foreign applications for other patents that are pending. At the end of 2018, we had approximately 500 issued and pending United States patents related to remote control, home security, safety and automation as well as hundreds of foreign counterpart patents and applications in various territories around the world.</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patents have remaining lives ranging from one to 18 years. We have also obtained copyright registration and claim copyright protection for certain proprietary software and libraries of our device control codes. Additionally, the names of many of our products are registered, or are being registered, as trademarks in the United States Patent and Trademark Office and in most of the other countries in which such products are sold. These registrations are valid for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key factor in creating products and software for control of entertainment devices is the device control code database. Since our beginning in 1986, we have compiled an extensive device control code database that covers over one million individual device functions and approximately 8,600 individual consumer electronic equipment brand names, including virtually all IR controlled set-top boxes, televisions, audio components, digital video players, such as, Blu-Ray/-DVD and streaming media players such as Roku® and AppleTV®. Our technology also includes other remote controlled home entertainment devices and home automation control modules, as well as wired Consumer Electronics Control ("CEC") and wireless Internet Protocol ("IP") control protocols commonly found on many of the latest HDMI and internet connected devices. Our proprietary software automatically detects, identifies and enables the appropriate control commands for any given home entertainment, automation and air conditioning device in the home. Our libraries are continuously updated with device control codes used in newly introduced AV and IoT devices. These control codes are captured directly from original remote control devices or from the manufacturer's written specifications to ensure the accuracy and integrity of the database. Our proprietary software and know-how permit us to offer a device control code database that is more robust and efficient than similarly priced products of our competitors.</w:t>
      </w:r>
    </w:p>
    <w:p>
      <w:pPr>
        <w:spacing w:after="0" w:line="1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goal is to provide universal control solutions that require minimal or no user set-up and deliver consistent and intuitive one-touch control of all connected content sources and devices. QuickSet® is a software application that is currently embedded or enabled, via a Cloud service, in over 500 million devices worldwide. QuickSet may be embedded in an AV device, set-top box, or other host device, or delivered as a Cloud-based service to enable universal remote setup and control. QuickSet enables universal device control set-up using automated and guided on-screen instructions and a wireless two-way communication link between the remote and the QuickSet enabled device. The two-way connection allows device control code data and configuration settings to be sent to the remote control from the device and greatly simplifies the universal control set-up process and can enable other time saving features. QuickSet utilizes data transmitted over HDMI or IP networks to automatically detect various attributes of the connected device and downloads the appropriate control codes and functions into the remote control without the need for the user to enter any additional information. The user does not need to know the brand or model number to set up the device in the remote.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compatible new device that is connected is recognized. Consumers can quickly and easily set up their control interface to control multiple devices. Recently added features in QuickSet address common consumer challenges in universal device control, such as mode confusion and input switching. With QuickSet, consumers switch easily between activities and reliably view their chosen content source with a single touch. QuickSet handles the device-specific control. A QuickSet user experience can be delivered via a tactile remote, touchscreen interface, on-screen graphical user interface ("GUI") or voice-enabled system. Licensees of QuickSet include service providers such as Comcast, AT&amp;T and Echostar Technologies; smart TV manufacturers such as Sony and Samsung; leading game console manufacturer Microsoft on its Xbox One game system; and several Chinese mobile handset platforms.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QuickSet Cloud is an end-to-end platform for discovery, control, and interaction with devices including rules and automation framework for a truly connected home experience. Leveraging the largest knowledge graph of devices, services are offered through QuickSet Cloud and QuickSet SDK delivery methods with edge intelligence built in and cloud scalability capabilities.</w:t>
      </w:r>
    </w:p>
    <w:p>
      <w:pPr>
        <w:spacing w:after="0" w:line="1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Smart devices are becoming a more prevalent part of the home entertainment experience, and UEI offers several solutions to enable entertainment device control with a smart phone, tablet or smart TV. In its smart device control solutions, UEI offers all of the elements needed for device control ranging from IR and RF controller chips to device control libraries to graphical and voice user interfaces, as well as artificial intelligence systems that deliver context aware device interactions. Designed for Android, Nevo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Home is UEI's device and service discovery and control application, currently available for download at Google Play.</w:t>
      </w:r>
    </w:p>
    <w:p>
      <w:pPr>
        <w:spacing w:after="0" w:line="15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2018, UEI introduced Nevo.AI, a digital assistant for the connected home with a natural language interface to allow interaction with devices within the home using QuickSet's underlying capabilities. Features are expandable through Enterprise Integration and Ecosystem of Partner Services.</w:t>
      </w:r>
    </w:p>
    <w:p>
      <w:pPr>
        <w:spacing w:after="0" w:line="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2019, we will introduce Nevo® Butler, a turnkey smart home hub with Nevo.AI &amp; QuickSet pre-integrated. Offered as managed hardware with security built in from manufacturing through the life cycle, it is capable of natively running Nevo Assistant, as well as other digital assistants.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Distribution</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Distribution methods for our control solutions vary depending on the sales channel. We distribute remote control devices, sensors, connected thermostats and AV accessories directly to subscription broadcasters and OEMs, both domestically and internationally. We also distribute home security sensors to pro-security installers in the United States through a network of dealers. Additionally, we sell our wireless control devices and AV accessories under the One For All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private label brand names to retailers through our international subsidiaries and direct to retailers in key markets, such as in the United Kingdom, Germany and the United States. We utilize third-party distributors for the retail channel in countries where we do not have subsidiaries.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developed a broad portfolio of patented technologies and the industry's leading database of device setup and control software. We ship integrated circuits, on which our software and control code database are embedded, directly to manufacturers for inclusion in their products. In addition, we license our software and technology to manufacturers. Licenses are delivered upon the transfer of a product master or on a per unit basis when the software or technology is used in a customer device.</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provide domestic and international consumer support to our various universal control marketers, including manufacturers, cable and satellite providers, retail distributors, and audio and video OEMs through our live and automated call centers. We also make available a web-based support resource, www.urcsupport.com, designed specifically for subscription broadcasters. This solution offers videos and online tools to help users easily set up their universal remote controls, and as a result reduce call volume at customer support centers. Additionally, the UEI Technical Support Services call center provides customer interaction management services from technical service and support to customer retention. Services include pre-repair calls, post-install surveys, and inbound calls for cable customers to provide greater bottom-line efficiencies.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24 international subsidiaries are the following:</w:t>
      </w:r>
    </w:p>
    <w:p>
      <w:pPr>
        <w:spacing w:after="0" w:line="63"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Development Ltd., established in Hong Kong;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Mexico Remote Controls, S.R.L. de C.V., established in Mexico;</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Enson Assets Ltd., established in the British Virgin Islands;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Polyfirst Ltd., established in Hong Kong;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Technology (Qinzhou)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Technology (Yangzhou)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Guangzhou Universal Electronics Service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Argentina S.R.L., established in Argentina;</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France S.A.S., established in France;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GmbH, established in Germany;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Iberia S.L., established in Spain;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UK Ltd., established in the United Kingdom;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Japan Ltd., established in Japan;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Singapore Pte. Ltd., established in Singapore;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Cayman Inc., established in the Cayman Islands;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do Brasil Controles Remotos Ltda., established in Brazil;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Electronics Pte. Ltd., established in India;</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Hong Kong Pte. Ltd., established in Hong Kong;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Korea Ltd., established in South Korea;</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B.V., established in the Netherlands;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Italia S.R.L., established in Italy;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Trading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Yangzhou Co. Ltd., established in the PRC;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Yangzhou Universal Trading Co. Ltd., established in the PRC.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Dependence on Suppliers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utilize our own manufacturing plants and third-party manufacturers and suppliers primarily located within the PRC, Mexico and Brazil to produce our control and sensor products. In 2017 and 2016, Texas Instruments provided 10.0% and 11.7%, respectively, of our total inventory purchases. In 2018, no single supplier provided more than 10% of our total inventory purchases.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though we operate two factories in the PRC and manufacturing and assembly plants in Brazil and Mexico, we continue to evaluate additional contract manufacturers and sources of supply. During 2018, we utilized multiple contract manufacturers and maintained duplicate tooling for certain of our products. Where possible we utilize standard parts and components, which are available from multiple sources.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to avoid the U.S. government-imposed tariffs on products made in China and imported into the United States, we began to move production of many of our products destined for the United States to Mexico and a third-party manufacturing partner outside of China. We expect this transition to continue during the first half of 2019.</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continually seek additional sources to reduce our dependence on our integrated circuit suppliers. To further manage our integrated and system on a chip ("SOC") circuit supplier dependence, we include flash microcontroller technology in most of our products. Flash microcontrollers can have shorter lead times than standard microcontrollers and may be reprogrammed, if necessary. This allows us flexibility during any unforeseen shipping delays and has the added benefit of potentially reducing excess and obsolete inventory exposure. This diversification lessens our dependence on any one supplier and allows us to negotiate more favorable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second half of the year. We expect this pattern to be repeated during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23" for further details regarding our quarterly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principal competitors in the subscription broadcasting market are Remote Solutions, Omni Remotes (formerly Philips Home Control Singapore PTE, Ltd.), SMK, and Ruwido. In the international retail and private label markets for wireless controls we compete primarily with Logitech and Sony, as well as various manufacturers of wireless controls in Asia. Our primary competitors in the OEM market are the original equipment manufacturers themselves and various wireless control manufacturers in Asia. In home security, safety and automation, we offer universal sub-gigahertz products that are compatible with the top security panel manufacturers, such as Honeywell, GE, Tyco/DSC and 2GIG. In the connected smart home market we compete with the OEMs themselves as well as wireless manufacturers in North America, such as Nortek, and other original design manufacturers in Asia. We compete in our markets on the basis of product quality, features, price, intellectual property, design and development expertise and customer support. We believe that we will need to continue to introduce new and innovative products and software solutions to remain competitive and to recruit and retain competent personnel to successfully accomplish our future objectives.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Research and Development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2018, our engineering efforts focused on the following:</w:t>
      </w:r>
    </w:p>
    <w:p>
      <w:pPr>
        <w:spacing w:after="0" w:line="6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broadening our product portfolio;</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launching new embedded software solutions designed to simplify set-up and control features;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modifying existing products and technologies to improve features and lower costs;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formulating measures to protect our proprietary technology and general know-how;</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improving our control solutions software;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updating our library of device codes to include codes for new features and devices introduced worldwide;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innovative products that address consumer challenges in home entertainment control and security sensing.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UEI was awarded a 2017 Technical &amp; Engineering Emmy® Award from The National Academy of Television Arts &amp; Sciences (NATAS) for its work relating to voice navigation technologies for discovering and interacting with TV content. UEI was selected for its excellence in engineering and creativity that has materially affected the television viewing experience.</w:t>
      </w:r>
    </w:p>
    <w:p>
      <w:pPr>
        <w:spacing w:after="0" w:line="127" w:lineRule="exact"/>
        <w:rPr>
          <w:sz w:val="20"/>
          <w:szCs w:val="20"/>
          <w:color w:val="auto"/>
        </w:rPr>
      </w:pPr>
    </w:p>
    <w:p>
      <w:pPr>
        <w:jc w:val="both"/>
        <w:ind w:left="60"/>
        <w:spacing w:after="0" w:line="276" w:lineRule="auto"/>
        <w:rPr>
          <w:sz w:val="20"/>
          <w:szCs w:val="20"/>
          <w:color w:val="auto"/>
        </w:rPr>
      </w:pPr>
      <w:r>
        <w:rPr>
          <w:rFonts w:ascii="Arial" w:cs="Arial" w:eastAsia="Arial" w:hAnsi="Arial"/>
          <w:sz w:val="17"/>
          <w:szCs w:val="17"/>
          <w:color w:val="auto"/>
        </w:rPr>
        <w:t>During 2018, our advanced engineering efforts focused on further developing our existing products, services and technologies. We released software updates to our embedded QuickSet application, and continued development initiatives around emerging RF technologies, such as RF4CE, Bluetooth, and Bluetooth Smart. We added new products to our portfolio of low power dual-RF chips that are deployed across a range of our custom and standard products, allowing for broader flexibility and easier implementation of multiple communication protocols. Additionally, we released many new advanced remote control products that incorporate voice search capabilities in our subscription broadcast and OEM channels.</w:t>
      </w:r>
    </w:p>
    <w:p>
      <w:pPr>
        <w:spacing w:after="0" w:line="119"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During 2018, we also invested resources to develop a new product, Nevo® Butler, an end-to-end voice-enabled smart home hub with a built-in white label digital assistant that promises to unify the entertainment control and home automation experiences, enabling interoperability across fragmented ecosystems. Built-in entertainment control capabilities and smart home hub features powered by QuickSet® Cloud make this device the most versatile assistant for the home, capable of addressing the widest range of current installed base of devices in consumers’ homes, addressing a range of use cases and innovative new services in the smart home.</w:t>
      </w:r>
    </w:p>
    <w:p>
      <w:pPr>
        <w:spacing w:after="0" w:line="13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personnel are involved with various industry organizations and bodies, which are in the process of setting standards for IR, RF, telephone and cable communications and networking in the home. Because of the nature of research and development activities, there can be no assurance that any of our research and development projects will be successfully completed or ultimately achieve commercial success.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expenditures on engineering, research and development were: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w:t>
            </w:r>
          </w:p>
        </w:tc>
      </w:tr>
      <w:tr>
        <w:trPr>
          <w:trHeight w:val="270"/>
        </w:trPr>
        <w:tc>
          <w:tcPr>
            <w:tcW w:w="7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Engineering </w:t>
            </w:r>
            <w:r>
              <w:rPr>
                <w:rFonts w:ascii="Arial" w:cs="Arial" w:eastAsia="Arial" w:hAnsi="Arial"/>
                <w:sz w:val="25"/>
                <w:szCs w:val="25"/>
                <w:color w:val="auto"/>
                <w:vertAlign w:val="superscript"/>
              </w:rPr>
              <w:t>(1)</w:t>
            </w: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14.1</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11.0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10.5</w:t>
            </w: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engineering, research and development</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37.9</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660" w:right="5200" w:hanging="5355"/>
        <w:spacing w:after="0" w:line="569" w:lineRule="auto"/>
        <w:tabs>
          <w:tab w:leader="none" w:pos="539"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Engineering costs are included in selling, general and administrative expenses. 7</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Many of our products are subject to various federal, state, local and international laws governing chemical substances in products, including laws regulating the manufacturing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materials composition of our products.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face significant costs and liabilities in connection with product take-back legislation. The European Union's Waste Electrical and Electronic Equipment Directive ("WEEE") makes producers of electrical goods financially responsible for specified collection, recycling, treatment and disposal of past and future covered products. Our European subsidiaries are WEEE compliant. Similar legislation has been or may be enacted in other jurisdictions, including in the United States, Canada, Mexico, the PRC and Japan.</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2018, 2017 and 2016, the amounts incurred in complying with federal, state and local statutes and regulations pertaining to environmental standards and occupational safety and health laws and regulations did not materially affect our earnings or financial condition. However, future events, such as changes in existing laws and regulations or enforcement policies, may give rise to additional compliance costs that may have a material adverse effect upon our capital expenditures, earnings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2018, we employed 3,707 employees, of which 629 worked in engineering and research and development, 116 in sales and marketing, 96 in consumer service and support, 2,573 in operations and warehousing and 293 in executive and administrative functions. In addition, our factories in the PRC and our Asian operations engaged an additional 5,942 staff contracted through agency agreements.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Labor unions represent approximately 33.5% of our 3,707 employees at December 31, 2018. Some unionized workers, employed in Manaus, Brazil, are represented under contract with the Sindicato dos Trabalhadores nas Industrias Metalugicas, Mecanicas e de Materiais Eletricos de Manaus. Other unionized workers, employed in Monterrey, Mexico, are represented under contract with the Sindicato Industrial de Trabajadores de Nuevo León adherido a la Federación Nacional de Sindicatos Independientes. Our business units are subject to various laws and regulations relating to their relationships with their employees. These laws and regulations are specific to the location of each business unit. We believe that our relationships with employees and their representative organizations are good.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r>
        <w:rPr>
          <w:rFonts w:ascii="Arial" w:cs="Arial" w:eastAsia="Arial" w:hAnsi="Arial"/>
          <w:sz w:val="25"/>
          <w:szCs w:val="25"/>
          <w:color w:val="auto"/>
          <w:vertAlign w:val="superscript"/>
        </w:rPr>
        <w:t>(1)</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on March 14, 2019:</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7760" w:type="dxa"/>
            <w:vAlign w:val="bottom"/>
            <w:tcBorders>
              <w:bottom w:val="single" w:sz="8" w:color="auto"/>
            </w:tcBorders>
          </w:tcPr>
          <w:p>
            <w:pPr>
              <w:ind w:left="364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D. Arling</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Chairman of the Board and Chief Executive Officer</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David Chong</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Executive Vice President, Asia</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A. Firehammer, Jr.</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General Counsel and Secretary</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Bryan M. Hackworth</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Senior Vice President and Chief Financial Officer</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Menno V. Koopmans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shd w:val="clear" w:color="auto" w:fill="CCEEFF"/>
          </w:tcPr>
          <w:p>
            <w:pPr>
              <w:spacing w:after="0"/>
              <w:rPr>
                <w:sz w:val="21"/>
                <w:szCs w:val="21"/>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Managing Director, EMEA</w:t>
            </w:r>
          </w:p>
        </w:tc>
      </w:tr>
      <w:tr>
        <w:trPr>
          <w:trHeight w:val="27"/>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76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540" w:hanging="235"/>
        <w:spacing w:after="0"/>
        <w:tabs>
          <w:tab w:leader="none" w:pos="5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Included pursuant to Instruction 3 to Item 401(b) of Regulation S-K.</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Paul D. Arling </w:t>
      </w:r>
      <w:r>
        <w:rPr>
          <w:rFonts w:ascii="Arial" w:cs="Arial" w:eastAsia="Arial" w:hAnsi="Arial"/>
          <w:sz w:val="16"/>
          <w:szCs w:val="16"/>
          <w:color w:val="auto"/>
        </w:rPr>
        <w:t>is our Chairman and Chief Executive Officer. He joined us in May 1996 as Chief Financial Officer and was named to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 August 1996. He was appointed President and Chief Operating Officer in September 1998, was promoted to Chief Executive Officer in October 2000 and appointed as Chairman in July 2001. At the 2018 Annual Meeting of Stockholders, Mr. Arling was re-elected as our Chairman to serve until the 2019 Annual Meeting of Stockholders. From 1993 through May 1996, he served in various capacities at LESCO, Inc. (a manufacturer and distributor of professional turf care products). Prior to LESCO, he worked for Imperial Wall coverings (a manufacturer and distributor of wall covering products) as Director of Planning and The Michael Allen Company (a strategic management consulting company) where he was employed as a management consultant.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David Chong </w:t>
      </w:r>
      <w:r>
        <w:rPr>
          <w:rFonts w:ascii="Arial" w:cs="Arial" w:eastAsia="Arial" w:hAnsi="Arial"/>
          <w:sz w:val="16"/>
          <w:szCs w:val="16"/>
          <w:color w:val="auto"/>
        </w:rPr>
        <w:t>is our Executive Vice President, Asia. He is responsible for general management of our Asia region. Mr. Chong joined us in January 2009 as</w:t>
      </w:r>
      <w:r>
        <w:rPr>
          <w:rFonts w:ascii="Arial" w:cs="Arial" w:eastAsia="Arial" w:hAnsi="Arial"/>
          <w:sz w:val="16"/>
          <w:szCs w:val="16"/>
          <w:i w:val="1"/>
          <w:iCs w:val="1"/>
          <w:color w:val="auto"/>
        </w:rPr>
        <w:t xml:space="preserve"> </w:t>
      </w:r>
      <w:r>
        <w:rPr>
          <w:rFonts w:ascii="Arial" w:cs="Arial" w:eastAsia="Arial" w:hAnsi="Arial"/>
          <w:sz w:val="16"/>
          <w:szCs w:val="16"/>
          <w:color w:val="auto"/>
        </w:rPr>
        <w:t>Senior Vice President of Global OEM. Prior to joining us, Mr. Chong served as Senior Vice President at Philips Consumer Electronics Division and as the Chief Marketing Officer of the business group Philips Display (Philips TV and computer monitor business). At Philips Display, he led the re-engineering of the Product Creation, Marketing and Sales Organization to compete successfully in the LCD TV space. Prior to this, he also served as Vice President and General Manager of the Audio Video Business in Asia, Vice President and Global Business Line Manager for Audio and various senior management positions at Philips' CE Division. Mr. Chong started at Philips Research Lab in 1984 as a research scientist working in the area of VLSI design methodologies. He also served as Managing Director for Asia at InVue Security Product before joining us at the present position. Mr. Chong had his senior education in The United Kingdom, holding a B.S. in Electrical and Electronics Engineering with High Honors from University of Nottingham.</w:t>
      </w:r>
    </w:p>
    <w:p>
      <w:pPr>
        <w:spacing w:after="0" w:line="11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Richard A. Firehammer, Jr., Esq. </w:t>
      </w:r>
      <w:r>
        <w:rPr>
          <w:rFonts w:ascii="Arial" w:cs="Arial" w:eastAsia="Arial" w:hAnsi="Arial"/>
          <w:sz w:val="16"/>
          <w:szCs w:val="16"/>
          <w:color w:val="auto"/>
        </w:rPr>
        <w:t>is our Senior Vice President, General Counsel and Secretary. He joined us in October 1993 as General Counsel. He became</w:t>
      </w:r>
      <w:r>
        <w:rPr>
          <w:rFonts w:ascii="Arial" w:cs="Arial" w:eastAsia="Arial" w:hAnsi="Arial"/>
          <w:sz w:val="16"/>
          <w:szCs w:val="16"/>
          <w:i w:val="1"/>
          <w:iCs w:val="1"/>
          <w:color w:val="auto"/>
        </w:rPr>
        <w:t xml:space="preserve"> </w:t>
      </w:r>
      <w:r>
        <w:rPr>
          <w:rFonts w:ascii="Arial" w:cs="Arial" w:eastAsia="Arial" w:hAnsi="Arial"/>
          <w:sz w:val="16"/>
          <w:szCs w:val="16"/>
          <w:color w:val="auto"/>
        </w:rPr>
        <w:t>our Secretary in February 1994. He was our Vice President from May 1997 until August 1998, and served as counsel to us from September 1998 until February 1999 at which time he was promoted to his current position. From November 1992 to September 1993, he was associated with the Chicago, Illinois law firm, Shefsky &amp; Froelich, Ltd. From 1987 to 1992, he was with the law firm Vedder, Price, Kaufman &amp; Kammholz in Chicago, Illinois.</w:t>
      </w:r>
    </w:p>
    <w:p>
      <w:pPr>
        <w:spacing w:after="0" w:line="10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 xml:space="preserve">Bryan M. Hackworth </w:t>
      </w:r>
      <w:r>
        <w:rPr>
          <w:rFonts w:ascii="Arial" w:cs="Arial" w:eastAsia="Arial" w:hAnsi="Arial"/>
          <w:sz w:val="16"/>
          <w:szCs w:val="16"/>
          <w:color w:val="auto"/>
        </w:rPr>
        <w:t>is our Senior Vice President and Chief Financial Officer. He was promoted to Chief Financial Officer in August 2006. Mr. Hackworth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joined us in June 2004 as Corporate Controller and subsequently assumed the role of Chief Accounting Officer in May 2006. Before joining us in 2004, he spent five years at Mars, Inc., a privately held international manufacturer and distributor of consumer products and served in several financial and strategic roles (Controller — Ice Cream Division; Strategic Planning Manager for the WHISKAS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various other financial management positions. Prior to joining Mars, Inc., Mr. Hackworth spent six years at Deloitte &amp; Touche LLP as an auditor, specializing in the manufacturing and retail industries.</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Menno V. Koopmans </w:t>
      </w:r>
      <w:r>
        <w:rPr>
          <w:rFonts w:ascii="Arial" w:cs="Arial" w:eastAsia="Arial" w:hAnsi="Arial"/>
          <w:sz w:val="17"/>
          <w:szCs w:val="17"/>
          <w:color w:val="auto"/>
        </w:rPr>
        <w:t>is our Managing Director, EMEA. From 2014 to the end of 2016, he was our Senior Vice President for subscription broadcasting</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in Europe and India where he led the customer transition into smart remote controls. From 2005 until 2013, he was the head of our worldwide consumer business and our One For All® brand. Prior to joining us, Mr. Koopmans worked at Mars, Sony Europe and Royal Philips Electronics in different product, marketing and sales management roles in both fast-moving consumer goods and durable consumer goods categories. Mr. Koopmans received his Masters in Science of Business Administration from Erasmus University in Rotterdam, The Netherlands.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report based on the beliefs and assumptions of our management and on information currently available to us. Forward-looking statements include information about our possible or assumed future results of operations, which follow under the headings "Business", "Liquidity and Capital Resources", and other statements throughout this report preceded by, followed by or that include the words "believes", "expects", "anticipates", "intends", "plans", "estimates" or similar expressions.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number of risks and uncertainties could cause actual results to differ materially from those we express in our forward-looking statements, including the risks and uncertainties we describe below and other factors we describe from time to time in our periodic filings with the U.S. Securities and Exchange Commission (the "SEC"). We therefore caution you not to rely unduly on any forward-looking statement. The forward-looking statements in this report speak only as of the date of this report, and we undertake no obligation to update or revise any forward-looking statement, whether as a result of new information, future developments,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and Uncertainties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various risks that could materially and adversely affect our business, results of operations, cash flow, liquidity, or financial condition. You should understand that these risks could cause results to differ materially from those we express in forward-looking statements contained in this report or in other Company communications, including those we file from time to time with the SEC. Because there is no way to determine in advance whether, or to what extent, any present uncertainty will ultimately impact our business, you should give equal weight to each of the following: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Adverse Changes in General Business and Economic Conditions in the United States and Worldwide May Adversely Affect Our Results of Operations, Cash Flow, Liquidity or Financial Condition</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business is sensitive to global and regional business and economic conditions. Adverse changes in such conditions in the United States and worldwide may reduce the demand for some of our products and impair the ability of those with whom we do business to satisfy their obligations to us, each of which could adversely affect our results of operations, cash flow, liquidity or financial condition. Higher inflation rates, interest rates, tax rates and unemployment rates, higher labor and healthcare costs, recessions, changing governmental policies, laws and regulations, and other economic factors could also adversely affect demand for some of our products and our results of operations, cash flow, liquidity or financial condition and that of our customers, vendors and suppliers.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A Weakening or Reversal of the General Economic Recovery in the United States and Other Countries and Regions in Which we Do Business, or the Continuation or Worsening of Economic Downturns in Other Countries and Regions, May Adversely Affect Our Results of Operations, Cash Flow, Liquidity or Financial Condition</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Global economic uncertainty continues to exist. A weakening or reversal of the general economic recovery in the United States and other countries and regions in which we do business, or the continuation or worsening of economic downturns in other countries and regions, may adversely impact our net sales, the collection of accounts receivable, funding for working capital needs, expected cash flow generation from current and acquired businesses, and our investments, which may adversely impact our results of operations, cash flow, liquidity or financial condition.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finance a portion of our sales through trade credit. Credit markets remain tight, and some customers who require financing for their businesses have not been able to obtain necessary financing. A continuation or worsening of these conditions could limit our ability to collect our accounts receivable, which could adversely affect our results of operations, cash flow, liquidity or financial condition.</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generally fund a portion of our seasonal working capital needs and obtain funding for other general corporate purposes through short-term borrowings backed by our revolving credit facility and other financing facilities. If any of the banks in these credit and financing facilities are unable to perform on their commitments, such inability could adversely impact our cash flow, liquidity or financial condition, including our ability to obtain funding for working capital needs and other general corporate purposes.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currently have available credit facilities to fund our current operating needs, we cannot be certain we will be able to replace our existing credit facilities or refinance our existing or future debt when necessary. Our cost of borrowing and ability to access the capital markets are affected not only by market conditions, but also by our debt and credit ratings assigned by the major credit rating agencies. Downgrades in these ratings will increase our cost of borrowing and could have an adverse effect on our access to these facilities which, in turn, could have a material adverse effect on our results of operations, cash flow, liquidity or financial condition.</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goodwill and intangible assets recorded on our balance sheet. We periodically evaluate the recoverability of the carrying value of our goodwill and intangible assets whenever events or changes in circumstances indicate such value may not be recoverable. An impairment assessment involves judgment as to assumptions regarding future sales and cash flow and the impact of market conditions on those assumptions. Future events and changing market conditions may impact our assumptions and change our estimates of future sales and cash flow, resulting in us incurring substantial impairment charges, which would adversely affect our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Increases in the Cost of Raw Materials and Energy May Adversely Affect Our Earnings or Cash Flow</w:t>
      </w:r>
    </w:p>
    <w:p>
      <w:pPr>
        <w:spacing w:after="0" w:line="22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purchase raw materials and energy for use in the manufacturing, distribution and sale of our products. Factors such as political instability, higher tariffs and adverse weather conditions, including hurricanes, and other natural disasters can disrupt raw material and fuel supplies and increase our costs. Although raw materials and energy supplies (including oil and natural gas) are generally available from various sources in sufficient quantities, unexpected shortages and increases in the cost of raw materials and energy, or any deterioration in our relationships with or the financial viability of our suppliers, may have an adverse effect on our earnings or cash flow in the event we are unable to offset higher costs in a timely manner by sufficiently decreasing our operating costs or raising the prices of our products. In recent years, some raw material and energy prices have increased, particularly silicon and plastic packaging. The cost of raw materials and energy has in the past experienced, and likely will in the future continue to experience, periods of volatility.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Doing Business in the PRC</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Presently, we manufacture a majority of our products in our factories in the PRC. Additionally, many of our contract manufacturers are located in the PRC.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Doing business in the PRC carries a number of risks including the following:</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Changes in the policies of the PRC government may have a significant impact upon the business we may be able to conduct in the PRC and the profitability of such business.</w:t>
      </w:r>
    </w:p>
    <w:p>
      <w:pPr>
        <w:spacing w:after="0" w:line="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operations may be adversely affected by the current and future political environment in the PRC. The government of the PRC has exercised and continues to exercise substantial control over virtually every sector of the Chinese economy, through regulation and state ownership. Our ability to operate in the PRC may be adversely affected by changes in Chinese laws and regulations, including those relating to taxation, labor and social insurance, import and export tariffs, raw materials, environmental regulations, land use rights, property and other matters.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PRC laws and regulations governing our current business operations are sometimes vague and uncertain. Any changes in such PRC laws and regulations may harm our business.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substantial uncertainties regarding the interpretation and application of PRC laws and regulations, including but not limited to the laws and regulations governing our business, or the enforcement and performance of our arrangements with customers in the event of the imposition of statutory liens, death, bankruptcy and criminal proceedings. We cannot predict what effect the interpretation of existing or new PRC laws or regulations may have on our business. If the relevant authorities find that we are in violation of PRC laws or regulations, they would have broad discretion in dealing with such a violation, including, without limitation:</w:t>
      </w:r>
    </w:p>
    <w:p>
      <w:pPr>
        <w:spacing w:after="0" w:line="26"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levying fines;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revoking our business and other licenses;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that we restructure our ownership or operations;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that we discontinue any portion or all of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fluctuation of the Chinese Yuan Renminbi may harm your investment.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Chinese monetary policy, the Chinese Yuan Renminbi is permitted to fluctuate within a managed band against a basket of certain foreign currencies and has resulted in increased volatility in the exchange rate the Chinese Yuan Renminbi against the U.S. Dollar. While the international reaction to the Chinese Yuan Renminbi revaluation has been positive, there remains international pressure on the PRC government to adopt an even more flexible currency policy, which may result in a further and more significant appreciation of the Chinese Yuan Renminbi against the U.S. Dollar, which could lead to higher manufacturing costs for our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PRC's legal and judicial system may not adequately protect our business and operations and the rights of foreign investors.</w:t>
      </w:r>
    </w:p>
    <w:p>
      <w:pPr>
        <w:spacing w:after="0" w:line="9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PRC legal and judicial system may negatively impact foreign investors, with enforcement of existing laws inconsistent. In addition, the promulgation of new laws, changes to existing laws and the pre-emption of local regulations by national laws may adversely affect foreign investors.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adequate workforce levels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Presently, the vast majority of workers at our PRC factories are obtained from third-party employment agencies. As the labor laws, social insurance and wage levels continue to grow and the workers become more sophisticated, our costs to employ these and other workers in the PRC may grow beyond that anticipated by management. While we have already experienced increases in labor rates in the PRC, as the PRC market continues to open up and grow, we may experience an increase in competition for the same workers, resulting in either an inability to attract and retain an adequate number of qualified workers or an increase in our employment costs to obtain and retain these workers.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Risks and Uncertainties Associated with Our Expansion Into and Our Operations Outside of the United States May Adversely Affect Our Results of Operations, Cash Flow, Liquidity or Financial Condition</w:t>
      </w:r>
    </w:p>
    <w:p>
      <w:pPr>
        <w:spacing w:after="0" w:line="3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external sales of our consolidated foreign subsidiaries totaled approximately 48.2%, 44.3% and 41.0% of our total consolidated net sales in 2018, 2017 and 2016, respectively. We expect that the international share of our total revenues will continue to make up a significant part of our current business and future strategic plans. Additionally, we operate factories in the PRC, Brazil and Mexico, as well as an engineering center in India. As a result, we are increasingly exposed to the challenges and risks of doing business outside the United States, which could reduce our revenues or profits, increase our costs, result in significant liabilities or sanctions, or otherwise disrupt our business. These challenges include: (1) compliance with complex and changing laws, regulations and policies of governments that may impact our operations, such as foreign ownership restrictions, import and export controls, tariffs, and trade restrictions; (2) compliance with U.S. and foreign laws that affect the activities of companies abroad, such as anti-corruption laws, competition laws, currency regulations, and laws affecting dealings with certain nations; (3) limitations on our ability to repatriate non-U.S. earnings in a tax effective manner; (4) the difficulties involved in managing an organization doing business in many different countries; (5) uncertainties as to the enforceability of contract and intellectual property rights under local laws; (6) rapid changes in government policy, political or civil unrest in the Middle East and elsewhere, acts of terrorism, or the threat of international boycotts or U.S. anti-boycott legislation; and (7) currency exchange rate fluctuations.</w:t>
      </w:r>
    </w:p>
    <w:p>
      <w:pPr>
        <w:spacing w:after="0" w:line="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also exposed to risks relating to U.S. policy with respect to companies doing business in foreign jurisdictions, particularly in light of the current U.S. presidential administration. For example, the passage of the Tax Cuts and Jobs Act on December 22, 2017, significantly changed U.S. income tax law. While we are still assessing the long-term impact these changes will have on our overall income tax liability under our existing business structure, these recent changes in the U.S. tax laws could increase our U.S. income tax liability and adversely affect our consolidated after-tax profitability. In addition, the current U.S. presidential administration has introduced greater uncertainty with respect to future trade regulations and trade agreements. Changes in tax policy, trade regulations or trade agreements could have a material adverse effect on our business and results of operations.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Failure by Our International Operations to Comply With Anti-Corruption Laws or Trade Sanctions Could Increase Our Costs, Reduce Our Profits, Limit Our Growth, Harm Our Reputation, or Subject Us to Broader Liability</w:t>
      </w:r>
    </w:p>
    <w:p>
      <w:pPr>
        <w:spacing w:after="0" w:line="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restrictions imposed by the U.S. Foreign Corrupt Practices Act and anti-corruption laws and regulations of other countries applicable to our operations. Anti-corruption laws and regulations generally prohibit companies and their intermediaries from making improper payments to government officials or other persons in order to receive or retain business. The compliance programs, internal controls and policies we maintain and enforce to promote compliance with applicable anti-bribery and anti-corruption laws may not prevent our associates, contractors or agents from acting in ways prohibited by these laws and regulations. We are also subject to trade sanctions administered by the Office of Foreign Assets Control and the U.S. Department of Commerce. Our compliance programs and internal control policies and procedures may not prevent conduct that is prohibited under these rules. The United States may impose additional sanctions at any time against any country in which or with whom we do business. Depending on the nature of the sanctions imposed, our operations in the relevant country could be restricted or otherwise adversely affected. Any violations of anti-corruption laws and regulations or trade sanctions could result in significant civil and criminal penalties, reduce our profits, disrupt our business or damage our reputation. In addition, an imposition of further restrictions in these areas could increase our cost of operations, reduce our profits or cause us to forgo development opportunities that would otherwise support growth.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Policy Changes Affecting International Trade Could Adversely Impact the Demand for Our Products and Our Competitive Position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Due to the international scope of our operations, changes in government policies on foreign trade and investment may affect the demand for our products and services, impact the competitive position of our products or prevent us from being able to sell products in certain countries. Our business benefits from free trade agreements, such as the North American Free Trade Agreement and successor agreements, which may include the United States-Mexico-Canada Agreement, and efforts to withdraw from, or substantially modify such agreements, in addition to the implementation of more restrictive trade policies, such as more detailed inspections, higher tariffs, import or export licensing requirements, exchange controls or new barriers to entry, could have a material adverse effect on our results of operations, financial condition or cash flow and that of our customers, vendors and suppliers.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the United Kingdom’s anticipated exit from the European Union has caused and may continue to cause significant volatility in global stock markets, currency exchange rate fluctuations and global economic uncertainty. Although it is unknown what the terms of the United Kingdom’s future relationship with the European Union will be, it is possible there will be greater restrictions on imports and exports between the United Kingdom and the European Union and increased regulatory complexities. Any of these factors could adversely impact customer demand, our relationships with customers and suppliers and our results of operations.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Fluctuations in Foreign Currency Exchange Rates May Adversely Affect Our Results of Operations, Cash Flow, Liquidity or Financial Condition</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our international operations, we are exposed to risk associated with interest rates and value changes in foreign currencies, which may adversely affect our business. Historically, our reported net sales, earnings, cash flow and financial condition have been subjected to fluctuations in foreign exchange rates. Our exchange rate exposure is in the Argentinian Peso, Brazilian Real, British Pound, Chinese Yuan Renminbi, Euro, Hong Kong Dollar, Indian Rupee, Japanese Yen, Korean Won, Mexican Peso and Philippine Peso. While we actively manage the exposure of our foreign currency risk as part of our overall financial risk management policy, we believe we may experience losses from foreign currency exchange rate fluctuations, and such losses may adversely affect our sales, earnings, cash flow, liquidity or financial condition.</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Risks Relating to Adverse Weather Conditions and Natural or Man-made Disasters, Contagious Disease, Terrorist Activity, and War May Adversely Affect Our Business, Financial Condition and Results of Operations</w:t>
      </w:r>
    </w:p>
    <w:p>
      <w:pPr>
        <w:spacing w:after="0" w:line="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including manufacturing or distribution capabilities, and that of our suppliers, business partners and contract manufacturers, to make, move and sell products is critical to our success. From time to time, adverse weather conditions and natural disasters, as well as the potential spread of contagious diseases in locations where we or they own or operate significant operations could cause a disruption in our or our third-party manufacturer’s production and distribution capabilities or a decline in demand for our products and services. In addition, actual or threatened war, terrorist activity, political unrest, or civil strife, such as recent events in Ukraine and Russia, the Middle East, North Korea and other geopolitical uncertainty could have a similar effect. Any one or more of these events may reduce our ability to produce or sell our products which may adversely affect our business, financial condition and results of operations, as well as require additional resources to restore our supply chain.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own and operate factories in the PRC, Brazil and Mexico, third-party manufacturers located in Asia continue to manufacture a portion of our products. Our arrangements with these foreign manufacturers are subject to the risks of doing business abroad, such as tariffs, environmental and trade restrictions, intellectual property protection and enforcement, export license requirements, work stoppages, political and social instability, economic and labor conditions, foreign currency exchange rate fluctuations, changes in laws and policies (including fiscal policies), and other factors, which may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third-party manufacturers may adversely affect our business, operating results, financial condition and cash flows until alternative manufacturing arrangements are secured.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Most of the components used in our products are available from multiple sources. However, we purchase integrated circuits, used principally in our wireless control products, from a small number of key suppliers. To reduce our dependence on our integrated circuit suppliers we continually seek additional sources. We maintain inventories of our integrated circuits, which may be used in part to mitigate, but not eliminate, delays resulting from supply interruptions.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identified alternative sources of supply for our integrated circuit, component parts, and finished goods needs; however, there can be no assurance that we will be able to continue to obtain these inventory purchases on a timely basis.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numerous patents, trade secrets, trademarks, trade names, and know-how that are valuable to our business. However, 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We further believe that our business is not materially dependent upon any single patent, trade secret, trademark, trade name, copyright, and know-how. Despite our efforts to protect such intellectual property and other proprietary information from unauthorized use or disclosure, third parties may attempt to disclose, obtain or use our intellectual property and information without our authorization. Although we rely on the patent, trademark, trade secret and copyright laws of the United States and other countries to protect our intellectual property rights, the laws of some countries may not protect such rights to the same extent as the laws of the United States. Unauthorized use of our intellectual property by third parties, the failure of foreign countries to have laws to protect our intellectual property rights, or an inability to effectively enforce such rights in foreign countries could have an adverse effect on our business.</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 some of our products include or use technology and/or components of third parties. While it may be necessary in the future to seek or renew licenses relating to various aspects of such products, we believe that, based upon past experience and industry practice, such licenses may be obtained on commercially reasonable terms; however, there can be no guarantee that such licenses may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 and Sensing</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currently derive substantial revenue from the sale of wireless remote controls, sensors and home automation products based on IR and RF and other technologies. Other control technologies exist or may be developed that may compete with this technology. In addition, we develop and maintain our own database of IR and RF codes. There are other IR and RF libraries offered by companies that we compete with in the marketplace. The advantage that we may have compared to our competitors is difficult to measure. In addition, if competing wireless control and sensing technology and products gain acceptance and start to be integrated into home electronics devices and home security and automation products that are currently utilizing our remote controllers and sensors, demand for our products may decrease, resulting in decreased operating results, financial condition,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Technology Development Activities May Experience Delays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experience technical, financial, resource or other difficulties or delays related to the further development of our technologies. Delays may have adverse financial effects and may allow competitors with comparable technology offerings to gain an advantage over us in the marketplace or in the standards setting arena. There can be no assurance that we will continue to have adequate staffing or that our development efforts will ultimately be successful. Moreover, certain of our technologies have not been fully tested in commercial use, and it is possible that they may not perform as expected. In such cases, our business, financial condition and operating results may be adversely affected, and our ability to secure new licensees and other business opportunities may be diminished.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Even with having our own factories, we will continue to rely on third-party manufacturers to build a portion of our universal wireless control products. Price is always an issue in winning and retaining business. If customers become increasingly price sensitive, new competition may arise from manufacturers who decide to go into direct competition with us or from current competitors who perform their own manufacturing. If such a trend develops, we may experience downward pressure on our pricing or lose sales, which may have a material adverse effect on our operating results,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Adverse Changes in General Business and Economic Conditions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Adverse changes in general business and economic conditions in the United States and worldwide may reduce the demand for some of our products and adversely affect our results of operations, cash flow, liquidity or financial condition. Higher inflation rates, interest rates, tax rates and unemployment rates, higher labor and health care costs, recessions, changing governmental policies, laws and regulations, increased tariffs, and other economic factors may adversely affect our results of operations, cash flow, liquidity or financial condition. Any such changes may impact our business in a number of ways, including: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deferment of purchases and orders by customers and cyclical nature of portions of our business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Uncertainty about current and future global economic conditions may cause consumers, businesses and governments to defer purchases in response to tighter credit, decreased cash availability and declining consumer confidence. Accordingly, future demand for our products may differ materially from our current expectations.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portions of our business involve the sale of products to sectors of the economy that are cyclical in nature, particularly the retail sector. Our sales to these sectors are affected by the levels of discretionary consumer and business spending. During economic downturns, the levels of consumer and business discretionary spending in these sectors may decrease, and the recovery of these sectors may lag behind the recovery of the overall economy. This decrease in spending will likely reduce the demand for some of our products and may adversely affect our sales, earnings, cash flow or financial condition. Although many of our end markets have shown signs of stabilization and modest improvement from the recent global economic downturn, the recovery has been erratic. A worsening in these sectors may cause a reduction in the demand for some of our products and may adversely impact sales, earnings, cash flow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inability to obtain financing to make purchases from us and/or maintain their business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our customers require substantial financing in order to fund their operations and make purchases from us. The inability of these customers to obtain sufficient credit to finance purchases of our products may adversely impact our financial results. In addition, an economic downturn could result in insolvencies for our customers, which may adversely impact our financial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impact on trade receivables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Credit market conditions may slow our collection efforts as customers experience increased difficulty in obtaining requisite financing, leading to higher than normal accounts receivable balances and longer days sales outstanding. Continuation of these conditions may limit our ability to collect our accounts receivable, which may result in greater expense associated with collection efforts and increased bad debt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impact from increased financial pressures on key suppliers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meet customers' demands depends, in part, on our ability to obtain timely and adequate delivery of quality materials, parts and components from our suppliers. Certain of our components are available only from a single source or limited sources. If certain key suppliers were to become capacity constrained or insolvent as a result of an economic downturn,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from time to time increase our operating expenses to fund greater levels of research and development, sales and marketing activities, development of new distribution channels, improvements in our operational and financial systems and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Our Ability to Generate Cash Depends on Many Factors Beyond Our Control. We Also Depend on the Business of Our Subsidiaries to Satisfy Our Cash Needs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financial results have been, and we anticipate that our future financial results will be, subject to fluctuations. Our ability to generate cash is subject to general economic, financial, competitive, legislative, regulatory and other factors that are beyond our control. We cannot assure you that our business will generate sufficient cash flow from our operations or that future borrowings will be available to us in an amount sufficient to enable us to make payments of our debt, fund our other liquidity needs and make planned capital expenditures.</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degree to which we are currently leveraged could have important consequences for shareholders. For example, it could:</w:t>
      </w:r>
    </w:p>
    <w:p>
      <w:pPr>
        <w:spacing w:after="0" w:line="23" w:lineRule="exact"/>
        <w:rPr>
          <w:sz w:val="20"/>
          <w:szCs w:val="20"/>
          <w:color w:val="auto"/>
        </w:rPr>
      </w:pPr>
    </w:p>
    <w:p>
      <w:pPr>
        <w:ind w:left="1300" w:right="20" w:hanging="320"/>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debt service, reducing the availability of our cash flow to fund working capital, capital expenditures, acquisitions and other general corporate purposes;</w:t>
      </w: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to enable us to react to changes in our business; 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businesses in our industry that have less debt.</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significant portion of our operations are conducted through our subsidiaries. As a result, our ability to generate sufficient cash flow for our needs is dependent on the earnings of our subsidiaries and the payment of those earnings to us in the form of dividends, loans or advances and through repayment of loans or advances from us. Our subsidiaries are separate and distinct legal entities. Our subsidiaries have no obligation to pay any amounts due on our debt or to provide us with funds to meet our cash flow needs, whether in the form of dividends, distributions, loans or other payments. In addition, any payment of dividends, loans or advances by our subsidiaries may be subject to statutory or contractual restrictions. Payments to us by our subsidiaries will also be contingent upon our subsidiaries' earnings and business considerations. Our right to receive any assets of any of our subsidiaries upon their liquidation or reorganization will be effectively subordinated to the claims of that subsidiary's creditors, including trade creditors. In addition, even if we are a creditor of any of our subsidiaries, our rights as a creditor would be subordinate to any security interest in the assets of our subsidiaries and any indebtedness of our subsidiaries senior to that held by us. Further, changes in the laws of foreign jurisdictions in which we operate may adversely affect the ability of some of our foreign subsidiaries to repatriate funds to us.</w:t>
      </w:r>
    </w:p>
    <w:p>
      <w:pPr>
        <w:spacing w:after="0" w:line="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we may fund a portion of our seasonal working capital needs and obtain funding for other general corporate purposes through short-term borrowings backed by our revolving credit facility and other financing facilities. If any of the banks in these credit and financing facilities are unable to perform on their commitments, which may adversely affect our ability to fund seasonal working capital needs and obtain funding for other general corporate purposes, our cash flow, liquidity or financial condition may be adversely impacted. Although we currently have available credit facilities to fund our current operating needs, we cannot be certain that we will be able to replace our existing credit facilities or refinance our existing or future debt when necessary. Our cost of borrowing and ability to access the capital markets are affected not only by market conditions, but also by our debt and credit ratings assigned by the major credit rating agencies. Downgrades in these ratings will increase our cost of borrowing and may have an adverse effect on our access to the capital markets, including our access to the commercial paper market. An inability to access the capital markets may have a material adverse effect on our results of operations, cash flow, liquidity or financial condition. Additionally, any failure to comply with covenants in the instruments governing our debt could result in an event of default which, if not cured or waived, would have a material adverse effect on us.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Price of Our Common Stock is Volatile and May Decline Regardless of Our Operating Performance</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Historically, we have had large fluctuations in the price of our common stock, and such fluctuations may continue. The market price for our common stock is volatile and may fluctuate significantly in response to a number of factors, most of which we cannot control, including:</w:t>
      </w:r>
    </w:p>
    <w:p>
      <w:pPr>
        <w:spacing w:after="0" w:line="8" w:lineRule="exact"/>
        <w:rPr>
          <w:sz w:val="20"/>
          <w:szCs w:val="20"/>
          <w:color w:val="auto"/>
        </w:rPr>
      </w:pPr>
    </w:p>
    <w:p>
      <w:pPr>
        <w:jc w:val="both"/>
        <w:ind w:left="9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 and announcements relating to product and technology development, relationships with new and existing customers, litigation and other legal proceedings in which we are involved and intellectual property impacting us or our business;</w:t>
      </w:r>
    </w:p>
    <w:p>
      <w:pPr>
        <w:spacing w:after="0" w:line="1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concerning strategic transactions, such as spin-offs, joint ventures and acquisitions or divestitures;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financial estimates or ratings by any securities analysts who follow our common stock, our failure to meet these estimates or failure of those analysts to initiate or maintain coverage of our common stock;</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 perceptions as to the likelihood of achievement of near-term goals;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share of significant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or content providing companies generally;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involved in securities litigation, we may incur substantial costs and our resources and the attention of management may be diverted from our business.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officers and directors periodically sell shares of our common stock which they own, many times pursuant to trading plans established under Rule 10b5-1 of the Securities Exchange Act of 1934, as amended, or the Exchange Act. Sales of shares by our officers and directors may not be indicative of their respective opinions of our performance at the time of sale or of our potential future performance. Nonetheless, the market price of our stock may be affected by such sales of shares by our officers and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If Securities or Industry Analysts Fail to Continue Publishing Research About Our Business, Our Stock Price and Trading Volume May Decline</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trading market for our common stock has historically been at low volumes and is influenced by the research and reports that industry or securities analysts publish about us or our business. If one or more of these analysts cease coverage of our company or fail to publish reports on us regularly, we may lose visibility in the financial markets, which in turn may cause our stock price or trading volume to decline.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Sales of Our Equity May Depress the Market Price of Our Common Stock</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several institutional stockholders that own significant blocks of our common stock. If one or more of these stockholders were to sell large portions of their holdings in a relatively short time, for liquidity or other reasons, the prevailing market price of our common stock may be negatively affected. Further, due to our historically low trading volumes, such large stockholders may not be able to sell the number of shares they wish to sell and/or in the time frame in which they wish to sell. Moreover, while such large stockholders are attempting to sell their shares, other stockholders may not be able to sell their shares at the price and time that such other stockholders desire due to the low trading volumes of our stock. Additionally, in March 2016, we issued common stock purchase warrants to Comcast Corporation ("Comcast") to purchase up to 725,000 shares of our common stock at a price of $54.55 per share. The right to exercise the warrants is subject to vesting over three successive two-year periods (the first two-year period commenced on January 1, 2016 and ended on December 31, 2017) based on the level of purchases of goods and services from us by Comcast and its affiliates, as defined in the warrants. To the extent that the warrants vest and Comcast exercises the warrants and sells any of the shares of common stock issuable upon exercise, or the perception that such sales may occur, could adversely affect the market price and/or trading volume of our common stock. Based upon the volume of goods and services purchased by Comcast during the first two-year period which ended on December 31, 2017, Comcast vested in 175,000 of the warrants.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Approved Stock Repurchase Programs May Not Result in a Positive Return of Capital to Stockholders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Periodically, our Board approves programs to repurchase our common stock based upon an assessment of then current value as compared to then trading ranges and investor analyst reports. Also considered in this decision is the effect any such repurchases may have on our cash balances and needs, cash flow, and short- and long-term borrowing. Our stock price has experienced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substantial price volatility in the past and may continue to do so in the future. Additionally, we, the technology industry and the stock market as a whole have experienced extreme stock price and volume fluctuations that have affected stock prices in ways that may have been unrelated to our and these companies’ operating performance. Price volatility over a given period may cause the average price at which we repurchase our own stock to exceed the stock’s price at a given point in time. While we believe our stock price should reflect expectations of future growth and profitability, we also believe our stock price should reflect expectations that our share repurchase program will be fully consummated even though our share repurchase program does not obligate us to acquire any specific number of shares. If we fail to meet expectations related to future growth, profitability, share repurchases or other market expectations, our stock price may decline significantly, which could have a material adverse impact on investor confidence.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any growth in revenues that we achieve may be transitory and should not be relied upon as an indication of future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 There can be no assurance that we will be able to attract new customers in the future.</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certain of our products have more features and are more complex than others and therefore require more end-user technical support. In some instances, we rely on distributors or dealers to provide the initial level of technical support to the end-users. We provide the second level of technical support for bug fixes and other issues at no additional charge. Therefore, as the mix of our products includes more of these complex product lines, support costs may increase, which may have an adverse effect on our business, operating results, financial condition and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New Product Introduction</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remain competitive in the wireless control, AV accessory, home security and home automation markets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introduction of new products may require significant expenditures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economic strength and weakness of our worldwide customers affect our performance. We sell our wireless control products, AV accessory products, and proprietary technologies to subscription broadcasters, original equipment manufacturers, retailers and private label customers. We also supply our products to our wholly owned, non-U.S. subsidiaries and to independent foreign distributors, who in turn distribute our products worldwide.</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generally have a broad and varied customer base, during the years ended December 31, 2018, 2017 and 2016, Comcast and AT&amp;T accounted for sales totaling more than 10% of our net sales. In addition to these two customers, we have some customers that, individually, purchase a large amount of products from us. Although our broad distribution channels help to minimize the impact of the loss of any one customer, the loss of any of these large individual customers, or our inability to maintain order volume with these customers, may have an adverse effect on our sales, operating results, financial condition and cash flows.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Outsourced Labor</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use outside resources to assist us in the development of some of our products and technologies. While we believe that such outside services will continue to be available to us, if they cease to be available, the development of these products and technologies may be substantially delayed, which may have a material adverse effect on our operating results,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Disruptions Caused by Labor Disputes or Organized Labor Activities Could Materially Harm our Business and Reputation</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approximately 1,300 of our Brazil and Mexico employees are represented by labor unions. Disputes with the current labor unions or new union organizing activities could lead to production slowdowns or stoppages and make it difficult or impossible for us to meet scheduled delivery times for product shipments to some of our customers, which could result in a loss of business and material damage to our reputation. In addition, union activity and compliance with international labor standards could result in higher labor costs, which could have a material adverse effect on our financial position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Competition within the wireless control industry is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Other competitors are smaller and may be able to offer more specialized products.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Competition in any of these areas may reduce our sales and adversely affect our earnings or cash flow by resulting in decreased sales volumes, reduced prices and increased costs of manufacturing, distributing and selling our products. There can be no assurance that our product offerings will be, and/or will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the research and development of these products as quickly as we expect, if at all.</w:t>
      </w: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home security and automation industry is highly fragmented and subject to significant competition and pricing pressures. In particular, the monitored security industry providers have highly recognized brands which may drive increased awareness of their security/automation offerings rather than ours, have access to greater capital and resources than us, and may spend significantly more on advertising, marketing and promotional resources which could have a material adverse effect on our ability to drive awareness and demand for our products and services. In addition, cable and telecommunications companies have expanded into the monitored security industry and are bundling their existing offerings with monitored security services. We also face competition from Do-It-Yourself ("DIY") companies that are increasingly providing products which enable customers to self-monitor and control their environments without third-party involvement. Further, DIY providers may also offer professional monitoring with the purchase of their systems and equipment or new IoT devices and services with automated features and capabilities that may be appealing to customers. Continued pricing pressure, improvements in technology and shifts in customer preferences towards self-monitoring or DIY could adversely impact our customer base and/or pricing structure and have a material adverse effect on our business, financial condition,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are Exposed to Greater Risks of Liability for Omissions or System Failures</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 customer or third party believes that he or she has suffered harm to person or property due to an actual or alleged security system failure, he or she (or their insurers) may pursue legal action against us, and the cost of defending the legal action and of any judgment against us could be substantial. In particular, because some of our products and services are intended to help protect lives and real and personal property, we may have greater exposure to litigation risks than businesses that provide other consumer and small business products and services. While our customer contracts contain a series of risk-mitigation provisions that are aimed at limiting our liability and/or limiting a claimant’s ability to pursue legal action against us, in the event of litigation with respect to such matters it is possible that these risk-mitigation provisions may be deemed not applicable or unenforceable and, regardless of the ultimate outcome, we may incur significant costs of defense that could materially and adversely affect our business, financial condition, results of operations and cash flows.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our products are subject to various federal, state, local and international laws governing chemical substances in products, including laws regulating the manufacture and distribution of chemical substances and restricting the presence of certain substances in electronics products. In addition, many of these laws and regulations make producers of electrical goods responsible for collection, recycling, treatment and disposal of recovered products. As a result, we may face significant costs and liabilities in complying with these laws and any future laws and regulations or enforcement policies that may have a material adverse effect upon our operating results, financial condition,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and Impact of Oil Prices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ship products from our factories and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 export fees may be incurred to ship products from foreign manufacturers to the customer. The inability to predict swings in demand or delays in production may increase the cost of freight which may have a material adverse effect on our product margins.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an exposure to oil prices in two forms. The first is in the prices of oil-based materials in our products, which are primarily the plastics and other components that we include in our finished products. The second is in the cost of delivery and freight, which would be passed on by the carriers that we use in the form of higher rates. We record freight-in as a cost of sales and freight-out in operating expenses. Rising oil prices may have an adverse effect on cost of sales and operating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Significant Developments From the Recent and Potential Changes in U.S. Trade Policies Could Have a Material Adverse Effect On Us</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U.S. government has indicated its intent to alter its approach to international trade policy and in some cases to renegotiate, or potentially terminate, certain existing bilateral or multi-lateral trade agreements and treaties with foreign countries. On various dates in July, August and September, the U.S. government implemented additional tariffs of 25% and 10% (increasing to 25% on January 1, 2019), on certain goods imported from China. We manufacture a substantial amount of our products in China and are presently subjected to these additional tariffs and will remain so until the tariff lists remains unaltered. These tariffs, and other governmental action relating to international trade agreements or policies, may adversely impact demand for our products, our costs, customers, suppliers and/or the U.S. economy or certain sectors thereof and, as a result, adversely impact our business. These additional tariffs may cause us to increase prices to our customers which may reduce demand, or, if we are unable to increase prices, result in lowering our margin on products sold. It remains unclear what the U.S. or foreign governments will or will not do with respect to tariffs, international trade agreements and policies on a short-term or long-term basis. 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U.S. economy, which in turn could adversely impact our business, financial condition and results of operations.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these tariffs and other governmental action, we are presently shifting our production capabilities outside of China, which may result in potentially significant, material costs and disruption to our operations as we pursue the processes of recreating a new supply chain, identifying substitute components and establishing new manufacturing locations. Any shift in production outside of China may not be successful due to timing of implementing these changes, and we may not be successful in reducing our costs, or off-setting the impact of tariffs.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Proprietary Technologies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warranty claims and/or returns. An inability to cure or repair such a defect may result in the failure of a product line, temporary or permanent withdrawal of a product or market, damage to our reputation, increased inventory costs, or product re-engineering expenses, any of which may have a material impact on our operating results, financial condition and cash flows.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Business Transactions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historically made strategic acquisitions of businesses in industries adjacent to our core business and will likely acquire additional businesses in the future as part of our long-term growth strategy. The success of future acquisitions depends in large part on our ability to integrate the operations and personnel of the acquired companies and manage challenges that may arise as a result of the acquisitions, particularly when the acquired businesses operate in new or foreign markets. In the event we do not successfully integrate such future acquisitions into our existing operations so as to realize the expected return on our investment, our results of operations, cash flow or financial condition could be adversely affected.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Growth Projections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made projections required for the preparation of financial statements in conformity with accounting principles generally accepted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("GAAP") regarding future events and the financial performance of the Company, including those involving:</w:t>
      </w:r>
    </w:p>
    <w:p>
      <w:pPr>
        <w:spacing w:after="0" w:line="49" w:lineRule="exact"/>
        <w:rPr>
          <w:sz w:val="20"/>
          <w:szCs w:val="20"/>
          <w:color w:val="auto"/>
        </w:rPr>
      </w:pPr>
    </w:p>
    <w:p>
      <w:pPr>
        <w:ind w:left="90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benefits the Company expects as a result of the development and success of products and technologies, including new products and technologies;</w:t>
      </w:r>
    </w:p>
    <w:p>
      <w:pPr>
        <w:spacing w:after="0" w:line="8"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benefits expected by conducting business in Asian and Latin American markets, without which, we may not be able to recover the costs we incur to enter into such markets;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contracts with new and existing customers and new market penetrations;</w:t>
      </w:r>
    </w:p>
    <w:p>
      <w:pPr>
        <w:spacing w:after="0" w:line="63"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expected continued adoption of the Company's technologies in gaming consoles, mobile devices, and other home entertainment and control devices;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expected continued growth in digital TVs, DVRs, PVRs and overall growth in the Company's industry;</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competitors and OTT providers may have on our business; and</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we may experience due to current global and regional economic conditions.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Actual events or results may be unfavorable to management's projections, which may have a material adverse effect on our projected operating results, financial condition and cash flows.</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Additionally, we have goodwill and intangible assets recorded on our consolidated balance sheet. We periodically evaluate the recoverability of the carrying value of our goodwill and intangible assets whenever events or changes in circumstances indicate that such value may not be recoverable. Impairment assessment involves judgment as to assumptions regarding future sales and cash flows and the impact of market conditions on those assumptions. Future events and changing market conditions may impact our assumptions and may result in changes in our estimates of future sales and cash flows that may result in us incurring substantial impairment charges, which would adversely affect our results of operations or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 Projections and Data are Forward-looking in Nature.</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strategy is based on our own projections and on analyst, industry observer and expert projections, which are forward-looking in nature and are inherently subject to risks and uncertainties. The validity of their and our assumptions, the timing and scope of the markets within which we compete, economic conditions, customer buying patterns, the timeliness of equipment development, pricing of products, and availability of capital for infrastructure improvements may affect these predictions. In addition, market data upon which we rely is based on third party reports that may be inaccurate. The inaccuracy of any of these projections and/or market data may adversely affect our operating results and financial condition.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Cybersecurity Issues: Security Breaches, Failure to Maintain the Integrity of and Protect Internal or Customer Data May Result in Faulty Business Decisions, Operational Inefficiencies, Damage to our Reputation and/or Subject Us to Costs, Fines, or Lawsuits</w:t>
      </w:r>
    </w:p>
    <w:p>
      <w:pPr>
        <w:spacing w:after="0" w:line="3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business requires collection, processing, and retention of large volumes of internal and sensitive and confidential customer data, including personally identifiable information of our customers in various information systems that we maintain and in those maintained by third parties with whom we contract to provide services, including in areas such as customer product servicing, human resources outsourcing, website hosting, and various forms of electronic communications. We and third parties who provide services to us also maintain personally identifiable information about our employees. The integrity and protection of that customer, employee, and company data, including proprietary information, is critical to us. If that data is inaccurate or incomplete, we may make faulty decisions. Our customers and employees also have a high expectation that we and our service providers will adequately protect their personal information. Despite the security measures we have in place, our facilities and systems, and those of the retailers, dealers, licensees and other third-party suppliers and vendors with which we do business, may be vulnerable to security breaches, cyber attacks, acts of vandalism or misconduct, computer viruses, misplaced or lost data, programming and/or human errors or other similar events. Any security breach involving the misappropriation, loss or other unauthorized disclosure of confidential customer, employee, supplier or Company information, whether caused by us, an unknown third party, or the retailers, dealers, licensees or other third-party suppliers and vendors with which we do business, could result in losses, severely damage our reputation, expose us to the risks of litigation and liability, disrupt our operations and have a material adverse effect on our business, results of operations and financial condition. As cyber security threats evolve in sophistication and become more prevalent in numerous industries worldwide, we continue to increase our sensitivity and attention to these threats, seek additional investments and resources to address these threats and enhance the security of our facilities and systems and strengthen our controls and procedures implemented to monitor and mitigate these threats. The domestic and international regulatory environment related to information security, data collection and privacy is increasingly rigorous and complex, with new and constantly changing requirements applicable to our business. Compliance with these requirements, including the European Union's General Data Protection Regulation and other domestic and international regulations, could result in additional costs and changes to our business practices.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we rely heavily on computer systems to manage and operate our business, record and process transactions, and manage, support and communicate with our employees, customers, suppliers and other vendors. Computer systems are important to production planning, finance, company operations and customer service, among other business-critical processes. Despite efforts to prevent disruptions to our computer systems, our systems may be affected by damage or interruption from, among other causes, power outages, system failures, computer viruses and other intrusions, including cyber attacks. Computer hardware and storage equipment that is integral to efficient operations, such as email, telephone and other functionality, is concentrated in certain physical locations in the various continents in which we operate. Additionally, we rely on software applications, enterprise cloud storage systems and cloud computing services provided by third-party vendors, and our business may be adversely affected by service disruptions in or security breaches to such third-party systems.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Effectiveness of Our Internal Control Over Financial Reporting</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Section 404 of the Sarbanes-Oxley Act of 2002, we are required to include our assessment of the effectiveness of our internal control over financial reporting in our Annual Report on Form 10-K. Furthermore, our independent registered public accounting firm is required to audit our internal control over financial reporting and separately report on whether it believes we maintain, in all material respects, effective internal control over financial reporting. Although we believe that we currently have adequate internal control procedures in place, we cannot be certain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Our Governing Corporate Documents Contain, and Our Board of Directors May Implement, Antitakeover Provisions that May Deter Takeover Attempts</w:t>
      </w:r>
    </w:p>
    <w:p>
      <w:pPr>
        <w:spacing w:after="0" w:line="102"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Our governing corporate documents, among other things, require super-majority votes in connection with certain mergers and similar transactions. In addition, our Board of Directors may, without stockholder approval, implement other anti-takeover defenses, such as a stockholder's rights plan.</w:t>
      </w:r>
    </w:p>
    <w:p>
      <w:pPr>
        <w:spacing w:after="0" w:line="15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u w:val="single" w:color="auto"/>
          <w:color w:val="auto"/>
        </w:rPr>
        <w:t>Regulations Related to the Use of Conflict-Free Minerals May Increase Our Costs and Expenses, and an Inability to Certify that Our Products are Conflict-Free May Adversely Affect Customer Relationships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contains provisions to improve the transparency and accountability of the use by public companies in their products of minerals mined in certain countries and to prevent the sourcing of such "conflict" minerals. As a result, the SEC enacted new annual disclosure and reporting requirements for public companies that use these minerals in their products, which apply to us. Under the final rules, we are required to conduct due diligence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determine the source of any conflict minerals used in our products and to make annual disclosures in filings with the SEC. Because our supply chain is broad-based and complex, we may not be able to easily verify the origins for all minerals used in our products. In addition, the new rules may reduce the number of suppliers who provide components and products containing conflict-free minerals and thus may increase the cost of the components used in manufacturing our products and the costs of our products to us. Any increased costs and expenses may have a material adverse impact on our financial condition and results of operations. Further, if we are unable to certify that our products are conflict free, we may face challenges with our customers, which may place us at a competitive disadvantage, and our reputation may be harmed.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are Subject to a Wide Variety of Complex Domestic and Foreign Laws and Regulations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a wide variety of complex domestic and foreign laws and regulations, and legal compliance risks, including securities laws, tax laws, employment and pension-related laws, competition laws, U.S. and foreign export and trading laws, and laws governing improper business practices. We are affected by new laws and regulations, and changes to existing laws and regulations, including interpretations by courts and regulators. From time to time, our Company, our operations and the industries in which we operate are being reviewed or investigated by regulators, which may lead to enforcement actions or the assertion of private litigation claims and damages.</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believe that we have adopted appropriate risk management and compliance programs to mitigate these risks, the global and diverse nature of our operations means that compliance risks will continue to exist. Investigations, examinations and other proceedings, the nature and outcome of which cannot be predicted, will likely arise from time to time. These investigations, examinations and other proceedings may subject us to significant liability and require us to make significant accruals or pay significant settlements, fines and penalties, which may have a material adverse effect on our results of operations, cash flow or financial condition.</w:t>
      </w:r>
    </w:p>
    <w:p>
      <w:pPr>
        <w:spacing w:after="0" w:line="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tax laws and regulations in the United States and multiple foreign jurisdictions. We are affected by changes in tax laws and regulations, as well as changes in related interpretations and other tax guidance. In the ordinary course of our business, we are subject to examinations and investigations by various tax authorities and other regulators. In addition to existing examinations and investigations, there could be additional examinations and investigations in the future, and existing examinations and investigations could be expanded.</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22, 2017, U.S. tax reform legislation known as the Tax Cuts and Jobs Act (the “Tax Act”) was signed into law. The Tax Act made substantial changes to then-current U.S. tax law, including a reduction in the corporate tax rate, a limitation on deductibility of interest expense, a limitation on the use of net operating losses to offset future taxable income, the allowance of immediate expensing of capital expenditures, deemed repatriation of foreign earnings and significant changes to the taxation of foreign earnings going forward. The Tax Act contains numerous, complex provisions impacting U.S. multinational companies, and we continue to review and assess the legislative language and guidance promulgated by regulators to determine the Tax Act's full impact on us. The full extent of the impact remains uncertain at this time, and our current interpretations of, and assumptions regarding, the Tax Act are subject to additional regulatory or administrative developments, including any regulations or additional guidance promulgated by the U.S. Internal Revenue Service or other regulators. Further, we can provide no assurance our current interpretations of, and assumptions regarding, the Tax Act and any related regulations or guidance will not be reviewed or investigated by regulators in the future. As a result, the Tax Act, including any regulations or other guidance promulgated by the U.S. Internal Revenue Service or other regulators, and other tax laws could have significant effects on us, some of which could materially and adversely impact our financial condition, results of operations and cash flow.</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non-income tax risks, we estimate material loss contingencies and accrue for such loss contingencies as required by U.S. generally accepted accounting principles based on our assessment of contingencies where liability is deemed probable and reasonably estimable in light of the facts and circumstances known to us at a particular point in time. Subsequent developments may affect our assessment and estimates of the loss contingency. In the event the loss contingency is ultimately determined to be significantly higher than currently accrued, the recording of the additional liability may result in a material adverse effect on our results of operations or financial condition for the annual or interim period during which such additional liability is accrued. In those cases where no accrual is recorded because it is not probable a liability has been incurred and cannot be reasonably estimated, any potential liability ultimately determined to be attributable to us may result in a material adverse effect on our results of operations, cash flow or financial condition for the annual or interim period during which such liability is accrued or paid. For income tax risks, we recognize tax benefits based on our assessment that a tax benefit has a greater than 50% likelihood of being sustained upon ultimate settlement with the applicable taxing authority that has full knowledge of all relevant facts. For those income tax positions where we determine there is not a greater than 50% likelihood such tax benefits will be sustained, we do not recognize a tax benefit in our financial statements. Subsequent events may cause us to change our assessment of the likelihood of sustaining a previously-recognized benefit which could result in a material adverse effect on our results of operations, cash flow or financial position for the annual or interim period during which such liability is accrued or paid.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We are Required to Comply with Numerous Complex and Increasingly Stringent Domestic and Foreign Health, Safety and Environmental Laws and Regulations, the Cost of Which is Likely to Increase</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are subject to various domestic and foreign health, safety and environmental laws and regulations. These laws and regulations not only govern our current operations and products, but also impose potential liability on us for our past operations. We expect health, safety and environmental laws and regulations to impose increasingly stringent requirements upon our industry and us in the future. Our costs to comply with these laws and regulations may increase as these requirements become more stringent in the future, and these increased costs may adversely affect our results of operations, cash flow or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Financial Accounting Standards or Policies May Affect Our Reported Financial Condition or Results of Operations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the Financial Accounting Standards Board (the "FASB") and the SEC change their guidance governing the form and content of our external financial statements. In addition, accounting standard setters and those who interpret GAAP, such as the FASB and the SEC may change or even reverse their previous interpretations or positions with regard to how these standards should be applied. A change in accounting principles or their interpretation can have a significant effect on our reported results. In certain cases, the company may be required to apply new or revised guidance retroactively or apply existing guidance differently. For example, in May 2014, the FASB issued ASU 2014-09, "Revenue from Contracts with Customers," which impacted the timing of revenue recognition for certain new and existing contracts with customers beginning January 1, 2018. Additionally, in February 2016, the FASB issued ASU 2016-02, “Leases,” which changes the accounting for leases. These and other potential changes in reporting standards may substantially change our reporting practices in a number of areas, including revenue recognition and recording of assets and liabilities, and affect our reported financial condition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global headquarters is located in Scottsdale, Arizona. We utilize the following facilities: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4"/>
                <w:szCs w:val="14"/>
                <w:color w:val="auto"/>
              </w:rPr>
            </w:pPr>
          </w:p>
        </w:tc>
        <w:tc>
          <w:tcPr>
            <w:tcW w:w="390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Purpose or Use</w:t>
            </w:r>
          </w:p>
        </w:tc>
        <w:tc>
          <w:tcPr>
            <w:tcW w:w="100" w:type="dxa"/>
            <w:vAlign w:val="bottom"/>
            <w:vMerge w:val="restart"/>
          </w:tcPr>
          <w:p>
            <w:pPr>
              <w:spacing w:after="0"/>
              <w:rPr>
                <w:sz w:val="14"/>
                <w:szCs w:val="1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b w:val="1"/>
                <w:bCs w:val="1"/>
                <w:color w:val="auto"/>
              </w:rPr>
              <w:t>Square</w:t>
            </w:r>
          </w:p>
        </w:tc>
        <w:tc>
          <w:tcPr>
            <w:tcW w:w="376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Feet</w:t>
            </w:r>
          </w:p>
        </w:tc>
        <w:tc>
          <w:tcPr>
            <w:tcW w:w="100" w:type="dxa"/>
            <w:vAlign w:val="bottom"/>
            <w:tcBorders>
              <w:bottom w:val="single" w:sz="8" w:color="CCEEFF"/>
            </w:tcBorders>
          </w:tcPr>
          <w:p>
            <w:pPr>
              <w:spacing w:after="0"/>
              <w:rPr>
                <w:sz w:val="16"/>
                <w:szCs w:val="16"/>
                <w:color w:val="auto"/>
              </w:rPr>
            </w:pPr>
          </w:p>
        </w:tc>
        <w:tc>
          <w:tcPr>
            <w:tcW w:w="3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Scottsdale, Arizona</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Corporate headquarters, engineering, research and</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25,106</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Leased, expires February 27, 2027</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Santa Ana, California</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36,184</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October 31, 2022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Euclid, Ohio</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Call center</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12,728</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June 30, 2025</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Carlsbad, California</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27,141</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November 30, 2019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San Mateo, California</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5,826</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January 31, 2023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Poway, California</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November 30, 2021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Enschede, Netherlands</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European headquarters and call center</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19,137</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February 28, 2024</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Bangalore, India</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21,326</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January 31, 2019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Hong Kong, PRC</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Asian headquarters</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June 30, 2019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Suzhou, PRC</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5,705</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December 31, 2020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Yangzhou, PRC </w:t>
            </w:r>
            <w:r>
              <w:rPr>
                <w:rFonts w:ascii="Arial" w:cs="Arial" w:eastAsia="Arial" w:hAnsi="Arial"/>
                <w:sz w:val="25"/>
                <w:szCs w:val="25"/>
                <w:color w:val="auto"/>
                <w:vertAlign w:val="superscript"/>
              </w:rPr>
              <w:t>(1)</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1,204,697</w:t>
            </w:r>
          </w:p>
        </w:tc>
        <w:tc>
          <w:tcPr>
            <w:tcW w:w="100" w:type="dxa"/>
            <w:vAlign w:val="bottom"/>
            <w:shd w:val="clear" w:color="auto" w:fill="CCEEFF"/>
          </w:tcPr>
          <w:p>
            <w:pPr>
              <w:spacing w:after="0"/>
              <w:rPr>
                <w:sz w:val="23"/>
                <w:szCs w:val="23"/>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leased, expires July 31, 2055</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Yangzhou, PRC</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77,888</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October 31, 2025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Yangzhou, PRC</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90,201</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September 30, 2022</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Guangzhou, PRC</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Service Center</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26,850</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April 14, 2020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Qinzhou, PRC</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321,313</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May 31, 2023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Qinzhou, PRC</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345,662</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February 28, 2022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Manaus, Brazil</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56,120</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August 19, 2022</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Monterrey, Mexico</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101,571</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September 20, 2023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Monterrey, Mexico</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145,185</w:t>
            </w:r>
          </w:p>
        </w:tc>
        <w:tc>
          <w:tcPr>
            <w:tcW w:w="100" w:type="dxa"/>
            <w:vAlign w:val="bottom"/>
            <w:shd w:val="clear" w:color="auto" w:fill="CCEEFF"/>
          </w:tcPr>
          <w:p>
            <w:pPr>
              <w:spacing w:after="0"/>
              <w:rPr>
                <w:sz w:val="21"/>
                <w:szCs w:val="21"/>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Leased, expires December 20, 2023</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Private ownership of land in mainland PRC is not allowed. All land in the PRC is owned by the government and cannot be sold to any individual or entity. These facilities were developed on land which we lease from the PRC government.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facilities listed above, we lease space in various international locations, primarily for use as sales offices.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expiration of our facilities leases, we believe we will obtain lease agreements under similar terms; however, there can be no assurance that we will receive similar terms or that any offer to renew will be accepted.</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12" for additional information regarding our obligations under leases.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in "ITEM 8. FINANCIAL STATEMENTS AND SUPPLEMENTARY DATA — Notes to Consolidated Financial Statements — Note 13" is incorporated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trades on the NASDAQ Global Select Market under the symbol UEIC. Our stockholders of record on March 11, 2019 numbered 135. We have never paid cash dividends on our common stock, nor do we currently intend to pay any cash dividends on our common stock in the foreseeable future. We intend to retain our earnings, if any, for the future operation and expansion of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fourth quarter, our total stock repurchases, average price paid per share and the maximum number of shares that may yet be purchased on the open market under our plans or programs: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Number of Shares</w:t>
            </w:r>
          </w:p>
        </w:tc>
        <w:tc>
          <w:tcPr>
            <w:tcW w:w="140" w:type="dxa"/>
            <w:vAlign w:val="bottom"/>
          </w:tcPr>
          <w:p>
            <w:pPr>
              <w:spacing w:after="0"/>
              <w:rPr>
                <w:sz w:val="14"/>
                <w:szCs w:val="14"/>
                <w:color w:val="auto"/>
              </w:rPr>
            </w:pPr>
          </w:p>
        </w:tc>
        <w:tc>
          <w:tcPr>
            <w:tcW w:w="144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Total Dollar Value of</w:t>
            </w:r>
          </w:p>
        </w:tc>
        <w:tc>
          <w:tcPr>
            <w:tcW w:w="100" w:type="dxa"/>
            <w:vAlign w:val="bottom"/>
          </w:tcPr>
          <w:p>
            <w:pPr>
              <w:spacing w:after="0"/>
              <w:rPr>
                <w:sz w:val="14"/>
                <w:szCs w:val="14"/>
                <w:color w:val="auto"/>
              </w:rPr>
            </w:pPr>
          </w:p>
        </w:tc>
        <w:tc>
          <w:tcPr>
            <w:tcW w:w="1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Maximum Dollar Value</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42"/>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Purchased as Part of</w:t>
            </w:r>
          </w:p>
        </w:tc>
        <w:tc>
          <w:tcPr>
            <w:tcW w:w="140" w:type="dxa"/>
            <w:vAlign w:val="bottom"/>
          </w:tcPr>
          <w:p>
            <w:pPr>
              <w:spacing w:after="0"/>
              <w:rPr>
                <w:sz w:val="16"/>
                <w:szCs w:val="16"/>
                <w:color w:val="auto"/>
              </w:rPr>
            </w:pPr>
          </w:p>
        </w:tc>
        <w:tc>
          <w:tcPr>
            <w:tcW w:w="144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of Shares that May Yet</w:t>
            </w:r>
          </w:p>
        </w:tc>
        <w:tc>
          <w:tcPr>
            <w:tcW w:w="0" w:type="dxa"/>
            <w:vAlign w:val="bottom"/>
          </w:tcPr>
          <w:p>
            <w:pPr>
              <w:spacing w:after="0"/>
              <w:rPr>
                <w:sz w:val="1"/>
                <w:szCs w:val="1"/>
                <w:color w:val="auto"/>
              </w:rPr>
            </w:pPr>
          </w:p>
        </w:tc>
      </w:tr>
      <w:tr>
        <w:trPr>
          <w:trHeight w:val="149"/>
        </w:trPr>
        <w:tc>
          <w:tcPr>
            <w:tcW w:w="3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260" w:type="dxa"/>
            <w:vAlign w:val="bottom"/>
          </w:tcPr>
          <w:p>
            <w:pPr>
              <w:jc w:val="right"/>
              <w:ind w:right="2"/>
              <w:spacing w:after="0" w:line="149" w:lineRule="exact"/>
              <w:rPr>
                <w:sz w:val="20"/>
                <w:szCs w:val="20"/>
                <w:color w:val="auto"/>
              </w:rPr>
            </w:pPr>
            <w:r>
              <w:rPr>
                <w:rFonts w:ascii="Arial" w:cs="Arial" w:eastAsia="Arial" w:hAnsi="Arial"/>
                <w:sz w:val="14"/>
                <w:szCs w:val="14"/>
                <w:b w:val="1"/>
                <w:bCs w:val="1"/>
                <w:color w:val="auto"/>
                <w:w w:val="94"/>
              </w:rPr>
              <w:t>Shares Purchased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40" w:type="dxa"/>
            <w:vAlign w:val="bottom"/>
          </w:tcPr>
          <w:p>
            <w:pPr>
              <w:spacing w:after="0"/>
              <w:rPr>
                <w:sz w:val="12"/>
                <w:szCs w:val="12"/>
                <w:color w:val="auto"/>
              </w:rPr>
            </w:pPr>
          </w:p>
        </w:tc>
        <w:tc>
          <w:tcPr>
            <w:tcW w:w="14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Be Purchased Under the</w:t>
            </w:r>
          </w:p>
        </w:tc>
        <w:tc>
          <w:tcPr>
            <w:tcW w:w="0" w:type="dxa"/>
            <w:vAlign w:val="bottom"/>
          </w:tcPr>
          <w:p>
            <w:pPr>
              <w:spacing w:after="0"/>
              <w:rPr>
                <w:sz w:val="1"/>
                <w:szCs w:val="1"/>
                <w:color w:val="auto"/>
              </w:rPr>
            </w:pPr>
          </w:p>
        </w:tc>
      </w:tr>
      <w:tr>
        <w:trPr>
          <w:trHeight w:val="162"/>
        </w:trPr>
        <w:tc>
          <w:tcPr>
            <w:tcW w:w="3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Plans or Programs</w:t>
            </w: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2"/>
              </w:rPr>
              <w:t xml:space="preserve">Plans or Programs </w:t>
            </w:r>
            <w:r>
              <w:rPr>
                <w:rFonts w:ascii="Arial" w:cs="Arial" w:eastAsia="Arial" w:hAnsi="Arial"/>
                <w:sz w:val="8"/>
                <w:szCs w:val="8"/>
                <w:b w:val="1"/>
                <w:bCs w:val="1"/>
                <w:color w:val="auto"/>
                <w:w w:val="92"/>
              </w:rPr>
              <w:t>(3)</w:t>
            </w:r>
          </w:p>
        </w:tc>
        <w:tc>
          <w:tcPr>
            <w:tcW w:w="0" w:type="dxa"/>
            <w:vAlign w:val="bottom"/>
          </w:tcPr>
          <w:p>
            <w:pPr>
              <w:spacing w:after="0"/>
              <w:rPr>
                <w:sz w:val="1"/>
                <w:szCs w:val="1"/>
                <w:color w:val="auto"/>
              </w:rPr>
            </w:pPr>
          </w:p>
        </w:tc>
      </w:tr>
      <w:tr>
        <w:trPr>
          <w:trHeight w:val="244"/>
        </w:trPr>
        <w:tc>
          <w:tcPr>
            <w:tcW w:w="3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2018 - October 31, 2018</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12,736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404,221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43"/>
        </w:trPr>
        <w:tc>
          <w:tcPr>
            <w:tcW w:w="3760" w:type="dxa"/>
            <w:vAlign w:val="bottom"/>
            <w:gridSpan w:val="2"/>
          </w:tcPr>
          <w:p>
            <w:pPr>
              <w:ind w:left="40"/>
              <w:spacing w:after="0"/>
              <w:rPr>
                <w:sz w:val="20"/>
                <w:szCs w:val="20"/>
                <w:color w:val="auto"/>
              </w:rPr>
            </w:pPr>
            <w:r>
              <w:rPr>
                <w:rFonts w:ascii="Arial" w:cs="Arial" w:eastAsia="Arial" w:hAnsi="Arial"/>
                <w:sz w:val="18"/>
                <w:szCs w:val="18"/>
                <w:color w:val="auto"/>
              </w:rPr>
              <w:t>November 1, 2018 - November 30, 2018</w:t>
            </w:r>
          </w:p>
        </w:tc>
        <w:tc>
          <w:tcPr>
            <w:tcW w:w="1260" w:type="dxa"/>
            <w:vAlign w:val="bottom"/>
          </w:tcPr>
          <w:p>
            <w:pPr>
              <w:jc w:val="right"/>
              <w:ind w:right="42"/>
              <w:spacing w:after="0"/>
              <w:rPr>
                <w:sz w:val="20"/>
                <w:szCs w:val="20"/>
                <w:color w:val="auto"/>
              </w:rPr>
            </w:pPr>
            <w:r>
              <w:rPr>
                <w:rFonts w:ascii="Arial" w:cs="Arial" w:eastAsia="Arial" w:hAnsi="Arial"/>
                <w:sz w:val="18"/>
                <w:szCs w:val="18"/>
                <w:color w:val="auto"/>
              </w:rPr>
              <w:t>10,331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34.04</w:t>
            </w:r>
          </w:p>
        </w:tc>
        <w:tc>
          <w:tcPr>
            <w:tcW w:w="100" w:type="dxa"/>
            <w:vAlign w:val="bottom"/>
          </w:tcPr>
          <w:p>
            <w:pPr>
              <w:spacing w:after="0"/>
              <w:rPr>
                <w:sz w:val="21"/>
                <w:szCs w:val="21"/>
                <w:color w:val="auto"/>
              </w:rPr>
            </w:pP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9,300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40"/>
              <w:spacing w:after="0"/>
              <w:rPr>
                <w:sz w:val="20"/>
                <w:szCs w:val="20"/>
                <w:color w:val="auto"/>
              </w:rPr>
            </w:pPr>
            <w:r>
              <w:rPr>
                <w:rFonts w:ascii="Arial" w:cs="Arial" w:eastAsia="Arial" w:hAnsi="Arial"/>
                <w:sz w:val="18"/>
                <w:szCs w:val="18"/>
                <w:color w:val="auto"/>
              </w:rPr>
              <w:t>317,991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4,682,009</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2018 - December 31, 2018</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17,007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26.79</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9,500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268,321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4,413,688</w:t>
            </w:r>
          </w:p>
        </w:tc>
        <w:tc>
          <w:tcPr>
            <w:tcW w:w="0" w:type="dxa"/>
            <w:vAlign w:val="bottom"/>
          </w:tcPr>
          <w:p>
            <w:pPr>
              <w:spacing w:after="0"/>
              <w:rPr>
                <w:sz w:val="1"/>
                <w:szCs w:val="1"/>
                <w:color w:val="auto"/>
              </w:rPr>
            </w:pPr>
          </w:p>
        </w:tc>
      </w:tr>
      <w:tr>
        <w:trPr>
          <w:trHeight w:val="257"/>
        </w:trPr>
        <w:tc>
          <w:tcPr>
            <w:tcW w:w="37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rPr>
              <w:t>40,074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30,300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990,533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80" w:hanging="332"/>
        <w:spacing w:after="0" w:line="252"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Of the repurchases in October, November and December, 1,236, 1,031 and 7,507 shares, respectively, represent common shares of the Company that were owned and tendered by employees to satisfy tax withholding obligations in connection with the vesting of restricted shares.</w:t>
      </w:r>
    </w:p>
    <w:p>
      <w:pPr>
        <w:spacing w:after="0" w:line="81" w:lineRule="exact"/>
        <w:rPr>
          <w:rFonts w:ascii="Arial" w:cs="Arial" w:eastAsia="Arial" w:hAnsi="Arial"/>
          <w:sz w:val="22"/>
          <w:szCs w:val="22"/>
          <w:color w:val="auto"/>
          <w:vertAlign w:val="superscript"/>
        </w:rPr>
      </w:pPr>
    </w:p>
    <w:p>
      <w:pPr>
        <w:ind w:left="340" w:hanging="332"/>
        <w:spacing w:after="0" w:line="216"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Amounts in this column reflect the weighted average price paid for shares purchased under our share repurchase authorizations, inclusive of commissions paid to brokers.</w:t>
      </w:r>
    </w:p>
    <w:p>
      <w:pPr>
        <w:spacing w:after="0" w:line="95" w:lineRule="exact"/>
        <w:rPr>
          <w:rFonts w:ascii="Arial" w:cs="Arial" w:eastAsia="Arial" w:hAnsi="Arial"/>
          <w:sz w:val="25"/>
          <w:szCs w:val="25"/>
          <w:color w:val="auto"/>
          <w:vertAlign w:val="superscript"/>
        </w:rPr>
      </w:pPr>
    </w:p>
    <w:p>
      <w:pPr>
        <w:jc w:val="both"/>
        <w:ind w:left="340" w:hanging="332"/>
        <w:spacing w:after="0" w:line="262"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On October 30, 2018, our board of directors approved a repurchase plan authorizing the repurchase of up to $5.0 million of our common stock. Under these authorizations, shares may be repurchased in privately negotiated and/or open market transactions, including under plans complying with Rule 10b5-1 under the Exchange Act. On December 31, 2018, we had $4.4 million of authorized repurchases remaining under the Board's authorizations.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regarding our equity compensation plans, including both stockholder approved plans and plans not approved by stockholders, is incorporated by reference to "ITEM 12. SECURITY OWNERSHIP OF CERTAIN BENEFICIAL OWNERS AND MANAGEMENT AND RELATED STOCKHOLDER MATTERS" under the caption "Equity Compensation Plan Information" and "ITEM 8. FINANCIAL STATEMENTS AND SUPPLEMENTARY DATA — Notes to Consolidated Financial Statements — Note 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Chart</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graph and table compares the cumulative total stockholder return with respect to our common stock versus the cumulative total return of the Standard &amp; Poor's Small Cap 600 (the "S&amp;P Small Cap 600"), the NASDAQ Composite Index, and the Peer Group Index for the five-year period ended December 31, 2018. The comparison assumes that $100 was invested on December 31, 2013 in each of our common stock, S&amp;P Small Cap 600, the NASDAQ Composite Index, and the Peer Group Index and that all dividends were reinvested. We have not paid any dividends and, therefore, our cumulative total return calculation is based solely upon stock price appreciation and not upon reinvestment of dividends. The graph and table depicts year-end values based on actual market value increases and decreases relative to the initial investment of $100, based on information provided for each calendar year by the NASDAQ Stock Market and the New York Stock Exchange.</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comparisons in the graph and table below are based on historical data and are not intended to forecast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83185</wp:posOffset>
            </wp:positionV>
            <wp:extent cx="5840095" cy="3302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0095"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12/31/2013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12/31/2014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12/31/2018</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Universal Electronics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S&amp;P Small Cap 600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127</w:t>
            </w: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Composite Index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w:t>
            </w:r>
          </w:p>
        </w:tc>
      </w:tr>
      <w:tr>
        <w:trPr>
          <w:trHeight w:val="341"/>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Peer Group Index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143</w:t>
            </w:r>
          </w:p>
        </w:tc>
      </w:tr>
    </w:tbl>
    <w:p>
      <w:pPr>
        <w:spacing w:after="0" w:line="22" w:lineRule="exact"/>
        <w:rPr>
          <w:sz w:val="20"/>
          <w:szCs w:val="20"/>
          <w:color w:val="auto"/>
        </w:rPr>
      </w:pPr>
    </w:p>
    <w:p>
      <w:pPr>
        <w:ind w:left="820" w:hanging="326"/>
        <w:spacing w:after="0" w:line="216" w:lineRule="auto"/>
        <w:tabs>
          <w:tab w:leader="none" w:pos="82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Companies in the Peer Group Index are as follows: TiVo Corporation (formerly Rovi Corporation), Logitech International, Dolby Laboratories, Inc., and VOXX International Corp.</w:t>
      </w:r>
    </w:p>
    <w:p>
      <w:pPr>
        <w:spacing w:after="0" w:line="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presented above is as of December 31, 2013 through December 31, 2018. This information should not be deemed to be "soliciting material" or to be "filed" with the SEC or subject to the liabilities of Section 18 of the Exchange Act nor should this information be incorporated by reference into any prior or future filings under the Exchange Act, except to the extent that we specifically incorporate it by reference into a filing.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below is not necessarily indicative of the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which are incorporated herein by reference, in order to further understand the factors that may affect the comparability of the financial data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center"/>
              <w:ind w:left="872"/>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4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680,241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695,790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651,371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602,833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562,329</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10,670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25,397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35,919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41,280</w:t>
            </w:r>
          </w:p>
        </w:tc>
      </w:tr>
      <w:tr>
        <w:trPr>
          <w:trHeight w:val="27"/>
        </w:trPr>
        <w:tc>
          <w:tcPr>
            <w:tcW w:w="46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Net income (loss) attributable to Universal Electronics Inc. $</w:t>
            </w: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11,924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(10,323)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20,354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29,174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32,534</w:t>
            </w:r>
          </w:p>
        </w:tc>
      </w:tr>
      <w:tr>
        <w:trPr>
          <w:trHeight w:val="229"/>
        </w:trPr>
        <w:tc>
          <w:tcPr>
            <w:tcW w:w="4320" w:type="dxa"/>
            <w:vAlign w:val="bottom"/>
          </w:tcPr>
          <w:p>
            <w:pPr>
              <w:ind w:left="40"/>
              <w:spacing w:after="0"/>
              <w:rPr>
                <w:sz w:val="20"/>
                <w:szCs w:val="20"/>
                <w:color w:val="auto"/>
              </w:rPr>
            </w:pPr>
            <w:r>
              <w:rPr>
                <w:rFonts w:ascii="Arial" w:cs="Arial" w:eastAsia="Arial" w:hAnsi="Arial"/>
                <w:sz w:val="18"/>
                <w:szCs w:val="18"/>
                <w:color w:val="auto"/>
              </w:rPr>
              <w:t>Earnings (loss) per share attributable to Universal</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320" w:type="dxa"/>
            <w:vAlign w:val="bottom"/>
          </w:tcPr>
          <w:p>
            <w:pPr>
              <w:ind w:left="40"/>
              <w:spacing w:after="0"/>
              <w:rPr>
                <w:sz w:val="20"/>
                <w:szCs w:val="20"/>
                <w:color w:val="auto"/>
              </w:rPr>
            </w:pPr>
            <w:r>
              <w:rPr>
                <w:rFonts w:ascii="Arial" w:cs="Arial" w:eastAsia="Arial" w:hAnsi="Arial"/>
                <w:sz w:val="18"/>
                <w:szCs w:val="18"/>
                <w:color w:val="auto"/>
              </w:rPr>
              <w:t>Electronics Inc.:</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2.06</w:t>
            </w:r>
          </w:p>
        </w:tc>
      </w:tr>
      <w:tr>
        <w:trPr>
          <w:trHeight w:val="243"/>
        </w:trPr>
        <w:tc>
          <w:tcPr>
            <w:tcW w:w="43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2.01</w:t>
            </w:r>
          </w:p>
        </w:tc>
      </w:tr>
      <w:tr>
        <w:trPr>
          <w:trHeight w:val="27"/>
        </w:trPr>
        <w:tc>
          <w:tcPr>
            <w:tcW w:w="4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earnings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13,948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14,351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14,465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15,248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15,781</w:t>
            </w:r>
          </w:p>
        </w:tc>
      </w:tr>
      <w:tr>
        <w:trPr>
          <w:trHeight w:val="27"/>
        </w:trPr>
        <w:tc>
          <w:tcPr>
            <w:tcW w:w="4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14,060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14,764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15,542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16,152</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34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4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Operating expenses as a % of net sales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4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 (deficit)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Net income (loss) as a % of net sales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4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on average assets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521"/>
        </w:trPr>
        <w:tc>
          <w:tcPr>
            <w:tcW w:w="4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4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100,597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74,362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108,291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183,600</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Ratio of current assets to current liabilities</w:t>
            </w:r>
          </w:p>
        </w:tc>
        <w:tc>
          <w:tcPr>
            <w:tcW w:w="340" w:type="dxa"/>
            <w:vAlign w:val="bottom"/>
          </w:tcPr>
          <w:p>
            <w:pPr>
              <w:spacing w:after="0"/>
              <w:rPr>
                <w:sz w:val="21"/>
                <w:szCs w:val="21"/>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2.3</w:t>
            </w:r>
          </w:p>
        </w:tc>
      </w:tr>
      <w:tr>
        <w:trPr>
          <w:trHeight w:val="27"/>
        </w:trPr>
        <w:tc>
          <w:tcPr>
            <w:tcW w:w="4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555,596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608,430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521,036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495,220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463,070</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53,207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62,438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50,611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52,966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112,521</w:t>
            </w:r>
          </w:p>
        </w:tc>
      </w:tr>
      <w:tr>
        <w:trPr>
          <w:trHeight w:val="27"/>
        </w:trPr>
        <w:tc>
          <w:tcPr>
            <w:tcW w:w="4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 of credit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101,500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138,000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49,987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262,960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253,549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280,510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257,908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315,621</w:t>
            </w:r>
          </w:p>
        </w:tc>
      </w:tr>
      <w:tr>
        <w:trPr>
          <w:trHeight w:val="27"/>
        </w:trPr>
        <w:tc>
          <w:tcPr>
            <w:tcW w:w="4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Book value per share </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19.03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19.85</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w w:val="99"/>
              </w:rPr>
              <w:t>Ratio of liabilities to liabilities and stockholders’ equity</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52.7 %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w:t>
            </w:r>
          </w:p>
        </w:tc>
      </w:tr>
    </w:tbl>
    <w:p>
      <w:pPr>
        <w:spacing w:after="0" w:line="17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Book value per share is defined as stockholders’ equity divided by common shares issued less treasury stock.</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comparability of information for 2018, 2017, 2016 and 2015 compared to previous years is affected by the acquisitions of the net assets of Ecolink during the third quarter of 2015 and RCS during the second quarter of 2017. See "ITEM 8. FINANCIAL STATEMENTS AND SUPPLEMENTARY DATA — Notes to Consolidated Financial Statements — Note 22" for further information.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develop control and sensor technology solutions and manufacture a broad line of pre-programmed and universal remote control products, AV accessories and intelligent wireless security and smart home products dedicated to redefining the home entertainment, automation and security experience. Our customers operate primarily in the consumer electronics market and include subscription broadcasters, OEMs, international retailers, private label brands, pro-security installers and companies in the computing industry. We also sell integrated circuits, on which our software and device control database is embedded, and license our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beginning in 1986, we have compiled an extensive device control database that covers over one million individual device functions and approximately 8,600 unique consumer electronic brands. QuickSet®, our proprietary software, can automatically detect, identify and enable the appropriate control commands for home entertainment, automation and appliances like air conditioners. Our library is regularly updated with new control functions captured directly from devices, remote controls and manufacturer specifications to ensure the accuracy and integrity of our database and control engine. Our universal remote control library contains device codes that are capable of controlling virtually all set-top boxes, televisions, audio components, DVD players, Blu-Ray players, and CD players, as well as most other remote controlled home entertainment devices and home automation control modules worldwide.</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wider adoption of more advanced control technologies, emerging RF technologies, such as RF4CE, Bluetooth, and Bluetooth Smart, have increasingly become a focus in our development efforts. Several new recently released platforms utilize RF to effectively implement popular features like voice search.</w:t>
      </w:r>
    </w:p>
    <w:p>
      <w:pPr>
        <w:spacing w:after="0" w:line="12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as one business segment. We have 24 international subsidiaries located in Argentina, Brazil, British Virgin Islands, Cayman Islands, France, Germany, Hong Kong (3), India, Italy, Japan, Korea, Mexico, the Netherlands, People's Republic of China (6), Singapore, Spain and the 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2018:</w:t>
      </w:r>
    </w:p>
    <w:p>
      <w:pPr>
        <w:spacing w:after="0" w:line="6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sales decreased 2.2% to $680.2 million in 2018 from $695.8 million in 2017.</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gross margin percentage decreased from 23.8% in 2017 to 20.8% in 2018.</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expenses, as a percent of sales, decreased from 22.3% in 2017 to 21.1% in 2018</w:t>
      </w:r>
    </w:p>
    <w:p>
      <w:pPr>
        <w:spacing w:after="0" w:line="63" w:lineRule="exact"/>
        <w:rPr>
          <w:rFonts w:ascii="Arial" w:cs="Arial" w:eastAsia="Arial" w:hAnsi="Arial"/>
          <w:sz w:val="18"/>
          <w:szCs w:val="18"/>
          <w:color w:val="auto"/>
        </w:rPr>
      </w:pPr>
    </w:p>
    <w:p>
      <w:pPr>
        <w:ind w:left="980" w:hanging="324"/>
        <w:spacing w:after="0" w:line="29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Operating income decreased 115.6% to an operating loss of $1.7 million in 2018 from operating income of $10.7 million in 2017, and our operating margin percentage decreased to an operating deficit of 0.2% in 2018, compared to an operating margin of 1.5% in 2017.</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effective tax rate decreased to 54.4% in 2018 from 241.6% in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2019 include the following:</w:t>
      </w:r>
    </w:p>
    <w:p>
      <w:pPr>
        <w:spacing w:after="0" w:line="63"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broaden our home control and home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penetrate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doubtful accounts, inventory valuation, our review for impairment of long-lived assets, intangible assets and goodwill,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policies affect our more significant judgments and estimates used in the preparation of our consolidated financial statements. In addition to the accounting policies mentioned below, see "ITEM 8. FINANCIAL STATEMENTS AND SUPPLEMENTARY DATA — Notes to Consolidated Financial Statements — Note 2" for other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performance obligations primarily arise from manufacturing and delivering universal control, sensing and automation products and AV accessories, which are sold through multiple channels, and intellectual property that is embedded in these products or licensed to others. These performance obligations are satisfied at a point in time or over time, as described below. Payment terms are typically on open credit terms consistent with industry practice and do not have significant financing components. Some contracts contain early payment discounts, which are recognized as a reduction to revenue if the customer typically meets the early payment conditions. Consideration may be variable based on indeterminate volumes.</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1, 2018, revenue is recognized over time when the customer simultaneously receives and consumes the benefits provided by our performance, our performance creates or enhances an asset that the customer controls, or when our performance creates an asset with no alternative use to us (custom products) and we have an enforceable right to payment for performance completed to date, such as a firm order or other contractual commitment from the customer. An asset does not have an alternative use if we are unable to redirect the asset to another customer in the foreseeable future without significant rework. The method for measuring progress towards satisfying a performance obligation for a custom product is based on the costs incurred to date (cost-to-cost method). We believe that the costs associated with production are most closely aligned with the revenue associated with those products.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at a point in time if the criteria for recognizing revenue over time are not met, the title of the goods has transferred, and we have a present right to payment.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typically recognize revenue for the sale of tooling at a point in time, which is generally upon completion of the tooling and, if applicable, acceptance by the customer.</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 in the period in which we make such a determination.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 for discounts and rebates based on historical experience and our expectations regarding future sales to our customers. Accruals for discounts and rebates are recorded as a reduction to sales in the same period as the related revenue. Changes in such accruals may be required if future rebates and incentives differ from our estimates.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license our intellectual property including our patented technologies, trademarks, and database of control codes. When license fees are paid on a per-unit basis, we record license revenue when our customers manufacture or ship a product incorporating our intellectual property and we have a present right to payment. When a fixed up-front license fee is received in exchange for the delivery of a particular database of infrared codes or the contract contains a minimum guarantee provision, we record revenue when delivery of the intellectual property has occurred. Tiered royalties are recorded on a straight-line basis according to the forecasted per-unit fees taking into account the pricing tiers.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 assets represent revenue which has been recognized based on our accounting policies but for which the customer has not yet been invoiced and thus an account receivable has not yet been recorded.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prior accounting standards, prior to January 1, 2018, we recognized revenue on the sale of products when title of the goods had transferred, there was persuasive evidence of an arrangement (such as a purchase order from the customer), the sales price was fixed or determinable and collectability was reasonably assured. Revenue for term license fees were recognized on a straight-line basis over the effective term of the license when we could not reliably predict in which periods, within the term of the license, the licensee would benefit from the use of our patented inventions.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an allowance for doubtful accounts for estimated losses resulting from the inability of our customers to make payments for products sold or services rendered. The allowance for doubtful accounts is estimated based on a variety of factors, including credit reviews, historical experience, length of time receivables are past due, current economic trends and changes in customer payment behavior. We also record specific provisions for individual accounts when we become aware of a customer's inability to meet its financial obligations to us, such as in the case of bankruptcy filings or deterioration in the customer's operating results or financial position. Our historical reserves have been sufficient to cover losses from uncollectible accounts. However, because we cannot predict future changes in the financial stability of our customers, actual future losses from uncollectible accounts may differ from our estimates and may have a material effect on our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finished good, component part, and raw material inventories are valued at the lower of cost or net realizable value. Cost is determined using the first-in, first-out method. We write down our inventory for the estimated difference between cost and estimated net realizable value based upon our best estimates of future demand and market conditions. We carry inventory in amounts necessary to satisfy our customers' inventory requirements on a timely basis. We continually monitor our inventory status to control inventory levels and write down any excess or obsolete inventories on hand. If actual market conditions are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raw material or component parts, such as integrated circuits. Each percentage point change in the ratio of excess and obsolete inventory reserve to inventory would impact cost of sales by approximately $1.5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 and Intangible Assets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assess long-lived and intangible assets for impairment whenever events or changes in circumstances indicate that their carrying value may not be recoverable. Factors considered important which may trigger an impairment review, if significant, include the following:</w:t>
      </w:r>
    </w:p>
    <w:p>
      <w:pPr>
        <w:spacing w:after="0" w:line="8"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manner of use of the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strategy of our overall business;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industry or economic trends;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our stock price for a sustained period;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variance between our market capitalization relative to net book value.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carrying value of the asset is larger than its projected undiscounted future cash flows, the asset is impaired. The impairment is measured as the difference between the net book value of the asset and the asset's estimated fair value. Fair value is estimated utilizing the asset's projected discounted future cash flows. In assessing fair value, we must make assumptions regarding estimated future cash flows, the discount rate and other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evaluate the carrying value of goodwill on December 31 of each year and between annual evaluations if events occur or circumstances change that would more likely than not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evaluate whether goodwill is impaired, we conduct a two-step quantitative goodwill impairment test. In the first step we compare the estimated fair value of our single reporting unit to the reporting unit's carrying amount, including goodwill. We estimate the fair value of our reporting unit based on income and market approaches. Under the income approach, we calculate the fair value based on the present value of estimated future cash flows. Under the market approach, we estimate the fair value based on market multiples of enterprise value to EBITDA for comparable companies. If the carrying value of the net assets assigned to the reporting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 exceeds the fair value of the reporting unit, then we perform the second step of the impairment test in order to determine the implied fair value of the reporting unit's goodwill. To calculate the implied fair value of the reporting unit's goodwill, the fair value of the reporting unit is first allocated to all of the other assets and liabilities of that unit based on their fair values. The excess of the reporting unit's fair value over the amount assigned to its other assets and liabilities is the implied fair value of goodwill. An impairment loss would be recognized equal to the amount by which the carrying value of goodwill exceeds its implied fair value.</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future economic and market conditions and the determination of appropriate market comparables. In addition, we make certain judgments and assumptions in determining our reporting units. We base our fair value estimates on assumptions we believe to be reasonable but that are unpredictable and inherently uncertain. Actual future results may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allocate the purchase price of acquired businesses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 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spacing w:after="0" w:line="10" w:lineRule="exact"/>
        <w:rPr>
          <w:sz w:val="20"/>
          <w:szCs w:val="20"/>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cash flow from customer contracts, customer lists, distribution agreements, acquired developed technologies, trademarks, trade names and patents;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costs to complete development of in-process technology into commercially viable products and cash flows from the products once they are completed;</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discount rates utilized in discounted cash flow models.</w:t>
      </w:r>
    </w:p>
    <w:p>
      <w:pPr>
        <w:spacing w:after="0" w:line="6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those circumstances where an acquisition involves a contingent consideration arrangement, we recognize a liability equal to the fair value of the contingent payments we expect to make as of the acquisition date. We re-measure this liability at each reporting period and record changes in the fair value within operating expenses. Increases or decreases in the fair value of the contingent consideration liability can result from changes in discount periods and rates, as well as changes in the timing and amount of earnings estimates or in the timing or likelihood of achieving earnings-based milestones.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estimates are based upon assumptions believed to be reasonable; however, unanticipated events or circumstances may occur which may affect the accuracy of our fair value estimates, including assumptions regarding industry economic factors and business strategies.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cash flows of acquired businesses are included in our operating results from the date of acquisition.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generally in the third and fourth quarters of the subsequent year.</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and tax rates, future taxable income, the mix of earnings in the jurisdictions in which we operate and prudent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includes the impact of certain undistributed foreign earnings for which we have not provided state income taxes or foreign withholding taxes because we plan to reinvest such earnings indefinitely outside the United States. The decision to reinvest our foreign earnings indefinitely outside the United States is based on our projected cash flow needs as well as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working capital and long-term investment requirements of our foreign subsidiaries and our domestic operations. Material changes in our estimates of cash, working capital and long-term investment requirements in the various jurisdictions in which we do business may impact our effective tax rate.</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income taxes in the United States and foreign countries, and we are subject to routine corporate income tax audits in many of these jurisdictions. We believe that our tax return positions are fully supported, but tax authorities are likely to challenge certain positions, which may not be fully sustained. Our income tax expense includes amounts intended to satisfy income tax assessments that result from these challenges in accordance with the accounting for uncertainty in income taxes prescribed by GAAP. Determining the income tax expense for these potential assessments and recording the related assets and liabilities requires management judgments and estimates.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reserves for uncertain tax positions, including related interest and penalties.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resolution with respect to individual audit issues, the resolution of entire audits, or the expiration of statutes of limitations. The amounts ultimately paid upon resolution of audits may be materially different from the amounts previously included in our income tax expense and, therefore, may have a material impact on our operating results, financial position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the grant date fair value of stock-based compensation awards as expense in proportion to vesting during the requisite service period, which ranges from one to four years. Forfeitures of stock-based awards are accounted for as they occur.</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 the fair value of restricted stock awards utilizing the average of the high and low trading prices of our Company's common shares on the date they were granted.</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fair value of stock options granted to employees and directors is determined utilizing the Black-Scholes option pricing model. The assumptions utilized in the Black-Scholes model include the risk-free interest rate, expected volatility, expected life in years and dividend yield.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Common Stock Warrants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measurement date for performance-based common stock warrants is the date on which the warrants vest. We recognize the fair value of performance-based common stock warrants as a reduction to net sales ratably as the warrants vest based on the projected number of warrants that will vest, the proportion of the performance criteria achieved by the customer within the period relative to the total performance required (aggregate purchase levels) for the warrants to vest and the then-current fair value of the related unvested warrants. If we do not have a reliable forecast of future purchases to be made by the customer by which to estimate the number of warrants that will vest, then the maximum number of potential warrants is assumed until such time that a reliable forecast of future purchases is available. To the extent that our projections change in the future as to the number of warrants that will vest, a cumulative catch-up adjustment will be recorded in the period in which our estimates change.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performance-based common stock warrants is determined utilizing the Black-Scholes option pricing model. The assumptions utilized in the Black-Scholes model include the price of our common stock, the risk-free interest rate, expected volatility, expected life in years and dividend yield. The price of our common stock is equal to the average of the high and low trade prices of our common stock on the measurement date. The risk-free interest rate over the expected life is equal to the prevailing U.S. Treasury note rate over the same period. Expected volatility is determined utilizing historical volatility over a period of time equal to the expected life of the warrant. Expected life is equal to the remaining contractual term of the warrant. The dividend yield is assumed to be zero since we have not historically declared dividends and do not have any plans to declare dividends in the future.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6"/>
              </w:rPr>
              <w:t>Year Ended December 31,</w:t>
            </w:r>
          </w:p>
        </w:tc>
        <w:tc>
          <w:tcPr>
            <w:tcW w:w="1780" w:type="dxa"/>
            <w:vAlign w:val="bottom"/>
            <w:tcBorders>
              <w:bottom w:val="single" w:sz="8" w:color="auto"/>
            </w:tcBorders>
          </w:tcPr>
          <w:p>
            <w:pPr>
              <w:spacing w:after="0"/>
              <w:rPr>
                <w:sz w:val="16"/>
                <w:szCs w:val="16"/>
                <w:color w:val="auto"/>
              </w:rPr>
            </w:pPr>
          </w:p>
        </w:tc>
      </w:tr>
      <w:tr>
        <w:trPr>
          <w:trHeight w:val="264"/>
        </w:trPr>
        <w:tc>
          <w:tcPr>
            <w:tcW w:w="7080" w:type="dxa"/>
            <w:vAlign w:val="bottom"/>
            <w:gridSpan w:val="2"/>
          </w:tcPr>
          <w:p>
            <w:pPr>
              <w:ind w:left="6760"/>
              <w:spacing w:after="0"/>
              <w:rPr>
                <w:sz w:val="20"/>
                <w:szCs w:val="20"/>
                <w:color w:val="auto"/>
              </w:rPr>
            </w:pPr>
            <w:r>
              <w:rPr>
                <w:rFonts w:ascii="Arial" w:cs="Arial" w:eastAsia="Arial" w:hAnsi="Arial"/>
                <w:sz w:val="14"/>
                <w:szCs w:val="14"/>
                <w:b w:val="1"/>
                <w:bCs w:val="1"/>
                <w:color w:val="auto"/>
                <w:w w:val="96"/>
              </w:rPr>
              <w:t>2018</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780" w:type="dxa"/>
            <w:vAlign w:val="bottom"/>
          </w:tcPr>
          <w:p>
            <w:pPr>
              <w:jc w:val="right"/>
              <w:ind w:right="711"/>
              <w:spacing w:after="0"/>
              <w:rPr>
                <w:sz w:val="20"/>
                <w:szCs w:val="20"/>
                <w:color w:val="auto"/>
              </w:rPr>
            </w:pPr>
            <w:r>
              <w:rPr>
                <w:rFonts w:ascii="Arial" w:cs="Arial" w:eastAsia="Arial" w:hAnsi="Arial"/>
                <w:sz w:val="14"/>
                <w:szCs w:val="14"/>
                <w:b w:val="1"/>
                <w:bCs w:val="1"/>
                <w:color w:val="auto"/>
              </w:rPr>
              <w:t>2016</w:t>
            </w: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74.8</w:t>
            </w:r>
          </w:p>
        </w:tc>
      </w:tr>
      <w:tr>
        <w:trPr>
          <w:trHeight w:val="27"/>
        </w:trPr>
        <w:tc>
          <w:tcPr>
            <w:tcW w:w="6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25.2</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3.0</w:t>
            </w:r>
          </w:p>
        </w:tc>
      </w:tr>
      <w:tr>
        <w:trPr>
          <w:trHeight w:val="27"/>
        </w:trPr>
        <w:tc>
          <w:tcPr>
            <w:tcW w:w="6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Factory transition restructuring charges</w:t>
            </w:r>
          </w:p>
        </w:tc>
        <w:tc>
          <w:tcPr>
            <w:tcW w:w="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0.7</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17.6</w:t>
            </w:r>
          </w:p>
        </w:tc>
      </w:tr>
      <w:tr>
        <w:trPr>
          <w:trHeight w:val="27"/>
        </w:trPr>
        <w:tc>
          <w:tcPr>
            <w:tcW w:w="6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3.9</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Interest income (expense), net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780" w:type="dxa"/>
            <w:vAlign w:val="bottom"/>
          </w:tcPr>
          <w:p>
            <w:pPr>
              <w:jc w:val="right"/>
              <w:ind w:right="71"/>
              <w:spacing w:after="0"/>
              <w:rPr>
                <w:sz w:val="20"/>
                <w:szCs w:val="20"/>
                <w:color w:val="auto"/>
              </w:rPr>
            </w:pPr>
            <w:r>
              <w:rPr>
                <w:rFonts w:ascii="Arial" w:cs="Arial" w:eastAsia="Arial" w:hAnsi="Arial"/>
                <w:sz w:val="18"/>
                <w:szCs w:val="18"/>
                <w:color w:val="auto"/>
              </w:rPr>
              <w:t>(0.2)</w:t>
            </w:r>
          </w:p>
        </w:tc>
      </w:tr>
      <w:tr>
        <w:trPr>
          <w:trHeight w:val="27"/>
        </w:trPr>
        <w:tc>
          <w:tcPr>
            <w:tcW w:w="6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sale of Guangzhou factory</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0.1</w:t>
            </w:r>
          </w:p>
        </w:tc>
      </w:tr>
      <w:tr>
        <w:trPr>
          <w:trHeight w:val="27"/>
        </w:trPr>
        <w:tc>
          <w:tcPr>
            <w:tcW w:w="6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3.8</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0.7</w:t>
            </w:r>
          </w:p>
        </w:tc>
      </w:tr>
      <w:tr>
        <w:trPr>
          <w:trHeight w:val="27"/>
        </w:trPr>
        <w:tc>
          <w:tcPr>
            <w:tcW w:w="6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0.0</w:t>
            </w:r>
          </w:p>
        </w:tc>
      </w:tr>
      <w:tr>
        <w:trPr>
          <w:trHeight w:val="27"/>
        </w:trPr>
        <w:tc>
          <w:tcPr>
            <w:tcW w:w="6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Universal Electronics Inc.</w:t>
            </w:r>
          </w:p>
        </w:tc>
        <w:tc>
          <w:tcPr>
            <w:tcW w:w="10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("2018") Compared to Year Ended December 31, 2017 ("2017")</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2018 were $680.2 million, a decrease of 2.2% compared to $695.8 million in 2017. Net sales by our Business and Consumer lines</w:t>
      </w:r>
      <w:r>
        <w:rPr>
          <w:rFonts w:ascii="Arial" w:cs="Arial" w:eastAsia="Arial" w:hAnsi="Arial"/>
          <w:sz w:val="18"/>
          <w:szCs w:val="18"/>
          <w:i w:val="1"/>
          <w:iCs w:val="1"/>
          <w:color w:val="auto"/>
        </w:rPr>
        <w:t xml:space="preserve"> </w:t>
      </w:r>
      <w:r>
        <w:rPr>
          <w:rFonts w:ascii="Arial" w:cs="Arial" w:eastAsia="Arial" w:hAnsi="Arial"/>
          <w:sz w:val="18"/>
          <w:szCs w:val="18"/>
          <w:color w:val="auto"/>
        </w:rPr>
        <w:t>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2017</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3"/>
              </w:rPr>
              <w:t>(millions)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60.7</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sales in our Business lines (subscription broadcasting, OEM, and computing companies) were 91.1% of net sales in 2018 compared to 92.3% in 2017. Net sales in our Business lines in 2018 decreased by 3.5% to $619.5 million from $642.2 million in 2017. The decrease in Business line net sales was driven largely by lower than normal order volume from certain subscription broadcasting customers in North America that were undergoing platform transitions in 2018. North America net sales were also adversely impacted by production delays resulting from the transition of manufacturing activities, for products destined for the U.S. market, from our China factories to our Mexico facility. This transition is in response to higher U.S. tariffs being enacted in the second half of 2018 which affect the majority of our products that are sold in the United States. Our goal is to produce the majority of our products destined for the United States in Mexico by the summer of 2019. During this transition, our net sales in a given period could be impacted. Net sales in Latin America, particularly Brazil, also decreased due to the discontinuance of certain lower margin products. These decreases in net sales were partially offset by increased net sales to consumer electronics companies in Asia and increased net sales of our home security products.</w:t>
      </w:r>
    </w:p>
    <w:p>
      <w:pPr>
        <w:spacing w:after="0" w:line="12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8.9% of net sales in 2018 compared to 7.7% in 2017. Net sales in our Consumer lines in 2018 increased by 13.2% to $60.7 million from $53.6 million in 2017 driven primarily by growth in North America and Europe, partially offset by decreased sales in Latin America and Asia.</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 2018 was $141.8 million compared to $165.7 million in 2017. Gross profit as a percent of sales decreased to 20.8% in 2018 from</w:t>
      </w:r>
      <w:r>
        <w:rPr>
          <w:rFonts w:ascii="Arial" w:cs="Arial" w:eastAsia="Arial" w:hAnsi="Arial"/>
          <w:sz w:val="18"/>
          <w:szCs w:val="18"/>
          <w:i w:val="1"/>
          <w:iCs w:val="1"/>
          <w:color w:val="auto"/>
        </w:rPr>
        <w:t xml:space="preserve"> </w:t>
      </w:r>
      <w:r>
        <w:rPr>
          <w:rFonts w:ascii="Arial" w:cs="Arial" w:eastAsia="Arial" w:hAnsi="Arial"/>
          <w:sz w:val="18"/>
          <w:szCs w:val="18"/>
          <w:color w:val="auto"/>
        </w:rPr>
        <w:t>23.8% in 2017. The gross margin percentage was unfavorably impacted by inflation in the cost of certain components; the strengthening of the Chinese Yuan Renminbi relative to the U.S. Dollar; factory underutilization associated with ceasing manufacturing activities while transitioning our Asia operations onto our new global ERP system, which went live in Asia in April 2018; and asset write-downs associated with the closure and sale of our Guangzhou factory. In addition,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fourth quarter of 2018, our gross margin percentage was unfavorably impacted by the transition of manufacturing activities from our China factories to our Mexico factory in an effort to mitigate the effect of increased U.S. tariffs on certain products manufactured in China and imported into the United States. In connection with this transition, we incurred direct costs relating to the movement of factory equipment and materials and duplicative labor efforts as well as indirect costs including unabsorbed duplicative overhead and manufacturing inefficiencies. We expect our gross margin rate to continue to be negatively impacted by the increased U.S. tariffs until the majority of products that are destined for the United States are manufactured outside of China. We expect this manufacturing transition to be completed by the summer of 2019.</w:t>
      </w:r>
    </w:p>
    <w:p>
      <w:pPr>
        <w:spacing w:after="0" w:line="13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Research and development ("R&amp;D") expenses. </w:t>
      </w:r>
      <w:r>
        <w:rPr>
          <w:rFonts w:ascii="Arial" w:cs="Arial" w:eastAsia="Arial" w:hAnsi="Arial"/>
          <w:sz w:val="17"/>
          <w:szCs w:val="17"/>
          <w:color w:val="auto"/>
        </w:rPr>
        <w:t>R&amp;D expenses increased 11.2% to $23.8 million in 2018 from $21.4 million in 2017 primarily due to our</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investment in the development of new products that enhance the user experience in home entertainment and home automation.</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Factory transition restructuring charges. </w:t>
      </w:r>
      <w:r>
        <w:rPr>
          <w:rFonts w:ascii="Arial" w:cs="Arial" w:eastAsia="Arial" w:hAnsi="Arial"/>
          <w:sz w:val="18"/>
          <w:szCs w:val="18"/>
          <w:color w:val="auto"/>
        </w:rPr>
        <w:t>In the first quarter of 2016, we implemented a plan to transition manufacturing activities from our southern-most</w:t>
      </w:r>
      <w:r>
        <w:rPr>
          <w:rFonts w:ascii="Arial" w:cs="Arial" w:eastAsia="Arial" w:hAnsi="Arial"/>
          <w:sz w:val="18"/>
          <w:szCs w:val="18"/>
          <w:i w:val="1"/>
          <w:iCs w:val="1"/>
          <w:color w:val="auto"/>
        </w:rPr>
        <w:t xml:space="preserve"> </w:t>
      </w:r>
      <w:r>
        <w:rPr>
          <w:rFonts w:ascii="Arial" w:cs="Arial" w:eastAsia="Arial" w:hAnsi="Arial"/>
          <w:sz w:val="18"/>
          <w:szCs w:val="18"/>
          <w:color w:val="auto"/>
        </w:rPr>
        <w:t>China factory, located in the city of Guangzhou in the Guangdong province, to our other China factories. As a result, we incurred severance costs of $6.1 million in 2017.</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decreased 6.1% to $119.7 million in 2018 from $127.5 million in 2017,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 decrease in the incremental amount of contingent consideration recorded in connection with our acquisitions of the net assets of Ecolink and RCS, and a decrease in stock-based compensation expense.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$4.7 million in 2018 compared to net interest expense of $2.5 million in 2017.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an increased level of borrowings and a higher interest rate on our line of credit.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 on sale of Guangzhou factory. </w:t>
      </w:r>
      <w:r>
        <w:rPr>
          <w:rFonts w:ascii="Arial" w:cs="Arial" w:eastAsia="Arial" w:hAnsi="Arial"/>
          <w:sz w:val="18"/>
          <w:szCs w:val="18"/>
          <w:color w:val="auto"/>
        </w:rPr>
        <w:t>In June 2018, we completed the sale of our Guangzhou manufacturing facility in exchange for cash proceeds of $51.3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resulting in a pre-tax gain of $37.0 million.</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Net other expense was $4.5 million in 2018 compared to net other expense of $0.8 million in 2017. This change was driven</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by foreign currency losses associated with fluctuations in the Chinese Yuan Renminbi and Argentinian Peso exchange rates versus the U.S. Dollar.</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was $14.2 million in 2018 compared to $17.6 million in 2017. Our effective tax rate was 54.4% in 2018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241.6% in 2017. The decrease in our effective tax rate was primarily due to the recording of $16.6 million of income tax expense in 2017 representing the estimated impact of the U.S. Tax Cuts and Jobs Act that was enacted in December 2017. Additionally, our 2018 effective tax rate was negatively impacted by the recording of an $8.1 million valuation allowance against U.S. federal and state deferred tax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Year Ended December 31, 2016 ("2016")</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2017 were $695.8 million, an increase of 6.8% compared to $651.4 million in 2016. Net sales by our Business and Consumer lines</w:t>
      </w:r>
      <w:r>
        <w:rPr>
          <w:rFonts w:ascii="Arial" w:cs="Arial" w:eastAsia="Arial" w:hAnsi="Arial"/>
          <w:sz w:val="18"/>
          <w:szCs w:val="18"/>
          <w:i w:val="1"/>
          <w:iCs w:val="1"/>
          <w:color w:val="auto"/>
        </w:rPr>
        <w:t xml:space="preserve"> </w:t>
      </w:r>
      <w:r>
        <w:rPr>
          <w:rFonts w:ascii="Arial" w:cs="Arial" w:eastAsia="Arial" w:hAnsi="Arial"/>
          <w:sz w:val="18"/>
          <w:szCs w:val="18"/>
          <w:color w:val="auto"/>
        </w:rPr>
        <w:t>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2016</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3"/>
              </w:rPr>
              <w:t>(millions)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in our Business lines (subscription broadcasting, OEM, and computing companies) were 92.3% of net sales in 2017 compared to 92.4% in 2016. Net sales in our Business lines in 2017 increased by 6.7% to $642.2 million from $601.7 million in 2016 driven primarily by the rollout of higher end platforms in Europe, increased sales of home security products and increased sales to consumer electronics companies in Asia. These increases were partially offset by a decrease in sales to North American satellite broadcasting customers as certain customers were depleting existing prior generation inventory in preparation for the launch of their new advanced platforms.</w:t>
      </w:r>
    </w:p>
    <w:p>
      <w:pPr>
        <w:spacing w:after="0" w:line="134" w:lineRule="exact"/>
        <w:rPr>
          <w:sz w:val="20"/>
          <w:szCs w:val="20"/>
          <w:color w:val="auto"/>
        </w:rPr>
      </w:pPr>
    </w:p>
    <w:p>
      <w:pPr>
        <w:jc w:val="both"/>
        <w:ind w:right="20"/>
        <w:spacing w:after="0" w:line="227" w:lineRule="auto"/>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retail and private label) were 7.7% of net sales in 2017 compared to 7.6% in 2016. Net sales in our Consumer lines in 2017 increased by 7.8% to $53.6 million from $49.7 million in 2016 driven primarily by growth in markets outside of Europe.</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 2017 was $165.7 million compared to $164.1 million in 2016. Gross profit as a percent of sales decreased to 23.8% in 2017 from</w:t>
      </w:r>
      <w:r>
        <w:rPr>
          <w:rFonts w:ascii="Arial" w:cs="Arial" w:eastAsia="Arial" w:hAnsi="Arial"/>
          <w:sz w:val="18"/>
          <w:szCs w:val="18"/>
          <w:i w:val="1"/>
          <w:iCs w:val="1"/>
          <w:color w:val="auto"/>
        </w:rPr>
        <w:t xml:space="preserve"> </w:t>
      </w:r>
      <w:r>
        <w:rPr>
          <w:rFonts w:ascii="Arial" w:cs="Arial" w:eastAsia="Arial" w:hAnsi="Arial"/>
          <w:sz w:val="18"/>
          <w:szCs w:val="18"/>
          <w:color w:val="auto"/>
        </w:rPr>
        <w:t>25.2% in 2016. The gross margin percentage was unfavorably impacted by price reductions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granted to certain large volume customers, impairment write-downs of underutilized factory equipment and manufacturing inefficiencies experienced due to our factory transition activities in China, which were completed in the fourth quarter of 2017. These unfavorable impacts were partially offset by the weakening of the Chinese Yuan Renminbi relative to the U.S. Dollar.</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increased 7.9% to $21.4 million in 2017 from $19.9 million in 2016 primarily driven by R&amp;D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dedicated to developing new product offerings for new and existing product categories.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Factory transition restructuring charges. </w:t>
      </w:r>
      <w:r>
        <w:rPr>
          <w:rFonts w:ascii="Arial" w:cs="Arial" w:eastAsia="Arial" w:hAnsi="Arial"/>
          <w:sz w:val="18"/>
          <w:szCs w:val="18"/>
          <w:color w:val="auto"/>
        </w:rPr>
        <w:t>In the first quarter of 2016, we implemented a plan to reduce the impact of rising labor rates in China by</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manufacturing activities from our southern-most China factory, located in the city of Guangzhou in the Guangdong province, to our other China factories. As a result, we incurred severance costs of $6.1 million and $4.5 million in 2017 and 2016, respectively.</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increased 11.4% to $127.5 million in 2017 from $114.4 million in 2016. This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primarily by incremental expense recorded to reflect an increase in the value of contingent consideration to be paid in connection with our acquisition of the net assets of Ecolink; increased stock-based compensation expense; increased headcount and other direct costs associated with product development efforts as a result of an increase in the number of higher-end customer products; additional expense to support our implementation of a new ERP system; and additional expense as a result of the acquisition of the net assets of RCS in April 2017. Partially offsetting these increases was a decrease in legal expense as a result of higher legal fees, including the recording of a $2.0 million legal settlement, in 2016 related to patent litigation matters.</w:t>
      </w:r>
    </w:p>
    <w:p>
      <w:pPr>
        <w:spacing w:after="0" w:line="1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Interest income (expense), net</w:t>
      </w:r>
      <w:r>
        <w:rPr>
          <w:rFonts w:ascii="Arial" w:cs="Arial" w:eastAsia="Arial" w:hAnsi="Arial"/>
          <w:sz w:val="18"/>
          <w:szCs w:val="18"/>
          <w:color w:val="auto"/>
        </w:rPr>
        <w:t>. Net interest expense was $2.5 million in 2017 compared to net interest expense of $1.0 million in 2016.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an increased level of borrowings on our line of credit.</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Net other expense was $0.8 million in 2017 compared to net other income of $0.8 million in 2016. This change was driven</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by a decrease in foreign currency gains associated with fluctuations in the Chinese Yuan Renminbi exchange rate versus the U.S. Dollar.</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$17.6 million in 2017 compared to $4.8 million in 2016, and our effective tax rate was 241.6%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19.1% in 2016. The increase in our effective tax rate was driven by the recording of $16.6 million of income tax expense in 2017 representing the estimated tax impact of the U.S. Tax Cuts and Jobs Act that was enacted in December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240" w:type="dxa"/>
            <w:vAlign w:val="bottom"/>
            <w:gridSpan w:val="3"/>
          </w:tcPr>
          <w:p>
            <w:pPr>
              <w:ind w:left="180"/>
              <w:spacing w:after="0"/>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32"/>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December 31, 2017</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12,855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9,165</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(40,378)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49,543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provided by (used for) investing activities</w:t>
            </w:r>
          </w:p>
        </w:tc>
        <w:tc>
          <w:tcPr>
            <w:tcW w:w="12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23,575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74,802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(51,227)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(13,509)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(103,688)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50,370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equivalents and restricted cash</w:t>
            </w:r>
          </w:p>
        </w:tc>
        <w:tc>
          <w:tcPr>
            <w:tcW w:w="12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3,559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4,331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Net increase (decrease) in cash, cash equivalents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(14,132)</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(21,637)</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0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7,505</w:t>
            </w:r>
          </w:p>
        </w:tc>
        <w:tc>
          <w:tcPr>
            <w:tcW w:w="3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5,260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restricted cash</w:t>
            </w:r>
          </w:p>
        </w:tc>
        <w:tc>
          <w:tcPr>
            <w:tcW w:w="12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40" w:type="dxa"/>
            <w:vAlign w:val="bottom"/>
            <w:gridSpan w:val="3"/>
            <w:vMerge w:val="continue"/>
            <w:shd w:val="clear" w:color="auto" w:fill="CCEEFF"/>
          </w:tcPr>
          <w:p>
            <w:pPr>
              <w:spacing w:after="0"/>
              <w:rPr>
                <w:sz w:val="20"/>
                <w:szCs w:val="20"/>
                <w:color w:val="auto"/>
              </w:rPr>
            </w:pPr>
          </w:p>
        </w:tc>
        <w:tc>
          <w:tcPr>
            <w:tcW w:w="360" w:type="dxa"/>
            <w:vAlign w:val="bottom"/>
            <w:gridSpan w:val="3"/>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gridSpan w:val="4"/>
            <w:vMerge w:val="restart"/>
          </w:tcPr>
          <w:p>
            <w:pPr>
              <w:jc w:val="right"/>
              <w:ind w:right="92"/>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92"/>
              </w:rPr>
              <w:t>(Decrease)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62,438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100,597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26,235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74,362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increased $3.7 million in 2018 when compared to 2017, primarily due to the net impact of changes in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associated with accounts receivable, inventories and accounts payable, partially offset by a $12.3 million decrease in operating income. With respect to accounts receivable, although net sales decreased by 2.2% in 2018 compared to 2017, accounts receivable decreased by 4.5% due to both collection timing and the timing of sales in 2018. Cash outflows associated with inventories decreased as we had some buildup of inventory at the end of 2017 related to the anticipated rollout 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higher end platforms to certain customers as well as strategic purchases of certain raw materials to take advantage of favorable pricing. Our inventory turns decreased from 3.6 turns at December 31, 2017 to 3.3 turns at December 31, 2018. We expect inventory turns to improve in 2019 as we complete the transition of manufacturing activities from China to Mexico for certain products destined for the U.S. market. Cash outflows associated with accounts payable increased largely as a result of the timing of inventory purchases in 2018.</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provided by operating activities decreased $40.4 million in 2017 when compared to 2016, primarily due to the net loss reported in 2017 and the net impact of changes in working capital needs associated with accounts receivable and inventories, partially offset by changes in the balances of income tax related assets and liabilities. With respect to accounts receivable, although net sales increased by 6.8% in 2017 compared to 2016, accounts receivable increased by 21.7% due to both collection timing and the timing of sales in 2017. At December 31, 2017, days sales outstanding was 75 days compared to 70 days at December 31, 2016. Cash outflows associated with inventories were greater in 2017 compared to 2016 primarily due the buildup of inventory described above. Our inventory turns decreased from 3.8 turns at December 31, 2016 to 3.6 turns at December 31, 2017. These cash flow impacts were partially offset by favorable cash flows associated with income taxes, which were driven by the timing of income tax payments as well as the usage of a significant portion of our deferred income tax assets in 2017 as a result of the enactment of the U.S. Tax Cuts and Jobs Act in December 2017.</w:t>
      </w:r>
    </w:p>
    <w:p>
      <w:pPr>
        <w:spacing w:after="0" w:line="1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Net cash provided by investing activities </w:t>
      </w:r>
      <w:r>
        <w:rPr>
          <w:rFonts w:ascii="Arial" w:cs="Arial" w:eastAsia="Arial" w:hAnsi="Arial"/>
          <w:sz w:val="16"/>
          <w:szCs w:val="16"/>
          <w:color w:val="auto"/>
        </w:rPr>
        <w:t>during 2018 was $23.6 million compared to net cash used for investing activities of $51.2 million and $37.7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2017 and 2016, respectively. In 2018 we received net cash proceeds of $46.2 million for the sale of our Guangzhou factory, which was completed in June 2018. Acquisitions of property, plant and equipment returned to more normalized levels in 2018 compared to elevated levels in 2017 and 2016 which were driven by required investments in our remaining China factories to absorb the additional demand resulting from the aforementioned sale of our Guangzhou factory as well as the increased demand for our advanced remote controls. In addition, we invested in a new global ERP system which is now live in North America and Asia. In 2017, cash used for investing activities also included our acquisition of the net assets of RCS for $8.9 million.</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Net cash used for financing activities </w:t>
      </w:r>
      <w:r>
        <w:rPr>
          <w:rFonts w:ascii="Arial" w:cs="Arial" w:eastAsia="Arial" w:hAnsi="Arial"/>
          <w:sz w:val="16"/>
          <w:szCs w:val="16"/>
          <w:color w:val="auto"/>
        </w:rPr>
        <w:t>was $53.3 million during 2018 compared to net cash provided by financing activities of $50.4 million during 2017 and</w:t>
      </w:r>
      <w:r>
        <w:rPr>
          <w:rFonts w:ascii="Arial" w:cs="Arial" w:eastAsia="Arial" w:hAnsi="Arial"/>
          <w:sz w:val="16"/>
          <w:szCs w:val="16"/>
          <w:i w:val="1"/>
          <w:iCs w:val="1"/>
          <w:color w:val="auto"/>
        </w:rPr>
        <w:t xml:space="preserve"> </w:t>
      </w:r>
      <w:r>
        <w:rPr>
          <w:rFonts w:ascii="Arial" w:cs="Arial" w:eastAsia="Arial" w:hAnsi="Arial"/>
          <w:sz w:val="16"/>
          <w:szCs w:val="16"/>
          <w:color w:val="auto"/>
        </w:rPr>
        <w:t>net cash used for financing activities of $4.4 million during 2016. The primary drivers of our cash flows from financing activities in 2018, 2017 and 2016 were borrowings and repayments on our line of credit and repurchases of shares of our common stock. Net payments on our line of credit were $36.5 million in 2018, compared to net borrowings on our line of credit of $88.0 million in 2017. With regard to stock repurchases, during 2018, we purchased 413,585 shares of our common stock at a cost of $13.8 million, compared to 680,287 and 197,819 shares at a cost of $39.1 million and $12.6 million during 2017 and 2016, respectively. We hold repurchased shares as treasury stock and they are available for reissue. Presently, we have no plans to distribute these shares, although we may change these plans if necessary to fulfill our ongoing business objectives. See "ITEM 8. FINANCIAL STATEMENTS AND SUPPLEMENTARY DATA - Notes to Consolidated Financial Statements - Note 14" for further information regarding our share repurchase programs.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11,130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12,625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7,906</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40,624</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10,771</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19,036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7,954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55" w:lineRule="exact"/>
        <w:rPr>
          <w:rFonts w:ascii="Arial" w:cs="Arial" w:eastAsia="Arial" w:hAnsi="Arial"/>
          <w:sz w:val="25"/>
          <w:szCs w:val="25"/>
          <w:color w:val="auto"/>
          <w:vertAlign w:val="superscript"/>
        </w:rPr>
      </w:pPr>
    </w:p>
    <w:p>
      <w:pPr>
        <w:ind w:left="660" w:hanging="328"/>
        <w:spacing w:after="0" w:line="186" w:lineRule="auto"/>
        <w:tabs>
          <w:tab w:leader="none" w:pos="66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Contingent consideration consists of contingent payments related to our purchases of the net assets of Ecolink and RCS.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utilized our revolving line of credit to fund an increased level of share repurchases and our acquisitions of the net assets of Ecolink and RCS. We anticipate that we will continue to utilize both cash flows from operations and our revolving line of credit to support ongoing business operations, capital expenditures and future discretionary share repurchases.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liquidity is subject to various risks including the market risks identified in "ITEM 7A. QUANTITATIVE AND QUALITATIVE DISCLOSURES ABOUT MARKET RISK".</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62,438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50,611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Available borrowing resources</w:t>
            </w:r>
          </w:p>
        </w:tc>
        <w:tc>
          <w:tcPr>
            <w:tcW w:w="38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28,500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32,000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35,000</w:t>
            </w: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taxes and foreign withholding taxes. Additionally, repatriation of some foreign balances is restricted by local laws. We have not provided for the state income tax liability or foreign withholding tax on these amounts for financial statement purposes as this cash is considered indefinitely reinvested outside of the United States. Our intent is to meet our domestic liquidity needs through ongoing cash flows, external borrowings, or both.</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31, 2018, we had $1.2 million, $20.9 million, $2.4 million, $19.9 million and $8.9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Second Amended and Restated Credit Agreement ("Second Amended Credit Agreement") with U.S. Bank National Association ("U.S. Bank") provides for a $130.0 million revolving line of credit ("Credit Line") through June 30, 2019 and a $125.0 million Credit Line thereafter and through its expiration date on November 1, 2020. The Credit Line may be used for working capital and other general corporate purposes including acquisitions, share repurchases and capital expenditures. Amounts available for borrowing under the Credit Line are reduced by the balance of any outstanding letters of credit. There were no outstanding letters of credit at December 31, 2018.</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 The applicable margins are calculated quarterly and vary based on our cash flow leverage ratio as set forth in the Second Amended Credit Agreement. The interest rate in effect at December 31, 2018 was 4.13%. There are no commitment fees or unused line fees under the Second Amended Credit Agreement.</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December 31, 2018, we were in compliance with the covenants and conditions of the Second Amended Credit Agreement.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we had an outstanding balance of $101.5 million on our Credit Line and $28.5 million of availability.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 for a discussion of recent accounting pronouncements.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the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$0.8 million annual impact on net income based on our outstanding Credit Line balance at December 31, 2018.</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December 31, 2018, we had wholly-owned subsidiaries in Argentina, Brazil, the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Philippine Peso and Japanese Yen.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Philippine Peso and Japanese Yen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December 31, 2018, we believe that movements in foreign currency rates may have a material effect on our financial position and results of operations. We estimate that if the exchange rates for the Chinese Yuan Renminbi, Euro, British Pound, Argentinian Peso, Mexican Peso, Brazilian Real, Indian Rupee, Philippine Peso and Japanese Yen relative to the U.S. Dollar fluctuate 10% from December 31, 2018, net income in the first quarter of 2019 would fluctuate by approximately $9.7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4220" w:type="dxa"/>
            <w:vAlign w:val="bottom"/>
            <w:gridSpan w:val="2"/>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Report of Independent Registered Public Accounting Firm</w:t>
              </w:r>
            </w:hyperlink>
          </w:p>
        </w:tc>
        <w:tc>
          <w:tcPr>
            <w:tcW w:w="6840" w:type="dxa"/>
            <w:vAlign w:val="bottom"/>
            <w:gridSpan w:val="6"/>
          </w:tcPr>
          <w:p>
            <w:pPr>
              <w:spacing w:after="0"/>
              <w:rPr>
                <w:sz w:val="19"/>
                <w:szCs w:val="19"/>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106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Balance Sheets at December 31, 2018 and 2017</w:t>
              </w:r>
            </w:hyperlink>
          </w:p>
        </w:tc>
        <w:tc>
          <w:tcPr>
            <w:tcW w:w="300" w:type="dxa"/>
            <w:vAlign w:val="bottom"/>
            <w:gridSpan w:val="2"/>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1060" w:type="dxa"/>
            <w:vAlign w:val="bottom"/>
            <w:gridSpan w:val="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Statements of Operations for the Years Ended December 31, 2018, 2017, and 2016</w:t>
              </w:r>
            </w:hyperlink>
          </w:p>
        </w:tc>
        <w:tc>
          <w:tcPr>
            <w:tcW w:w="300" w:type="dxa"/>
            <w:vAlign w:val="bottom"/>
            <w:gridSpan w:val="2"/>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8180" w:type="dxa"/>
            <w:vAlign w:val="bottom"/>
            <w:gridSpan w:val="7"/>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Comprehensive Income (Loss) Statements for the Years Ended December 31, 2018, 2017, and 2016</w:t>
              </w:r>
            </w:hyperlink>
          </w:p>
        </w:tc>
        <w:tc>
          <w:tcPr>
            <w:tcW w:w="2880" w:type="dxa"/>
            <w:vAlign w:val="bottom"/>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700" w:type="dxa"/>
            <w:vAlign w:val="bottom"/>
            <w:gridSpan w:val="6"/>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Consolidated Statements of Stockholders' Equity for the Years Ended December 31, 2018, 2017, and 2016</w:t>
              </w:r>
            </w:hyperlink>
          </w:p>
        </w:tc>
        <w:tc>
          <w:tcPr>
            <w:tcW w:w="4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700" w:type="dxa"/>
            <w:vAlign w:val="bottom"/>
            <w:gridSpan w:val="6"/>
          </w:tcPr>
          <w:p>
            <w:pPr>
              <w:spacing w:after="0"/>
              <w:rPr>
                <w:rFonts w:ascii="Arial" w:cs="Arial" w:eastAsia="Arial" w:hAnsi="Arial"/>
                <w:sz w:val="18"/>
                <w:szCs w:val="18"/>
                <w:color w:val="0000EE"/>
                <w:w w:val="98"/>
              </w:rPr>
            </w:pPr>
            <w:hyperlink w:anchor="page47">
              <w:r>
                <w:rPr>
                  <w:rFonts w:ascii="Arial" w:cs="Arial" w:eastAsia="Arial" w:hAnsi="Arial"/>
                  <w:sz w:val="18"/>
                  <w:szCs w:val="18"/>
                  <w:color w:val="0000EE"/>
                  <w:w w:val="98"/>
                </w:rPr>
                <w:t>Consolidated Statements of Cash Flows for the Years Ended December 31, 2018, 2017, and 2016</w:t>
              </w:r>
            </w:hyperlink>
          </w:p>
        </w:tc>
        <w:tc>
          <w:tcPr>
            <w:tcW w:w="3360" w:type="dxa"/>
            <w:vAlign w:val="bottom"/>
            <w:gridSpan w:val="2"/>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Notes to Consolidated Financial Statements</w:t>
              </w:r>
            </w:hyperlink>
          </w:p>
        </w:tc>
        <w:tc>
          <w:tcPr>
            <w:tcW w:w="4060" w:type="dxa"/>
            <w:vAlign w:val="bottom"/>
            <w:gridSpan w:val="3"/>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2"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consolidated financial statements or notes thereto.</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18" w:right="2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Universal Electronics Inc. (a Delaware corporation) (the “Company”) as of December 31, 2018 and 2017, the related consolidated statements of operations, comprehensive income (loss), changes in stockholders’ equity,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3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2018,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March 14, 2019 expressed an unqualified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6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except share-related data)</w:t>
      </w:r>
    </w:p>
    <w:p>
      <w:pPr>
        <w:spacing w:after="0" w:line="171" w:lineRule="exact"/>
        <w:rPr>
          <w:sz w:val="20"/>
          <w:szCs w:val="20"/>
          <w:color w:val="auto"/>
        </w:rPr>
      </w:pPr>
    </w:p>
    <w:p>
      <w:pPr>
        <w:jc w:val="right"/>
        <w:ind w:right="300"/>
        <w:spacing w:after="0"/>
        <w:tabs>
          <w:tab w:leader="none" w:pos="1280" w:val="left"/>
        </w:tabs>
        <w:rPr>
          <w:sz w:val="20"/>
          <w:szCs w:val="20"/>
          <w:color w:val="auto"/>
        </w:rPr>
      </w:pPr>
      <w:r>
        <w:rPr>
          <w:rFonts w:ascii="Arial" w:cs="Arial" w:eastAsia="Arial" w:hAnsi="Arial"/>
          <w:sz w:val="16"/>
          <w:szCs w:val="16"/>
          <w:b w:val="1"/>
          <w:bCs w:val="1"/>
          <w:color w:val="auto"/>
        </w:rPr>
        <w:t>December 31, 2018</w:t>
      </w:r>
      <w:r>
        <w:rPr>
          <w:sz w:val="20"/>
          <w:szCs w:val="20"/>
          <w:color w:val="auto"/>
        </w:rPr>
        <w:tab/>
      </w:r>
      <w:r>
        <w:rPr>
          <w:rFonts w:ascii="Arial" w:cs="Arial" w:eastAsia="Arial" w:hAnsi="Arial"/>
          <w:sz w:val="14"/>
          <w:szCs w:val="14"/>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37465</wp:posOffset>
            </wp:positionV>
            <wp:extent cx="709231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2315" cy="180340"/>
                    </a:xfrm>
                    <a:prstGeom prst="rect">
                      <a:avLst/>
                    </a:prstGeom>
                    <a:noFill/>
                  </pic:spPr>
                </pic:pic>
              </a:graphicData>
            </a:graphic>
          </wp:anchor>
        </w:drawing>
      </w:r>
    </w:p>
    <w:p>
      <w:pPr>
        <w:spacing w:after="0" w:line="53"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ASSETS</w:t>
      </w:r>
    </w:p>
    <w:p>
      <w:pPr>
        <w:sectPr>
          <w:pgSz w:w="11900" w:h="16838" w:orient="portrait"/>
          <w:cols w:equalWidth="0" w:num="1">
            <w:col w:w="11300"/>
          </w:cols>
          <w:pgMar w:left="240" w:top="118" w:right="359" w:bottom="1440" w:gutter="0" w:footer="0" w:header="0"/>
        </w:sectPr>
      </w:pPr>
    </w:p>
    <w:p>
      <w:pPr>
        <w:spacing w:after="0" w:line="10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tabs>
          <w:tab w:leader="none" w:pos="752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Inventories, net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Assets held for sale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Income tax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2315" cy="180340"/>
                    </a:xfrm>
                    <a:prstGeom prst="rect">
                      <a:avLst/>
                    </a:prstGeom>
                    <a:noFill/>
                  </pic:spPr>
                </pic:pic>
              </a:graphicData>
            </a:graphic>
          </wp:anchor>
        </w:drawing>
      </w:r>
    </w:p>
    <w:p>
      <w:pPr>
        <w:spacing w:after="0" w:line="66" w:lineRule="exact"/>
        <w:rPr>
          <w:sz w:val="20"/>
          <w:szCs w:val="20"/>
          <w:color w:val="auto"/>
        </w:rPr>
      </w:pPr>
    </w:p>
    <w:p>
      <w:pPr>
        <w:jc w:val="right"/>
        <w:ind w:right="280"/>
        <w:spacing w:after="0"/>
        <w:tabs>
          <w:tab w:leader="none" w:pos="34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96"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63500</wp:posOffset>
            </wp:positionV>
            <wp:extent cx="709231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9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500"/>
        <w:spacing w:after="0"/>
        <w:tabs>
          <w:tab w:leader="none" w:pos="752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Line of credit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Accrued sales discounts, rebates and royalties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Accrued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accrued liabilities</w:t>
      </w:r>
    </w:p>
    <w:p>
      <w:pPr>
        <w:spacing w:after="0" w:line="8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Long-term liabilities: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Long-term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long-term liabilities</w:t>
      </w:r>
    </w:p>
    <w:p>
      <w:pPr>
        <w:spacing w:after="0" w:line="8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Commitments and contingencies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43815</wp:posOffset>
            </wp:positionV>
            <wp:extent cx="709231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Preferred stock, $0.01 par value, 5,000,000 shares authorized; none issued or outstanding</w:t>
      </w:r>
    </w:p>
    <w:p>
      <w:pPr>
        <w:spacing w:after="0" w:line="86" w:lineRule="exact"/>
        <w:rPr>
          <w:sz w:val="20"/>
          <w:szCs w:val="20"/>
          <w:color w:val="auto"/>
        </w:rPr>
      </w:pPr>
    </w:p>
    <w:p>
      <w:pPr>
        <w:ind w:left="500" w:right="600"/>
        <w:spacing w:after="0" w:line="293" w:lineRule="auto"/>
        <w:rPr>
          <w:sz w:val="20"/>
          <w:szCs w:val="20"/>
          <w:color w:val="auto"/>
        </w:rPr>
      </w:pPr>
      <w:r>
        <w:rPr>
          <w:rFonts w:ascii="Arial" w:cs="Arial" w:eastAsia="Arial" w:hAnsi="Arial"/>
          <w:sz w:val="16"/>
          <w:szCs w:val="16"/>
          <w:color w:val="auto"/>
        </w:rPr>
        <w:t>Common stock, $0.01 par value, 50,000,000 shares authorized; 23,932,703 and 23,760,434 shares issued on December 31,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-3810</wp:posOffset>
            </wp:positionV>
            <wp:extent cx="709231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color w:val="auto"/>
        </w:rPr>
        <w:t>Paid-in capital</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Treasury stock, at cost, 10,116,459 and 9,702,874 shares on December 31,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50800</wp:posOffset>
            </wp:positionV>
            <wp:extent cx="709231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Accumulated other comprehensive income (loss)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53,207</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62,438</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4,901</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144,689</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151,578</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25,572</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144,350</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162,589</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11,638</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11,687</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12,517</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997</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1,587</w:t>
            </w:r>
          </w:p>
        </w:tc>
      </w:tr>
      <w:tr>
        <w:trPr>
          <w:trHeight w:val="33"/>
        </w:trPr>
        <w:tc>
          <w:tcPr>
            <w:tcW w:w="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380,453</w:t>
            </w:r>
          </w:p>
        </w:tc>
        <w:tc>
          <w:tcPr>
            <w:tcW w:w="6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407,297</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95,840</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110,962</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48,485</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48,651</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24,370</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29,041</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1,833</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7,913</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4,615</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4,566</w:t>
            </w:r>
          </w:p>
        </w:tc>
      </w:tr>
      <w:tr>
        <w:trPr>
          <w:trHeight w:val="33"/>
        </w:trPr>
        <w:tc>
          <w:tcPr>
            <w:tcW w:w="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555,596</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608,430</w:t>
            </w:r>
          </w:p>
        </w:tc>
      </w:tr>
      <w:tr>
        <w:trPr>
          <w:trHeight w:val="33"/>
        </w:trPr>
        <w:tc>
          <w:tcPr>
            <w:tcW w:w="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58"/>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107,282</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119,165</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101,500</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138,000</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33,965</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34,499</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9,574</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8,882</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3,524</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3,670</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24,011</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28,719</w:t>
            </w:r>
          </w:p>
        </w:tc>
      </w:tr>
      <w:tr>
        <w:trPr>
          <w:trHeight w:val="33"/>
        </w:trPr>
        <w:tc>
          <w:tcPr>
            <w:tcW w:w="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279,856</w:t>
            </w:r>
          </w:p>
        </w:tc>
        <w:tc>
          <w:tcPr>
            <w:tcW w:w="6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332,935</w:t>
            </w:r>
          </w:p>
        </w:tc>
      </w:tr>
      <w:tr>
        <w:trPr>
          <w:trHeight w:val="54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8,435</w:t>
            </w:r>
          </w:p>
        </w:tc>
        <w:tc>
          <w:tcPr>
            <w:tcW w:w="66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13,400</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930</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4,423</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1,647</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2,520</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1,768</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1,603</w:t>
            </w:r>
          </w:p>
        </w:tc>
      </w:tr>
      <w:tr>
        <w:trPr>
          <w:trHeight w:val="33"/>
        </w:trPr>
        <w:tc>
          <w:tcPr>
            <w:tcW w:w="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292,636</w:t>
            </w:r>
          </w:p>
        </w:tc>
        <w:tc>
          <w:tcPr>
            <w:tcW w:w="6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354,881</w:t>
            </w:r>
          </w:p>
        </w:tc>
      </w:tr>
      <w:tr>
        <w:trPr>
          <w:trHeight w:val="810"/>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780" w:type="dxa"/>
            <w:vAlign w:val="bottom"/>
          </w:tcPr>
          <w:p>
            <w:pPr>
              <w:jc w:val="right"/>
              <w:ind w:right="119"/>
              <w:spacing w:after="0"/>
              <w:rPr>
                <w:sz w:val="20"/>
                <w:szCs w:val="20"/>
                <w:color w:val="auto"/>
              </w:rPr>
            </w:pPr>
            <w:r>
              <w:rPr>
                <w:rFonts w:ascii="Arial" w:cs="Arial" w:eastAsia="Arial" w:hAnsi="Arial"/>
                <w:sz w:val="16"/>
                <w:szCs w:val="16"/>
                <w:color w:val="auto"/>
              </w:rPr>
              <w:t>239</w:t>
            </w:r>
          </w:p>
        </w:tc>
        <w:tc>
          <w:tcPr>
            <w:tcW w:w="66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238</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276,103</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265,195</w:t>
            </w:r>
          </w:p>
        </w:tc>
      </w:tr>
      <w:tr>
        <w:trPr>
          <w:trHeight w:val="270"/>
        </w:trPr>
        <w:tc>
          <w:tcPr>
            <w:tcW w:w="780" w:type="dxa"/>
            <w:vAlign w:val="bottom"/>
          </w:tcPr>
          <w:p>
            <w:pPr>
              <w:jc w:val="right"/>
              <w:ind w:right="79"/>
              <w:spacing w:after="0"/>
              <w:rPr>
                <w:sz w:val="20"/>
                <w:szCs w:val="20"/>
                <w:color w:val="auto"/>
              </w:rPr>
            </w:pPr>
            <w:r>
              <w:rPr>
                <w:rFonts w:ascii="Arial" w:cs="Arial" w:eastAsia="Arial" w:hAnsi="Arial"/>
                <w:sz w:val="16"/>
                <w:szCs w:val="16"/>
                <w:color w:val="auto"/>
                <w:w w:val="87"/>
              </w:rPr>
              <w:t>(275,889)</w:t>
            </w:r>
          </w:p>
        </w:tc>
        <w:tc>
          <w:tcPr>
            <w:tcW w:w="6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(262,065)</w:t>
            </w:r>
          </w:p>
        </w:tc>
      </w:tr>
      <w:tr>
        <w:trPr>
          <w:trHeight w:val="270"/>
        </w:trPr>
        <w:tc>
          <w:tcPr>
            <w:tcW w:w="780" w:type="dxa"/>
            <w:vAlign w:val="bottom"/>
          </w:tcPr>
          <w:p>
            <w:pPr>
              <w:jc w:val="right"/>
              <w:ind w:right="79"/>
              <w:spacing w:after="0"/>
              <w:rPr>
                <w:sz w:val="20"/>
                <w:szCs w:val="20"/>
                <w:color w:val="auto"/>
              </w:rPr>
            </w:pPr>
            <w:r>
              <w:rPr>
                <w:rFonts w:ascii="Arial" w:cs="Arial" w:eastAsia="Arial" w:hAnsi="Arial"/>
                <w:sz w:val="16"/>
                <w:szCs w:val="16"/>
                <w:color w:val="auto"/>
              </w:rPr>
              <w:t>(20,281)</w:t>
            </w:r>
          </w:p>
        </w:tc>
        <w:tc>
          <w:tcPr>
            <w:tcW w:w="6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(16,599)</w:t>
            </w:r>
          </w:p>
        </w:tc>
      </w:tr>
      <w:tr>
        <w:trPr>
          <w:trHeight w:val="270"/>
        </w:trPr>
        <w:tc>
          <w:tcPr>
            <w:tcW w:w="780" w:type="dxa"/>
            <w:vAlign w:val="bottom"/>
          </w:tcPr>
          <w:p>
            <w:pPr>
              <w:jc w:val="right"/>
              <w:ind w:right="119"/>
              <w:spacing w:after="0"/>
              <w:rPr>
                <w:sz w:val="20"/>
                <w:szCs w:val="20"/>
                <w:color w:val="auto"/>
              </w:rPr>
            </w:pPr>
            <w:r>
              <w:rPr>
                <w:rFonts w:ascii="Arial" w:cs="Arial" w:eastAsia="Arial" w:hAnsi="Arial"/>
                <w:sz w:val="16"/>
                <w:szCs w:val="16"/>
                <w:color w:val="auto"/>
                <w:w w:val="96"/>
              </w:rPr>
              <w:t>282,788</w:t>
            </w:r>
          </w:p>
        </w:tc>
        <w:tc>
          <w:tcPr>
            <w:tcW w:w="6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266,780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-1642110</wp:posOffset>
            </wp:positionV>
            <wp:extent cx="11404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046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-2671445</wp:posOffset>
            </wp:positionV>
            <wp:extent cx="11404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046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-4051935</wp:posOffset>
            </wp:positionV>
            <wp:extent cx="11404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7900" w:space="720"/>
            <w:col w:w="2680"/>
          </w:cols>
          <w:pgMar w:left="240" w:top="118" w:right="359" w:bottom="1440" w:gutter="0" w:footer="0" w:header="0"/>
          <w:type w:val="continuous"/>
        </w:sectPr>
      </w:pPr>
    </w:p>
    <w:tbl>
      <w:tblPr>
        <w:tblLayout w:type="fixed"/>
        <w:tblInd w:w="120" w:type="dxa"/>
        <w:tblCellMar>
          <w:top w:w="0" w:type="dxa"/>
          <w:left w:w="0" w:type="dxa"/>
          <w:bottom w:w="0" w:type="dxa"/>
          <w:right w:w="0" w:type="dxa"/>
        </w:tblCellMar>
      </w:tblPr>
      <w:tr>
        <w:trPr>
          <w:trHeight w:val="270"/>
        </w:trPr>
        <w:tc>
          <w:tcPr>
            <w:tcW w:w="7380" w:type="dxa"/>
            <w:vAlign w:val="bottom"/>
            <w:tcBorders>
              <w:top w:val="single" w:sz="8" w:color="CCEEFF"/>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stockholders' equity</w:t>
            </w:r>
          </w:p>
        </w:tc>
        <w:tc>
          <w:tcPr>
            <w:tcW w:w="640" w:type="dxa"/>
            <w:vAlign w:val="bottom"/>
            <w:tcBorders>
              <w:top w:val="single" w:sz="8" w:color="auto"/>
              <w:bottom w:val="single" w:sz="8" w:color="CCEEFF"/>
            </w:tcBorders>
            <w:shd w:val="clear" w:color="auto" w:fill="CCEEFF"/>
          </w:tcPr>
          <w:p>
            <w:pPr>
              <w:spacing w:after="0"/>
              <w:rPr>
                <w:sz w:val="23"/>
                <w:szCs w:val="23"/>
                <w:color w:val="auto"/>
              </w:rPr>
            </w:pPr>
          </w:p>
        </w:tc>
        <w:tc>
          <w:tcPr>
            <w:tcW w:w="11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262,960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680" w:type="dxa"/>
            <w:vAlign w:val="bottom"/>
            <w:tcBorders>
              <w:top w:val="single" w:sz="8" w:color="auto"/>
              <w:bottom w:val="single" w:sz="8" w:color="CCEEFF"/>
            </w:tcBorders>
            <w:shd w:val="clear" w:color="auto" w:fill="CCEEFF"/>
          </w:tcPr>
          <w:p>
            <w:pPr>
              <w:spacing w:after="0"/>
              <w:rPr>
                <w:sz w:val="23"/>
                <w:szCs w:val="23"/>
                <w:color w:val="auto"/>
              </w:rPr>
            </w:pP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253,549</w:t>
            </w:r>
          </w:p>
        </w:tc>
      </w:tr>
      <w:tr>
        <w:trPr>
          <w:trHeight w:val="217"/>
        </w:trPr>
        <w:tc>
          <w:tcPr>
            <w:tcW w:w="7380" w:type="dxa"/>
            <w:vAlign w:val="bottom"/>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555,596</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608,430</w:t>
            </w:r>
          </w:p>
        </w:tc>
      </w:tr>
      <w:tr>
        <w:trPr>
          <w:trHeight w:val="33"/>
        </w:trPr>
        <w:tc>
          <w:tcPr>
            <w:tcW w:w="73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See Note 5 for further information concerning our purchases from related party vendors.</w:t>
      </w:r>
    </w:p>
    <w:p>
      <w:pPr>
        <w:spacing w:after="0" w:line="86"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300"/>
          </w:cols>
          <w:pgMar w:left="240" w:top="118" w:right="359" w:bottom="1440" w:gutter="0" w:footer="0" w:header="0"/>
          <w:type w:val="continuous"/>
        </w:sect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300"/>
          </w:cols>
          <w:pgMar w:left="240" w:top="118" w:right="359" w:bottom="1440" w:gutter="0" w:footer="0" w:header="0"/>
          <w:type w:val="continuous"/>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680,241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651,371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538,437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530,083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487,247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141,804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164,124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23,815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21,416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Factory transition restructuring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119,654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127,476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114,384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Guangzhou factory</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14,242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20,384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Universal Electronics Inc.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11,924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20,354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 attributable to Universal Electronics Inc.: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0.85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earnings (loss)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14,060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14,764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11,924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9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(3,682)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9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13,362</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w:t>
            </w:r>
          </w:p>
        </w:tc>
        <w:tc>
          <w:tcPr>
            <w:tcW w:w="9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Universal Electronics Inc.</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8,242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13,332</w:t>
            </w:r>
          </w:p>
        </w:tc>
      </w:tr>
      <w:tr>
        <w:trPr>
          <w:trHeight w:val="27"/>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540" w:type="dxa"/>
            <w:vAlign w:val="bottom"/>
            <w:gridSpan w:val="4"/>
          </w:tcPr>
          <w:p>
            <w:pPr>
              <w:jc w:val="right"/>
              <w:ind w:right="57"/>
              <w:spacing w:after="0"/>
              <w:rPr>
                <w:sz w:val="20"/>
                <w:szCs w:val="20"/>
                <w:color w:val="auto"/>
              </w:rPr>
            </w:pPr>
            <w:r>
              <w:rPr>
                <w:rFonts w:ascii="Arial" w:cs="Arial" w:eastAsia="Arial" w:hAnsi="Arial"/>
                <w:sz w:val="13"/>
                <w:szCs w:val="13"/>
                <w:b w:val="1"/>
                <w:bCs w:val="1"/>
                <w:color w:val="auto"/>
              </w:rPr>
              <w:t>Common Stock</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gridSpan w:val="3"/>
          </w:tcPr>
          <w:p>
            <w:pPr>
              <w:jc w:val="right"/>
              <w:ind w:right="297"/>
              <w:spacing w:after="0" w:line="144" w:lineRule="exact"/>
              <w:rPr>
                <w:sz w:val="20"/>
                <w:szCs w:val="20"/>
                <w:color w:val="auto"/>
              </w:rPr>
            </w:pPr>
            <w:r>
              <w:rPr>
                <w:rFonts w:ascii="Arial" w:cs="Arial" w:eastAsia="Arial" w:hAnsi="Arial"/>
                <w:sz w:val="13"/>
                <w:szCs w:val="13"/>
                <w:b w:val="1"/>
                <w:bCs w:val="1"/>
                <w:color w:val="auto"/>
                <w:w w:val="82"/>
              </w:rPr>
              <w:t>Issued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5"/>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in Treasury</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Paid-in</w:t>
            </w:r>
          </w:p>
        </w:tc>
        <w:tc>
          <w:tcPr>
            <w:tcW w:w="980" w:type="dxa"/>
            <w:vAlign w:val="bottom"/>
            <w:gridSpan w:val="3"/>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2"/>
                <w:szCs w:val="2"/>
                <w:color w:val="auto"/>
              </w:rPr>
            </w:pPr>
          </w:p>
        </w:tc>
        <w:tc>
          <w:tcPr>
            <w:tcW w:w="84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000" w:type="dxa"/>
            <w:vAlign w:val="bottom"/>
            <w:gridSpan w:val="3"/>
            <w:vMerge w:val="restart"/>
          </w:tcPr>
          <w:p>
            <w:pPr>
              <w:ind w:left="60"/>
              <w:spacing w:after="0" w:line="135" w:lineRule="exact"/>
              <w:rPr>
                <w:sz w:val="20"/>
                <w:szCs w:val="20"/>
                <w:color w:val="auto"/>
              </w:rPr>
            </w:pPr>
            <w:r>
              <w:rPr>
                <w:rFonts w:ascii="Arial" w:cs="Arial" w:eastAsia="Arial" w:hAnsi="Arial"/>
                <w:sz w:val="13"/>
                <w:szCs w:val="13"/>
                <w:b w:val="1"/>
                <w:bCs w:val="1"/>
                <w:color w:val="auto"/>
                <w:w w:val="99"/>
              </w:rPr>
              <w:t>Noncontrolling</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3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7"/>
              </w:rPr>
              <w:t>Interest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7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2015</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23,176</w:t>
            </w:r>
          </w:p>
        </w:tc>
        <w:tc>
          <w:tcPr>
            <w:tcW w:w="720" w:type="dxa"/>
            <w:vAlign w:val="bottom"/>
            <w:gridSpan w:val="3"/>
            <w:vMerge w:val="restart"/>
            <w:shd w:val="clear" w:color="auto" w:fill="CCEEFF"/>
          </w:tcPr>
          <w:p>
            <w:pPr>
              <w:jc w:val="right"/>
              <w:ind w:right="317"/>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(8,825)</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(210,333)</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228,269</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(15,799)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255,240</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257,908</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720" w:type="dxa"/>
            <w:vAlign w:val="bottom"/>
            <w:gridSpan w:val="3"/>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20,354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20,384</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(7,022)</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Shares issued for employee benefit</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plan and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912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treasury shares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(12,647)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(12,647)</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Stock options exercised</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6,241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6,244</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to directors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Employee and director stock-based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compensation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10,324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10,324</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benefit from exercise of non-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qualified stock options and vested</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2,007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w w:val="99"/>
              </w:rPr>
              <w:t>Performance - based common stock</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warrants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2,728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Deconsolidation of Encore Controls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LLC</w:t>
            </w:r>
          </w:p>
        </w:tc>
        <w:tc>
          <w:tcPr>
            <w:tcW w:w="8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71"/>
        </w:trPr>
        <w:tc>
          <w:tcPr>
            <w:tcW w:w="2300" w:type="dxa"/>
            <w:vAlign w:val="bottom"/>
          </w:tcPr>
          <w:p>
            <w:pPr>
              <w:ind w:left="40"/>
              <w:spacing w:after="0"/>
              <w:rPr>
                <w:sz w:val="20"/>
                <w:szCs w:val="20"/>
                <w:color w:val="auto"/>
              </w:rPr>
            </w:pPr>
            <w:r>
              <w:rPr>
                <w:rFonts w:ascii="Arial" w:cs="Arial" w:eastAsia="Arial" w:hAnsi="Arial"/>
                <w:sz w:val="14"/>
                <w:szCs w:val="14"/>
                <w:color w:val="auto"/>
              </w:rPr>
              <w:t>Balance at December 31, 2016</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23,575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236</w:t>
            </w:r>
          </w:p>
        </w:tc>
        <w:tc>
          <w:tcPr>
            <w:tcW w:w="140" w:type="dxa"/>
            <w:vAlign w:val="bottom"/>
          </w:tcPr>
          <w:p>
            <w:pPr>
              <w:spacing w:after="0"/>
              <w:rPr>
                <w:sz w:val="14"/>
                <w:szCs w:val="1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(9,023)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(222,980)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250,481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(22,821)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275,594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280,510</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Impact to retained earnings from</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adoption of ASU 2016-09</w:t>
            </w:r>
          </w:p>
        </w:tc>
        <w:tc>
          <w:tcPr>
            <w:tcW w:w="8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1,509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171"/>
        </w:trPr>
        <w:tc>
          <w:tcPr>
            <w:tcW w:w="2300" w:type="dxa"/>
            <w:vAlign w:val="bottom"/>
          </w:tcPr>
          <w:p>
            <w:pPr>
              <w:ind w:left="40"/>
              <w:spacing w:after="0"/>
              <w:rPr>
                <w:sz w:val="20"/>
                <w:szCs w:val="20"/>
                <w:color w:val="auto"/>
              </w:rPr>
            </w:pPr>
            <w:r>
              <w:rPr>
                <w:rFonts w:ascii="Arial" w:cs="Arial" w:eastAsia="Arial" w:hAnsi="Arial"/>
                <w:sz w:val="14"/>
                <w:szCs w:val="14"/>
                <w:color w:val="auto"/>
              </w:rPr>
              <w:t>Balance at January 1, 2017</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23,575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236</w:t>
            </w:r>
          </w:p>
        </w:tc>
        <w:tc>
          <w:tcPr>
            <w:tcW w:w="140" w:type="dxa"/>
            <w:vAlign w:val="bottom"/>
          </w:tcPr>
          <w:p>
            <w:pPr>
              <w:spacing w:after="0"/>
              <w:rPr>
                <w:sz w:val="14"/>
                <w:szCs w:val="1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(9,023)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(222,980)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250,481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(22,821)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277,103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282,019</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(10,323)</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Currency translation adjustment</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6,222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6,222</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for employee benefit</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 and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Purchase of treasury shares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(680)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(39,085)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(39,085)</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exercised</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Shares issued to directors</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and director stock-based</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11,943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11,943</w:t>
            </w: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w w:val="99"/>
              </w:rPr>
              <w:t>Performance - based common stock</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warrants</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683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7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238</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(9,703)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(262,065)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265,195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266,780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253,549</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Impact to retained earnings from</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adoption of ASU 2014-09</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4,084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4,084</w:t>
            </w:r>
          </w:p>
        </w:tc>
        <w:tc>
          <w:tcPr>
            <w:tcW w:w="0" w:type="dxa"/>
            <w:vAlign w:val="bottom"/>
          </w:tcPr>
          <w:p>
            <w:pPr>
              <w:spacing w:after="0"/>
              <w:rPr>
                <w:sz w:val="1"/>
                <w:szCs w:val="1"/>
                <w:color w:val="auto"/>
              </w:rPr>
            </w:pPr>
          </w:p>
        </w:tc>
      </w:tr>
      <w:tr>
        <w:trPr>
          <w:trHeight w:val="17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January 1, 2018</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238</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(9,703)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(262,065)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265,195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270,864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257,633</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11,924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11,924</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(3,682)</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Shares issued for employee benefit</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plan and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treasury shares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(13,824)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Stock options exercised</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to directors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Employee and director stock-based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compensation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8,820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8,820</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Performance-based common stock</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warrants</w:t>
            </w:r>
          </w:p>
        </w:tc>
        <w:tc>
          <w:tcPr>
            <w:tcW w:w="8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71"/>
        </w:trPr>
        <w:tc>
          <w:tcPr>
            <w:tcW w:w="2300" w:type="dxa"/>
            <w:vAlign w:val="bottom"/>
          </w:tcPr>
          <w:p>
            <w:pPr>
              <w:ind w:left="40"/>
              <w:spacing w:after="0"/>
              <w:rPr>
                <w:sz w:val="20"/>
                <w:szCs w:val="20"/>
                <w:color w:val="auto"/>
              </w:rPr>
            </w:pPr>
            <w:r>
              <w:rPr>
                <w:rFonts w:ascii="Arial" w:cs="Arial" w:eastAsia="Arial" w:hAnsi="Arial"/>
                <w:sz w:val="14"/>
                <w:szCs w:val="14"/>
                <w:color w:val="auto"/>
              </w:rPr>
              <w:t>Balance at December 31, 2018</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23,933</w:t>
            </w:r>
          </w:p>
        </w:tc>
        <w:tc>
          <w:tcPr>
            <w:tcW w:w="720" w:type="dxa"/>
            <w:vAlign w:val="bottom"/>
            <w:gridSpan w:val="3"/>
            <w:vMerge w:val="restart"/>
          </w:tcPr>
          <w:p>
            <w:pPr>
              <w:jc w:val="right"/>
              <w:ind w:right="317"/>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239</w:t>
            </w:r>
          </w:p>
        </w:tc>
        <w:tc>
          <w:tcPr>
            <w:tcW w:w="140" w:type="dxa"/>
            <w:vAlign w:val="bottom"/>
          </w:tcPr>
          <w:p>
            <w:pPr>
              <w:spacing w:after="0"/>
              <w:rPr>
                <w:sz w:val="14"/>
                <w:szCs w:val="1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(10,116)</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(275,889)</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276,103</w:t>
            </w:r>
          </w:p>
        </w:tc>
        <w:tc>
          <w:tcPr>
            <w:tcW w:w="120" w:type="dxa"/>
            <w:vAlign w:val="bottom"/>
          </w:tcPr>
          <w:p>
            <w:pPr>
              <w:spacing w:after="0"/>
              <w:rPr>
                <w:sz w:val="14"/>
                <w:szCs w:val="14"/>
                <w:color w:val="auto"/>
              </w:rPr>
            </w:pPr>
          </w:p>
        </w:tc>
        <w:tc>
          <w:tcPr>
            <w:tcW w:w="180" w:type="dxa"/>
            <w:vAlign w:val="bottom"/>
            <w:vMerge w:val="restart"/>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(20,281)</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282,788</w:t>
            </w:r>
          </w:p>
        </w:tc>
        <w:tc>
          <w:tcPr>
            <w:tcW w:w="100" w:type="dxa"/>
            <w:vAlign w:val="bottom"/>
          </w:tcPr>
          <w:p>
            <w:pPr>
              <w:spacing w:after="0"/>
              <w:rPr>
                <w:sz w:val="14"/>
                <w:szCs w:val="14"/>
                <w:color w:val="auto"/>
              </w:rPr>
            </w:pP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262,960</w:t>
            </w:r>
          </w:p>
        </w:tc>
        <w:tc>
          <w:tcPr>
            <w:tcW w:w="0" w:type="dxa"/>
            <w:vAlign w:val="bottom"/>
          </w:tcPr>
          <w:p>
            <w:pPr>
              <w:spacing w:after="0"/>
              <w:rPr>
                <w:sz w:val="1"/>
                <w:szCs w:val="1"/>
                <w:color w:val="auto"/>
              </w:rPr>
            </w:pPr>
          </w:p>
        </w:tc>
      </w:tr>
      <w:tr>
        <w:trPr>
          <w:trHeight w:val="60"/>
        </w:trPr>
        <w:tc>
          <w:tcPr>
            <w:tcW w:w="2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See Note 5 for further information concerning our purchases from related party vendors.</w:t>
      </w:r>
    </w:p>
    <w:p>
      <w:pPr>
        <w:spacing w:after="0" w:line="113"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provided by (used for) operating activities: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7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Net income (loss)</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11,924</w:t>
            </w: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(10,323)</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20,384</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7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33,602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31,312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26,967</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Provision for doubtful accounts</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720"/>
              <w:spacing w:after="0"/>
              <w:rPr>
                <w:sz w:val="20"/>
                <w:szCs w:val="20"/>
                <w:color w:val="auto"/>
              </w:rPr>
            </w:pPr>
            <w:r>
              <w:rPr>
                <w:rFonts w:ascii="Arial" w:cs="Arial" w:eastAsia="Arial" w:hAnsi="Arial"/>
                <w:sz w:val="14"/>
                <w:szCs w:val="14"/>
                <w:color w:val="auto"/>
              </w:rPr>
              <w:t>Provision for inventory write-downs</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8,655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4,119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Gain on sale of Guangzhou factory</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(36,978)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72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3,967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7,597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(1,637)</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Tax benefit from exercise of stock options and vested restricted stock</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720"/>
              <w:spacing w:after="0"/>
              <w:rPr>
                <w:sz w:val="20"/>
                <w:szCs w:val="20"/>
                <w:color w:val="auto"/>
              </w:rPr>
            </w:pPr>
            <w:r>
              <w:rPr>
                <w:rFonts w:ascii="Arial" w:cs="Arial" w:eastAsia="Arial" w:hAnsi="Arial"/>
                <w:sz w:val="14"/>
                <w:szCs w:val="14"/>
                <w:color w:val="auto"/>
              </w:rPr>
              <w:t>Excess tax benefit from stock-based compensation</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(1,970)</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Shares issued for employee benefit plan</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1,062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720"/>
              <w:spacing w:after="0"/>
              <w:rPr>
                <w:sz w:val="20"/>
                <w:szCs w:val="20"/>
                <w:color w:val="auto"/>
              </w:rPr>
            </w:pPr>
            <w:r>
              <w:rPr>
                <w:rFonts w:ascii="Arial" w:cs="Arial" w:eastAsia="Arial" w:hAnsi="Arial"/>
                <w:sz w:val="14"/>
                <w:szCs w:val="14"/>
                <w:color w:val="auto"/>
              </w:rPr>
              <w:t>Employee and director stock-based compensation</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8,820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11,943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10,324</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Performance-based common stock warrants</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720"/>
              <w:spacing w:after="0"/>
              <w:rPr>
                <w:sz w:val="20"/>
                <w:szCs w:val="20"/>
                <w:color w:val="auto"/>
              </w:rPr>
            </w:pPr>
            <w:r>
              <w:rPr>
                <w:rFonts w:ascii="Arial" w:cs="Arial" w:eastAsia="Arial" w:hAnsi="Arial"/>
                <w:sz w:val="14"/>
                <w:szCs w:val="14"/>
                <w:color w:val="auto"/>
              </w:rPr>
              <w:t>Impairment of China factory equipment</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4,907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4,100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140"/>
              <w:spacing w:after="0"/>
              <w:rPr>
                <w:sz w:val="20"/>
                <w:szCs w:val="20"/>
                <w:color w:val="auto"/>
              </w:rPr>
            </w:pPr>
            <w:r>
              <w:rPr>
                <w:rFonts w:ascii="Arial" w:cs="Arial" w:eastAsia="Arial" w:hAnsi="Arial"/>
                <w:sz w:val="14"/>
                <w:szCs w:val="14"/>
                <w:color w:val="auto"/>
              </w:rPr>
              <w:t>Accounts receivable and contract assets</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5,455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(22,192)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(3,882)</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(19,870)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(29,916)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(14,800)</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140"/>
              <w:spacing w:after="0"/>
              <w:rPr>
                <w:sz w:val="20"/>
                <w:szCs w:val="20"/>
                <w:color w:val="auto"/>
              </w:rPr>
            </w:pPr>
            <w:r>
              <w:rPr>
                <w:rFonts w:ascii="Arial" w:cs="Arial" w:eastAsia="Arial" w:hAnsi="Arial"/>
                <w:sz w:val="14"/>
                <w:szCs w:val="14"/>
                <w:color w:val="auto"/>
              </w:rPr>
              <w:t>Prepaid expenses and other assets</w:t>
            </w: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(4,477)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Accounts payable and accrued liabilities</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(7,386)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10,970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10,451</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140"/>
              <w:spacing w:after="0"/>
              <w:rPr>
                <w:sz w:val="20"/>
                <w:szCs w:val="20"/>
                <w:color w:val="auto"/>
              </w:rPr>
            </w:pPr>
            <w:r>
              <w:rPr>
                <w:rFonts w:ascii="Arial" w:cs="Arial" w:eastAsia="Arial" w:hAnsi="Arial"/>
                <w:sz w:val="14"/>
                <w:szCs w:val="14"/>
                <w:color w:val="auto"/>
              </w:rPr>
              <w:t>Accrued income taxes</w:t>
            </w: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(1,184)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4,535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(5,159)</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12,855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9,165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49,543</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Cash provided by (used for) investing activities: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Guangzhou factory</w:t>
            </w:r>
          </w:p>
        </w:tc>
        <w:tc>
          <w:tcPr>
            <w:tcW w:w="34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51,291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Acquisitions of property, plant and equipment</w:t>
            </w: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(20,142)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(40,384)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(40,651)</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Refund of deposit received toward sale of Guangzhou factory</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(5,053)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Acquisitions of intangible assets</w:t>
            </w: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(2,521)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(1,949)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(1,912)</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net assets of Residential Control Systems, Inc.</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(8,894)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Deposit received toward sale of Guangzhou factory</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Deconsolidation of Encore Controls LLC</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740" w:type="dxa"/>
            <w:vAlign w:val="bottom"/>
          </w:tcPr>
          <w:p>
            <w:pPr>
              <w:ind w:left="720"/>
              <w:spacing w:after="0"/>
              <w:rPr>
                <w:sz w:val="20"/>
                <w:szCs w:val="20"/>
                <w:color w:val="auto"/>
              </w:rPr>
            </w:pPr>
            <w:r>
              <w:rPr>
                <w:rFonts w:ascii="Arial" w:cs="Arial" w:eastAsia="Arial" w:hAnsi="Arial"/>
                <w:sz w:val="14"/>
                <w:szCs w:val="14"/>
                <w:color w:val="auto"/>
              </w:rPr>
              <w:t>Net cash provided by (used for) investing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23,575</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(51,227)</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(37,718)</w:t>
            </w: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provided by (used for) financing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Borrowings under line of credit</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68,000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157,000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147,974</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Repayments on line of credit</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(104,500)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(68,987)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(147,987)</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Proceeds from stock options exercised</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1,442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6,244</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Treasury stock purchased</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(13,824)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(39,085)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(12,647)</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Contingent consideration payments in connection with business combinations</w:t>
            </w: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(3,858)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Excess tax benefit from stock-based compensation</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1,970</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720"/>
              <w:spacing w:after="0"/>
              <w:rPr>
                <w:sz w:val="20"/>
                <w:szCs w:val="20"/>
                <w:color w:val="auto"/>
              </w:rPr>
            </w:pPr>
            <w:r>
              <w:rPr>
                <w:rFonts w:ascii="Arial" w:cs="Arial" w:eastAsia="Arial" w:hAnsi="Arial"/>
                <w:sz w:val="14"/>
                <w:szCs w:val="14"/>
                <w:color w:val="auto"/>
              </w:rPr>
              <w:t>Net cash provided by (used for) financing activities</w:t>
            </w: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(53,318)</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50,370</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(4,446)</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2,756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(5,134)</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4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40" w:type="dxa"/>
            <w:vAlign w:val="bottom"/>
          </w:tcPr>
          <w:p>
            <w:pPr>
              <w:spacing w:after="0"/>
              <w:rPr>
                <w:sz w:val="14"/>
                <w:szCs w:val="14"/>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(14,132)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7,505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2,245</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year</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67,339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59,834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57,589</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53,207</w:t>
            </w: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67,339</w:t>
            </w:r>
          </w:p>
        </w:tc>
        <w:tc>
          <w:tcPr>
            <w:tcW w:w="120" w:type="dxa"/>
            <w:vAlign w:val="bottom"/>
          </w:tcPr>
          <w:p>
            <w:pPr>
              <w:spacing w:after="0"/>
              <w:rPr>
                <w:sz w:val="14"/>
                <w:szCs w:val="14"/>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59,834</w:t>
            </w:r>
          </w:p>
        </w:tc>
        <w:tc>
          <w:tcPr>
            <w:tcW w:w="0" w:type="dxa"/>
            <w:vAlign w:val="bottom"/>
          </w:tcPr>
          <w:p>
            <w:pPr>
              <w:spacing w:after="0"/>
              <w:rPr>
                <w:sz w:val="1"/>
                <w:szCs w:val="1"/>
                <w:color w:val="auto"/>
              </w:rPr>
            </w:pPr>
          </w:p>
        </w:tc>
      </w:tr>
      <w:tr>
        <w:trPr>
          <w:trHeight w:val="100"/>
        </w:trPr>
        <w:tc>
          <w:tcPr>
            <w:tcW w:w="6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674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Supplemental cash flow information:</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 paid</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7,658</w:t>
            </w:r>
          </w:p>
        </w:tc>
        <w:tc>
          <w:tcPr>
            <w:tcW w:w="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8,280</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9,891</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460" w:type="dxa"/>
            <w:vAlign w:val="bottom"/>
            <w:gridSpan w:val="2"/>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Interest paid</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4,981</w:t>
            </w: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2,751</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68"/>
        </w:trPr>
        <w:tc>
          <w:tcPr>
            <w:tcW w:w="67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See Note 5 for further information concerning our purchases from related party vendors.</w:t>
      </w:r>
    </w:p>
    <w:p>
      <w:pPr>
        <w:spacing w:after="0" w:line="136" w:lineRule="exact"/>
        <w:rPr>
          <w:sz w:val="20"/>
          <w:szCs w:val="20"/>
          <w:color w:val="auto"/>
        </w:rPr>
      </w:pPr>
    </w:p>
    <w:p>
      <w:pPr>
        <w:ind w:left="320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400"/>
          </w:cols>
          <w:pgMar w:left="240" w:top="118" w:right="259" w:bottom="1108"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118" w:right="259" w:bottom="1108" w:gutter="0" w:footer="0" w:header="0"/>
          <w:type w:val="continuous"/>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Universal Electronics Inc. ("UEI"), based in Scottsdale, Arizona, develops and manufactures a broad line of easy-to-use, pre-programmed universal control products, audio-video ("AV") accessories and intelligent wireless security and smart home products as well as software designed to enable consumers to wirelessly connect, control and interact with an increasingly complex home entertainment, automation and security environment. In addition, over the past 30 years, we have developed a broad portfolio of patented technologies and a database of home connectivity software that we license to our customers, including many leading Fortune 500 companies.</w:t>
      </w:r>
    </w:p>
    <w:p>
      <w:pPr>
        <w:spacing w:after="0" w:line="134"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 xml:space="preserve">Our primary markets include cable and satellite television service provider, original equipment manufacturer ("OEM"), retail, private label, pro-security installation and personal computing companies. We sell directly to our customers, and for retail we also sell through distributors in Europe, Australia, New Zealand, South Africa, the Middle East, Mexico, and selected countries in Asia and Latin America under the </w:t>
      </w:r>
      <w:r>
        <w:rPr>
          <w:rFonts w:ascii="Arial" w:cs="Arial" w:eastAsia="Arial" w:hAnsi="Arial"/>
          <w:sz w:val="16"/>
          <w:szCs w:val="16"/>
          <w:i w:val="1"/>
          <w:iCs w:val="1"/>
          <w:color w:val="auto"/>
        </w:rPr>
        <w:t>One For All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Nevo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terms "we", "us" and "our" refer to Universal Electronics Inc. and its subsidiaries unless the context indicates to the contrary.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and jointly owned entities in which we have a controlling interest. All intercompany accounts and transactions have been eliminated in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period amounts in the accompanying consolidated financial statements have been reclassified to conform to the current year presentation. These reclassifications had no effect on previously reported net income or stockholders' equity.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doubtful accounts, inventory valuation, our review for impairment of long-lived assets, intangible assets and goodwill, business combinations, income taxes, stock-based compensation expense and performance-based common stock warrants. Actual results may differ from these assumptions and estimates, and they may be adjusted as more information becomes available. Any adjustment may be material.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adopted Accounting Standards Update ("ASU") 2014-09, "Revenue from Contracts with Customers," and all related amendments as of January 1, 2018. The impact of this new guidance on our accounting policies and consolidated financial statements is described below under this caption and further in Note 2 under the caption "Recently Adopted Accounting Pronouncements."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performance obligations primarily arise from manufacturing and delivering universal control, sensing and automation products and AV accessories, which are sold through multiple channels, and intellectual property that is embedded in these products or licensed to others. These performance obligations are satisfied at a point in time or over time, as described below. Payment terms are typically on open credit terms consistent with industry practice and do not have significant financing components. Some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contracts contain early payment discounts, which are recognized as a reduction to revenue if the customer typically meets the early payment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Consideration may be variable based on indeterminate volumes.</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1, 2018, revenue is recognized over time when the customer simultaneously receives and consumes the benefits provided by our performance, our performance creates or enhances an asset that the customer controls, or when our performance creates an asset with no alternative use to us (custom products) and we have an enforceable right to payment for performance completed to date, such as a firm order or other contractual commitment from the customer. An asset does not have an alternative use if we are unable to redirect the asset to another customer in the foreseeable future without significant rework. The method for measuring progress towards satisfying a performance obligation for a custom product is based on the costs incurred to date (cost-to-cost method). We believe that the costs associated with production are most closely aligned with the revenue associated with those products.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at a point in time if the criteria for recognizing revenue over time are not met, the title of the goods has transferred, and we have a present right to payment.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typically recognize revenue for the sale of tooling at a point in time, which is generally upon completion of the tooling and, if applicable, acceptance by the customer.</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 in the period in which we make such a determination.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 for discounts and rebates based on historical experience and our expectations regarding future sales to our customers. Accruals for discounts and rebates are recorded as a reduction to sales in the same period as the related revenue. Changes in such accruals may be required if future rebates and incentives differ from our estimates.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license our intellectual property including our patented technologies, trademarks, and database of control codes. When license fees are paid on a per-unit basis, we record license revenue when our customers manufacture or ship a product incorporating our intellectual property and we have a present right to payment. When a fixed up-front license fee is received in exchange for the delivery of a particular database of infrared codes or the contract contains a minimum guarantee provision, we record revenue when delivery of the intellectual property has occurred. Tiered royalties are recorded on a straight-line basis according to the forecasted per-unit fees taking into account the pricing tiers.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 assets represent revenue which has been recognized based on our accounting policies but for which the customer has not yet been invoiced and thus an account receivable has not yet been recorded.</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prior accounting standards, prior to January 1, 2018, we recognized revenue on the sale of products when title of the goods had transferred, there was persuasive evidence of an arrangement (such as a purchase order from the customer), the sales price was fixed or determinable and collectability was reasonably assured. Revenue for term license fees were recognized on a straight-line basis over the effective term of the license when we could not reliably predict in which periods, within the term of the license, the licensee would benefit from the use of our patented inventions.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other accrued liabilities until they are remitted to the government agency.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expense includes U.S. and foreign income taxes. We account for income taxes using the liability method. We record deferred tax assets and deferred tax liabilities on our balance sheet for expected future tax consequences of events recognized in our financial statements in a different period than our tax return using enacted tax rates that will be in effect when these differences reverse. We record a valuation allowance to reduce net deferred tax assets if we determine that it is more likely than not that the deferred tax assets will not be realized. A current tax asset or liability is recognized for the estimated taxes refundable or payable for the current year.</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Accounting standards prescribe a recognition threshold and a measurement attribute for the financial statement recognition and measurement of positions taken or expected to be taken in a tax return. For those benefits to be recognized, a tax position must be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more likely than not to be sustained upon examination by taxing authorities, or else a full reserve is established against the tax asset or a liability is recorded. A "more likely than not" tax position is measured as the largest amount of benefit that is greater than fifty percent likely of being realized upon ultimate settlement. See Note 9 for further information concerning income taxes.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 and consist primarily of salaries, employee benefits, supplies and materials.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Advertising costs are expensed as incurred. Advertising expense totaled $1.3 million, $1.1 million, and $1.1 million for the years ended December 31, 2018, 2017 and 2016,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include shipping and handling fees billed to customers in net sales. Shipping and handling costs associated with in-bound freight are recorded in cost of goods sold. Other shipping and handling costs are included in selling, general and administrative expenses and totaled $12.2 million, $12.2 million and $11.6 million for the years ended December 31, 2018, 2017 and 2016,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the grant date fair value of stock-based compensation awards as expense in proportion to vesting during the requisite service period, which ranges from one to four years. Forfeitures of stock-based awards are accounted for as they occur.</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 the fair value of restricted stock awards utilizing the average of the high and low trading prices of our Company's common shares on the date they were granted.</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stock options granted to employees and directors is determined utilizing the Black-Scholes option pricing model. The assumptions utilized in the Black-Scholes model include the risk-free interest rate, expected volatility, expected life in years and dividend yield.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 See Note 16 for further information regarding stock-based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Common Stock Warrants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measurement date for performance-based common stock warrants is the date on which the warrants vest. We recognize the fair value of performance-based common stock warrants as a reduction to net sales ratably as the warrants vest based on the projected number of warrants that will vest, the proportion of the performance criteria achieved by the customer within the period relative to the total performance required (aggregate purchase levels) for the warrants to vest and the then-current fair value of the related unvested warrants. If we do not have a reliable forecast of future purchases to be made by the customer by which to estimate the number of warrants that will vest, then the maximum number of potential warrants is assumed until such time that a reliable forecast of future purchases is available. To the extent that our projections change in the future as to the number of warrants that will vest, a cumulative catch-up adjustment will be recorded in the period in which our estimates change.</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performance-based common stock warrants is determined utilizing the Black-Scholes option pricing model. The assumptions utilized in the Black-Scholes model include the price of our common stock, the risk-free interest rate, expected volatility, expected life in years and dividend yield. The price of our common stock is equal to the average of the high and low trade prices of our common stock on the measurement date. The risk-free interest rate over the expected life is equal to the prevailing U.S. Treasury note rate over the same period. Expected volatility is determined utilizing historical volatility over a period of time equal to the expected life of the warrant. Expected life is equal to the remaining contractual term of the warrant. The dividend yield is assumed to be zero since we have not historically declared dividends and do not have any plans to declare dividends in the future. See Note 17 for further information regarding performance-based common stock warrants.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intended for settlement are translated at exchange rates in effect at the balance sheet date. Our intercompany foreign investments and long-term debt that are not intended for settlement are translated using historical exchange rates.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18 for further information concerning transaction gains and losses.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including the dilutive effect of stock options, restricted stock and common stock warrants, outstanding during the period. Dilutive potential common shares for all periods presented are computed utilizing the treasury stock method; however, dilutive potential common shares are excluded where their inclusion would be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instruments consist primarily of cash and cash equivalents, restricted cash, accounts receivable, accounts payable, accrued liabilities and debt. The carrying value of our financial instruments approximates fair value as a result of their short maturities. See Notes 3, 4, 5, 8, 10, and 11 for further information concerning our financial instruments.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Cash and cash equivalents include cash accounts and all investments purchased with initial maturities of three months or less. Domestically we generally maintain balances in excess of federally insured limits. We attempt to mitigate our exposure to liquidity, credit and other relevant risks by placing our cash and cash equivalents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 See Note 3 for further information concerning cash and cash equivalents.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maintain an allowance for doubtful accounts for estimated losses resulting from the inability of our customers to make payments for products sold or services rendered. The allowance for doubtful accounts is based on a variety of factors, including credit reviews, historical experience, length of time receivables are past due, current economic trends and changes in customer payment behavior.</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allowance for doubtful accounts.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consist of remote controls, wireless sensors and audio-video accessories as well as the related component parts and raw materials. Inventoriable costs include materials, labor, freight-in and manufacturing overhead related to the purchase and production of inventories. We value our inventories at the lower of cost or net realizable value. Cost is determined using the first-in, first-out method. We attempt to carry inventories in amounts necessary to satisfy our customer requirements on a timely basis. See Note 5 for further information concerning our inventories and suppliers.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Product innovations and technological advances may shorten a given product's life cycle. We continually monitor our inventories to identify any excess or obsolete items on hand. We write down our inventories for estimated excess and obsolescence in an amount equal to the difference between the cost of the inventories and estimated net realizable value. These estimates are based upon management's judgment about future demand and market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Property, plant, and equipment are recorded at cost. The cost of property, plant, and equipment includes the purchase price of the asset and all expenditures necessary to prepare the asset for its intended use. We capitalize additions and improvements and expense maintenance and repairs as incurred. To qualify for capitalization, an asset, excluding computer equipment, must have a useful life greater than one year and a cost equal to or greater than $5,000 for individual assets or $5,000 for assets purchased in bulk. To qualify for capitalization, computer equipment must have a useful life of greater than one year and a cost equal to or greater than $1,000 for individual assets or $5,000 for assets purchased in bulk.</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capitalize certain internal and external costs incurred to acquire or create internal use software, principally related to software coding, designing system interfaces and installation and testing of the software.</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25-33 Years</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Tooling and equipment</w:t>
            </w:r>
          </w:p>
        </w:tc>
        <w:tc>
          <w:tcPr>
            <w:tcW w:w="4900" w:type="dxa"/>
            <w:vAlign w:val="bottom"/>
          </w:tcPr>
          <w:p>
            <w:pPr>
              <w:ind w:left="600"/>
              <w:spacing w:after="0"/>
              <w:rPr>
                <w:sz w:val="20"/>
                <w:szCs w:val="20"/>
                <w:color w:val="auto"/>
              </w:rPr>
            </w:pPr>
            <w:r>
              <w:rPr>
                <w:rFonts w:ascii="Arial" w:cs="Arial" w:eastAsia="Arial" w:hAnsi="Arial"/>
                <w:sz w:val="18"/>
                <w:szCs w:val="18"/>
                <w:color w:val="auto"/>
              </w:rPr>
              <w:t>2-7 Years</w:t>
            </w:r>
          </w:p>
        </w:tc>
      </w:tr>
      <w:tr>
        <w:trPr>
          <w:trHeight w:val="27"/>
        </w:trPr>
        <w:tc>
          <w:tcPr>
            <w:tcW w:w="65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4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3-5 Years</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Software</w:t>
            </w:r>
          </w:p>
        </w:tc>
        <w:tc>
          <w:tcPr>
            <w:tcW w:w="4900" w:type="dxa"/>
            <w:vAlign w:val="bottom"/>
          </w:tcPr>
          <w:p>
            <w:pPr>
              <w:ind w:left="600"/>
              <w:spacing w:after="0"/>
              <w:rPr>
                <w:sz w:val="20"/>
                <w:szCs w:val="20"/>
                <w:color w:val="auto"/>
              </w:rPr>
            </w:pPr>
            <w:r>
              <w:rPr>
                <w:rFonts w:ascii="Arial" w:cs="Arial" w:eastAsia="Arial" w:hAnsi="Arial"/>
                <w:sz w:val="18"/>
                <w:szCs w:val="18"/>
                <w:color w:val="auto"/>
              </w:rPr>
              <w:t>3-7 Years</w:t>
            </w:r>
          </w:p>
        </w:tc>
      </w:tr>
      <w:tr>
        <w:trPr>
          <w:trHeight w:val="27"/>
        </w:trPr>
        <w:tc>
          <w:tcPr>
            <w:tcW w:w="65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5-8 Years</w:t>
            </w:r>
          </w:p>
        </w:tc>
      </w:tr>
      <w:tr>
        <w:trPr>
          <w:trHeight w:val="229"/>
        </w:trPr>
        <w:tc>
          <w:tcPr>
            <w:tcW w:w="6500" w:type="dxa"/>
            <w:vAlign w:val="bottom"/>
          </w:tcPr>
          <w:p>
            <w:pPr>
              <w:ind w:left="40"/>
              <w:spacing w:after="0"/>
              <w:rPr>
                <w:sz w:val="20"/>
                <w:szCs w:val="20"/>
                <w:color w:val="auto"/>
              </w:rPr>
            </w:pPr>
            <w:r>
              <w:rPr>
                <w:rFonts w:ascii="Arial" w:cs="Arial" w:eastAsia="Arial" w:hAnsi="Arial"/>
                <w:sz w:val="18"/>
                <w:szCs w:val="18"/>
                <w:color w:val="auto"/>
              </w:rPr>
              <w:t>Leasehold and building improvements</w:t>
            </w:r>
          </w:p>
        </w:tc>
        <w:tc>
          <w:tcPr>
            <w:tcW w:w="4900" w:type="dxa"/>
            <w:vAlign w:val="bottom"/>
          </w:tcPr>
          <w:p>
            <w:pPr>
              <w:ind w:left="600"/>
              <w:spacing w:after="0"/>
              <w:rPr>
                <w:sz w:val="20"/>
                <w:szCs w:val="20"/>
                <w:color w:val="auto"/>
              </w:rPr>
            </w:pPr>
            <w:r>
              <w:rPr>
                <w:rFonts w:ascii="Arial" w:cs="Arial" w:eastAsia="Arial" w:hAnsi="Arial"/>
                <w:sz w:val="18"/>
                <w:szCs w:val="18"/>
                <w:color w:val="auto"/>
              </w:rPr>
              <w:t>Lesser of lease term or useful life</w:t>
            </w:r>
          </w:p>
        </w:tc>
      </w:tr>
      <w:tr>
        <w:trPr>
          <w:trHeight w:val="230"/>
        </w:trPr>
        <w:tc>
          <w:tcPr>
            <w:tcW w:w="6500" w:type="dxa"/>
            <w:vAlign w:val="bottom"/>
          </w:tcPr>
          <w:p>
            <w:pPr>
              <w:spacing w:after="0"/>
              <w:rPr>
                <w:sz w:val="20"/>
                <w:szCs w:val="20"/>
                <w:color w:val="auto"/>
              </w:rPr>
            </w:pPr>
          </w:p>
        </w:tc>
        <w:tc>
          <w:tcPr>
            <w:tcW w:w="4900" w:type="dxa"/>
            <w:vAlign w:val="bottom"/>
          </w:tcPr>
          <w:p>
            <w:pPr>
              <w:ind w:left="600"/>
              <w:spacing w:after="0"/>
              <w:rPr>
                <w:sz w:val="20"/>
                <w:szCs w:val="20"/>
                <w:color w:val="auto"/>
              </w:rPr>
            </w:pPr>
            <w:r>
              <w:rPr>
                <w:rFonts w:ascii="Arial" w:cs="Arial" w:eastAsia="Arial" w:hAnsi="Arial"/>
                <w:sz w:val="18"/>
                <w:szCs w:val="18"/>
                <w:color w:val="auto"/>
              </w:rPr>
              <w:t>(approximately 2 to 10 years)</w:t>
            </w:r>
          </w:p>
        </w:tc>
      </w:tr>
      <w:tr>
        <w:trPr>
          <w:trHeight w:val="405"/>
        </w:trPr>
        <w:tc>
          <w:tcPr>
            <w:tcW w:w="6500" w:type="dxa"/>
            <w:vAlign w:val="bottom"/>
          </w:tcPr>
          <w:p>
            <w:pPr>
              <w:spacing w:after="0"/>
              <w:rPr>
                <w:sz w:val="20"/>
                <w:szCs w:val="20"/>
                <w:color w:val="auto"/>
              </w:rPr>
            </w:pPr>
            <w:r>
              <w:rPr>
                <w:rFonts w:ascii="Arial" w:cs="Arial" w:eastAsia="Arial" w:hAnsi="Arial"/>
                <w:sz w:val="18"/>
                <w:szCs w:val="18"/>
                <w:color w:val="auto"/>
              </w:rPr>
              <w:t>See Note 6 for further information concerning our property, plant, and equipment.</w:t>
            </w:r>
          </w:p>
        </w:tc>
        <w:tc>
          <w:tcPr>
            <w:tcW w:w="490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the excess purchase price of net tangible and intangible assets acquired over their estimated fair value as goodwill. We evaluate the carrying value of goodwill on 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evaluate whether goodwill is impaired, we conduct a two-step quantitative goodwill impairment test. In the first step we compare the estimated fair value of our single reporting unit to the reporting unit's carrying amount, including goodwill. We estimate the fair value of our reporting unit based on income and market approaches. Under the income approach, we calculate the fair value based on the present value of estimated future cash flows. Under the market approach, we estimate the fair value based on market multiples of enterprise value to EBITDA for comparable companies. If the carrying value of the net assets assigned to the reporting unit exceeds the fair value of the reporting unit, then we perform the second step of the impairment test in order to determine the implied fair value of the reporting unit's goodwill. To calculate the implied fair value of the reporting unit's goodwill, the fair value of the reporting unit is first allocated to all of the other assets and liabilities of that unit based on their fair values. The excess of the reporting unit's fair value over the amount assigned to its other assets and liabilities is the implied fair value of goodwill. An impairment loss would be recognized equal to the amount by which the carrying value of goodwill exceeds its implied fair value.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See Note 7 for further information concerning goodwill.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Intangible Assets Impairment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Intangible assets consist of distribution rights, patents, trademarks and trade names, developed and core technologies, capitalized software development costs (see also Note 2 under the caption </w:t>
      </w:r>
      <w:r>
        <w:rPr>
          <w:rFonts w:ascii="Arial" w:cs="Arial" w:eastAsia="Arial" w:hAnsi="Arial"/>
          <w:sz w:val="18"/>
          <w:szCs w:val="18"/>
          <w:i w:val="1"/>
          <w:iCs w:val="1"/>
          <w:color w:val="auto"/>
        </w:rPr>
        <w:t>Capitalized Software Development Costs</w:t>
      </w:r>
      <w:r>
        <w:rPr>
          <w:rFonts w:ascii="Arial" w:cs="Arial" w:eastAsia="Arial" w:hAnsi="Arial"/>
          <w:sz w:val="18"/>
          <w:szCs w:val="18"/>
          <w:color w:val="auto"/>
        </w:rPr>
        <w:t>), customer relationships and order backlog. Capitalized amounts related to patents represent external legal costs for the application, maintenance and extension of the useful life of patents. Intangible assets are amortized using the straight-line method over their estimated period of benefit, ranging from one to 15 years.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the impairment of long-lived assets and intangible assets whenever events or changes in circumstances indicate that the carrying value may not be recoverable. Factors considered important which may trigger an impairment review include the following: (1) significant underperformance relative to historical or projected future operating results; (2) significant changes in the manner or use of the assets or strategy for the overall business; (3) significant negative industry or economic trends; and (4) a significant decline in our stock price for a sustained period.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make assumptions regarding estimated future cash flows and other factors.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impairment loss is the amount by which the carrying value of an asset exceeds its fair value. We estimate fair value utilizing the projected discounted cash flow method and a discount rate determined by our management to be commensurate with the risk inherent in our current business model. When calculating fair value, we make assumptions regarding estimated future cash flows, discount rates and other factors.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See Notes 6 and 15 for further information concerning long-lived assets. See Note 7 for further information concerning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incurred to develop software for resale are expensed when incurred as research and development expense until technological feasibility has been established. We have determined that technological feasibility for our products is typically established when a working prototype is complete. Once technological feasibility is established, software development costs are capitalized until the product is available for general release to customers.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software development costs are amortized on a product-by-product basis. Amortization is recorded in cost of sales and is the greater of the amounts computed using:</w:t>
      </w:r>
    </w:p>
    <w:p>
      <w:pPr>
        <w:spacing w:after="0" w:line="116" w:lineRule="exact"/>
        <w:rPr>
          <w:sz w:val="20"/>
          <w:szCs w:val="20"/>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net book value at the beginning of the period multiplied by the ratio that current gross revenues for a product bear to the total of current and anticipated future gross revenues for that product; or</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straight-line method over the remaining estimated economic life of the product including the period being reported 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amortization of capitalized software development costs begins when the related product is available for general release to customers. The amortization period is generally two years.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compare the unamortized capitalized software development costs of a product to its net realizable value at each balance sheet date. The amount by which the unamortized capitalized software development costs exceed the product's net realizable value is written off. The net realizable value is the estimated future gross revenues of a product reduced by its estimated completion and disposal costs. Any remaining amount of capitalized software development costs are considered to be the cost for subsequent accounting periods and the amount of the write-down is not subsequently restored. See Note 7 for further information concerning capitalized software development costs.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allocate the purchase price of acquired businesses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 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spacing w:after="0" w:line="10" w:lineRule="exact"/>
        <w:rPr>
          <w:sz w:val="20"/>
          <w:szCs w:val="20"/>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cash flow from customer contracts, customer lists, distribution agreements, acquired developed technologies, trademarks, trade names and patents;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expected costs to complete development of in-process technology into commercially viable products and cash flows from the products once they are completed;</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discount rates utilized in discounted cash flow models.</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those circumstances where an acquisition involves a contingent consideration arrangement, we recognize a liability equal to the fair value of the contingent payments we expect to make as of the acquisition date. We re-measure this liability at each reporting period and record changes in the fair value within operating expenses. Increases or decreases in the fair value of the contingent consideration liability can result from changes in discount periods and rates, as well as changes in the timing and amount of earnings estimates or in the timing or likelihood of achieving earnings-based milestones.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cash flows of acquired businesses are included in our operating results from the date of acquisition.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Note 22 for further information concerning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foreign currency exposures are primarily concentrated in the Argentinian Peso, Brazilian Real, British Pound, Chinese Yuan Renminbi, Euro, Hong Kong Dollar, Indian Rupee, Japanese Yen, Mexican Peso and Philippine Peso.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derivatives we enter into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 See Note 20 for further information concerning derivatives.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measure fair value using the framework established by the Financial Accounting Standards Board ("FASB")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data source. These two types of inputs result in the following fair value hierarchy:</w:t>
      </w:r>
    </w:p>
    <w:p>
      <w:pPr>
        <w:spacing w:after="0" w:line="127"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for identical instruments in active markets.</w:t>
      </w:r>
    </w:p>
    <w:p>
      <w:pPr>
        <w:spacing w:after="0" w:line="185" w:lineRule="exact"/>
        <w:rPr>
          <w:sz w:val="20"/>
          <w:szCs w:val="20"/>
          <w:color w:val="auto"/>
        </w:rPr>
      </w:pPr>
    </w:p>
    <w:p>
      <w:pPr>
        <w:jc w:val="both"/>
        <w:ind w:left="1060" w:right="60" w:hanging="1025"/>
        <w:spacing w:after="0" w:line="264" w:lineRule="auto"/>
        <w:tabs>
          <w:tab w:leader="none" w:pos="10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41"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Prices or valuations that require management inputs that are both significant to the fair value measurement and unobservable.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2018, we adopted ASU 2014-09 using the modified retrospective transition method. Under this method, we evaluated all contracts that were in effect at the beginning of 2018 as if those contracts had been accounted for under the new revenue standard based on the terms in effect as of the adoption date. Under the modified retrospective transition approach, periods prior to the adoption date were not adjusted and continue to be reported in accordance with historical U.S. GAAP. A cumulative catch-up adjustment was recorded to beginning retained earnings to reflect the impact of all existing arrangements under the new revenue standard.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effects of the changes made to our consolidated January 1, 2018 balance sheet for the adoption of ASU 2014-09, were as follows: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20" w:type="dxa"/>
            <w:vAlign w:val="bottom"/>
          </w:tcPr>
          <w:p>
            <w:pPr>
              <w:jc w:val="right"/>
              <w:ind w:right="774"/>
              <w:spacing w:after="0"/>
              <w:rPr>
                <w:sz w:val="20"/>
                <w:szCs w:val="20"/>
                <w:color w:val="auto"/>
              </w:rPr>
            </w:pPr>
            <w:r>
              <w:rPr>
                <w:rFonts w:ascii="Arial" w:cs="Arial" w:eastAsia="Arial" w:hAnsi="Arial"/>
                <w:sz w:val="14"/>
                <w:szCs w:val="14"/>
                <w:b w:val="1"/>
                <w:bCs w:val="1"/>
                <w:color w:val="auto"/>
              </w:rPr>
              <w:t>As reported</w:t>
            </w:r>
          </w:p>
        </w:tc>
        <w:tc>
          <w:tcPr>
            <w:tcW w:w="16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w w:val="97"/>
              </w:rPr>
              <w:t>Adjustments due to</w:t>
            </w:r>
          </w:p>
        </w:tc>
        <w:tc>
          <w:tcPr>
            <w:tcW w:w="380" w:type="dxa"/>
            <w:vAlign w:val="bottom"/>
          </w:tcPr>
          <w:p>
            <w:pPr>
              <w:spacing w:after="0"/>
              <w:rPr>
                <w:sz w:val="16"/>
                <w:szCs w:val="16"/>
                <w:color w:val="auto"/>
              </w:rPr>
            </w:pPr>
          </w:p>
        </w:tc>
        <w:tc>
          <w:tcPr>
            <w:tcW w:w="1400" w:type="dxa"/>
            <w:vAlign w:val="bottom"/>
          </w:tcPr>
          <w:p>
            <w:pPr>
              <w:jc w:val="right"/>
              <w:ind w:right="45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84"/>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Consolidated Balance Sheet (In thousands)</w:t>
            </w:r>
          </w:p>
        </w:tc>
        <w:tc>
          <w:tcPr>
            <w:tcW w:w="1560" w:type="dxa"/>
            <w:vAlign w:val="bottom"/>
          </w:tcPr>
          <w:p>
            <w:pPr>
              <w:spacing w:after="0"/>
              <w:rPr>
                <w:sz w:val="7"/>
                <w:szCs w:val="7"/>
                <w:color w:val="auto"/>
              </w:rPr>
            </w:pPr>
          </w:p>
        </w:tc>
        <w:tc>
          <w:tcPr>
            <w:tcW w:w="1820" w:type="dxa"/>
            <w:vAlign w:val="bottom"/>
            <w:vMerge w:val="restart"/>
          </w:tcPr>
          <w:p>
            <w:pPr>
              <w:jc w:val="right"/>
              <w:ind w:right="814"/>
              <w:spacing w:after="0"/>
              <w:rPr>
                <w:sz w:val="20"/>
                <w:szCs w:val="20"/>
                <w:color w:val="auto"/>
              </w:rPr>
            </w:pPr>
            <w:r>
              <w:rPr>
                <w:rFonts w:ascii="Arial" w:cs="Arial" w:eastAsia="Arial" w:hAnsi="Arial"/>
                <w:sz w:val="14"/>
                <w:szCs w:val="14"/>
                <w:b w:val="1"/>
                <w:bCs w:val="1"/>
                <w:color w:val="auto"/>
              </w:rPr>
              <w:t>12/31/2017</w:t>
            </w:r>
          </w:p>
        </w:tc>
        <w:tc>
          <w:tcPr>
            <w:tcW w:w="16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40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1/1/2018</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ASU 2014-09</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16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29,759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29,759</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560" w:type="dxa"/>
            <w:vAlign w:val="bottom"/>
          </w:tcPr>
          <w:p>
            <w:pPr>
              <w:spacing w:after="0"/>
              <w:rPr>
                <w:sz w:val="21"/>
                <w:szCs w:val="21"/>
                <w:color w:val="auto"/>
              </w:rPr>
            </w:pPr>
          </w:p>
        </w:tc>
        <w:tc>
          <w:tcPr>
            <w:tcW w:w="1820" w:type="dxa"/>
            <w:vAlign w:val="bottom"/>
          </w:tcPr>
          <w:p>
            <w:pPr>
              <w:jc w:val="right"/>
              <w:ind w:right="334"/>
              <w:spacing w:after="0"/>
              <w:rPr>
                <w:sz w:val="20"/>
                <w:szCs w:val="20"/>
                <w:color w:val="auto"/>
              </w:rPr>
            </w:pPr>
            <w:r>
              <w:rPr>
                <w:rFonts w:ascii="Arial" w:cs="Arial" w:eastAsia="Arial" w:hAnsi="Arial"/>
                <w:sz w:val="18"/>
                <w:szCs w:val="18"/>
                <w:color w:val="auto"/>
              </w:rPr>
              <w:t>162,589</w:t>
            </w: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(23,830)</w:t>
            </w:r>
          </w:p>
        </w:tc>
        <w:tc>
          <w:tcPr>
            <w:tcW w:w="38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138,759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11,687</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11,513</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1560" w:type="dxa"/>
            <w:vAlign w:val="bottom"/>
          </w:tcPr>
          <w:p>
            <w:pPr>
              <w:spacing w:after="0"/>
              <w:rPr>
                <w:sz w:val="21"/>
                <w:szCs w:val="21"/>
                <w:color w:val="auto"/>
              </w:rPr>
            </w:pPr>
          </w:p>
        </w:tc>
        <w:tc>
          <w:tcPr>
            <w:tcW w:w="1820" w:type="dxa"/>
            <w:vAlign w:val="bottom"/>
          </w:tcPr>
          <w:p>
            <w:pPr>
              <w:jc w:val="right"/>
              <w:ind w:right="334"/>
              <w:spacing w:after="0"/>
              <w:rPr>
                <w:sz w:val="20"/>
                <w:szCs w:val="20"/>
                <w:color w:val="auto"/>
              </w:rPr>
            </w:pPr>
            <w:r>
              <w:rPr>
                <w:rFonts w:ascii="Arial" w:cs="Arial" w:eastAsia="Arial" w:hAnsi="Arial"/>
                <w:sz w:val="18"/>
                <w:szCs w:val="18"/>
                <w:color w:val="auto"/>
              </w:rPr>
              <w:t>7,913</w:t>
            </w:r>
          </w:p>
        </w:tc>
        <w:tc>
          <w:tcPr>
            <w:tcW w:w="1640" w:type="dxa"/>
            <w:vAlign w:val="bottom"/>
          </w:tcPr>
          <w:p>
            <w:pPr>
              <w:jc w:val="right"/>
              <w:ind w:right="74"/>
              <w:spacing w:after="0"/>
              <w:rPr>
                <w:sz w:val="20"/>
                <w:szCs w:val="20"/>
                <w:color w:val="auto"/>
              </w:rPr>
            </w:pPr>
            <w:r>
              <w:rPr>
                <w:rFonts w:ascii="Arial" w:cs="Arial" w:eastAsia="Arial" w:hAnsi="Arial"/>
                <w:sz w:val="18"/>
                <w:szCs w:val="18"/>
                <w:color w:val="auto"/>
              </w:rPr>
              <w:t>2,572</w:t>
            </w:r>
          </w:p>
        </w:tc>
        <w:tc>
          <w:tcPr>
            <w:tcW w:w="38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other current liabilities</w:t>
            </w:r>
          </w:p>
        </w:tc>
        <w:tc>
          <w:tcPr>
            <w:tcW w:w="1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332,935</w:t>
            </w:r>
          </w:p>
        </w:tc>
        <w:tc>
          <w:tcPr>
            <w:tcW w:w="16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4,100</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337,035</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1560" w:type="dxa"/>
            <w:vAlign w:val="bottom"/>
          </w:tcPr>
          <w:p>
            <w:pPr>
              <w:spacing w:after="0"/>
              <w:rPr>
                <w:sz w:val="21"/>
                <w:szCs w:val="21"/>
                <w:color w:val="auto"/>
              </w:rPr>
            </w:pPr>
          </w:p>
        </w:tc>
        <w:tc>
          <w:tcPr>
            <w:tcW w:w="1820" w:type="dxa"/>
            <w:vAlign w:val="bottom"/>
          </w:tcPr>
          <w:p>
            <w:pPr>
              <w:jc w:val="right"/>
              <w:ind w:right="334"/>
              <w:spacing w:after="0"/>
              <w:rPr>
                <w:sz w:val="20"/>
                <w:szCs w:val="20"/>
                <w:color w:val="auto"/>
              </w:rPr>
            </w:pPr>
            <w:r>
              <w:rPr>
                <w:rFonts w:ascii="Arial" w:cs="Arial" w:eastAsia="Arial" w:hAnsi="Arial"/>
                <w:sz w:val="18"/>
                <w:szCs w:val="18"/>
                <w:color w:val="auto"/>
              </w:rPr>
              <w:t>4,423</w:t>
            </w:r>
          </w:p>
        </w:tc>
        <w:tc>
          <w:tcPr>
            <w:tcW w:w="1640" w:type="dxa"/>
            <w:vAlign w:val="bottom"/>
          </w:tcPr>
          <w:p>
            <w:pPr>
              <w:jc w:val="right"/>
              <w:ind w:right="74"/>
              <w:spacing w:after="0"/>
              <w:rPr>
                <w:sz w:val="20"/>
                <w:szCs w:val="20"/>
                <w:color w:val="auto"/>
              </w:rPr>
            </w:pPr>
            <w:r>
              <w:rPr>
                <w:rFonts w:ascii="Arial" w:cs="Arial" w:eastAsia="Arial" w:hAnsi="Arial"/>
                <w:sz w:val="18"/>
                <w:szCs w:val="18"/>
                <w:color w:val="auto"/>
              </w:rPr>
              <w:t>122</w:t>
            </w:r>
          </w:p>
        </w:tc>
        <w:tc>
          <w:tcPr>
            <w:tcW w:w="38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56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266,780</w:t>
            </w:r>
          </w:p>
        </w:tc>
        <w:tc>
          <w:tcPr>
            <w:tcW w:w="1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4,084</w:t>
            </w: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270,864</w:t>
            </w:r>
          </w:p>
        </w:tc>
        <w:tc>
          <w:tcPr>
            <w:tcW w:w="0" w:type="dxa"/>
            <w:vAlign w:val="bottom"/>
          </w:tcPr>
          <w:p>
            <w:pPr>
              <w:spacing w:after="0"/>
              <w:rPr>
                <w:sz w:val="1"/>
                <w:szCs w:val="1"/>
                <w:color w:val="auto"/>
              </w:rPr>
            </w:pPr>
          </w:p>
        </w:tc>
      </w:tr>
      <w:tr>
        <w:trPr>
          <w:trHeight w:val="27"/>
        </w:trPr>
        <w:tc>
          <w:tcPr>
            <w:tcW w:w="45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compare the reported consolidated balance sheet and statements of operations as of and for the twelve months ended December 31, 2018, to pro forma amounts had the previous guidance been in effect. The guidance did not have a significant impact on the Company's consolidated statement of cash flows.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0"/>
              </w:rPr>
              <w:t>As of December 31, 2018</w:t>
            </w: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Consolidated Balance Sheet (In thousands)</w:t>
            </w: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As reported</w:t>
            </w:r>
          </w:p>
        </w:tc>
        <w:tc>
          <w:tcPr>
            <w:tcW w:w="19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Without Adoption of ASU</w:t>
            </w:r>
          </w:p>
        </w:tc>
        <w:tc>
          <w:tcPr>
            <w:tcW w:w="300" w:type="dxa"/>
            <w:vAlign w:val="bottom"/>
          </w:tcPr>
          <w:p>
            <w:pPr>
              <w:spacing w:after="0"/>
              <w:rPr>
                <w:sz w:val="13"/>
                <w:szCs w:val="13"/>
                <w:color w:val="auto"/>
              </w:rPr>
            </w:pPr>
          </w:p>
        </w:tc>
        <w:tc>
          <w:tcPr>
            <w:tcW w:w="15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3"/>
              </w:rPr>
              <w:t>2014-09</w:t>
            </w: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25,572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25,572</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144,350</w:t>
            </w:r>
          </w:p>
        </w:tc>
        <w:tc>
          <w:tcPr>
            <w:tcW w:w="200" w:type="dxa"/>
            <w:vAlign w:val="bottom"/>
          </w:tcPr>
          <w:p>
            <w:pPr>
              <w:spacing w:after="0"/>
              <w:rPr>
                <w:sz w:val="21"/>
                <w:szCs w:val="21"/>
                <w:color w:val="auto"/>
              </w:rPr>
            </w:pPr>
          </w:p>
        </w:tc>
        <w:tc>
          <w:tcPr>
            <w:tcW w:w="1720" w:type="dxa"/>
            <w:vAlign w:val="bottom"/>
          </w:tcPr>
          <w:p>
            <w:pPr>
              <w:jc w:val="right"/>
              <w:ind w:right="74"/>
              <w:spacing w:after="0"/>
              <w:rPr>
                <w:sz w:val="20"/>
                <w:szCs w:val="20"/>
                <w:color w:val="auto"/>
              </w:rPr>
            </w:pPr>
            <w:r>
              <w:rPr>
                <w:rFonts w:ascii="Arial" w:cs="Arial" w:eastAsia="Arial" w:hAnsi="Arial"/>
                <w:sz w:val="18"/>
                <w:szCs w:val="18"/>
                <w:color w:val="auto"/>
              </w:rPr>
              <w:t>164,974</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11,638</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11,610</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1,833</w:t>
            </w:r>
          </w:p>
        </w:tc>
        <w:tc>
          <w:tcPr>
            <w:tcW w:w="200" w:type="dxa"/>
            <w:vAlign w:val="bottom"/>
          </w:tcPr>
          <w:p>
            <w:pPr>
              <w:spacing w:after="0"/>
              <w:rPr>
                <w:sz w:val="21"/>
                <w:szCs w:val="21"/>
                <w:color w:val="auto"/>
              </w:rPr>
            </w:pPr>
          </w:p>
        </w:tc>
        <w:tc>
          <w:tcPr>
            <w:tcW w:w="1720" w:type="dxa"/>
            <w:vAlign w:val="bottom"/>
          </w:tcPr>
          <w:p>
            <w:pPr>
              <w:jc w:val="right"/>
              <w:ind w:right="74"/>
              <w:spacing w:after="0"/>
              <w:rPr>
                <w:sz w:val="20"/>
                <w:szCs w:val="20"/>
                <w:color w:val="auto"/>
              </w:rPr>
            </w:pPr>
            <w:r>
              <w:rPr>
                <w:rFonts w:ascii="Arial" w:cs="Arial" w:eastAsia="Arial" w:hAnsi="Arial"/>
                <w:sz w:val="18"/>
                <w:szCs w:val="18"/>
                <w:color w:val="auto"/>
              </w:rPr>
              <w:t>1,889</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other current liabilities</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279,856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278,106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(20,281)</w:t>
            </w:r>
          </w:p>
        </w:tc>
        <w:tc>
          <w:tcPr>
            <w:tcW w:w="20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(19,750)</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282,788</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279,087</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459"/>
        </w:trPr>
        <w:tc>
          <w:tcPr>
            <w:tcW w:w="458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4"/>
          </w:tcPr>
          <w:p>
            <w:pPr>
              <w:jc w:val="center"/>
              <w:ind w:left="1094"/>
              <w:spacing w:after="0"/>
              <w:rPr>
                <w:sz w:val="20"/>
                <w:szCs w:val="20"/>
                <w:color w:val="auto"/>
              </w:rPr>
            </w:pPr>
            <w:r>
              <w:rPr>
                <w:rFonts w:ascii="Arial" w:cs="Arial" w:eastAsia="Arial" w:hAnsi="Arial"/>
                <w:sz w:val="14"/>
                <w:szCs w:val="14"/>
                <w:b w:val="1"/>
                <w:bCs w:val="1"/>
                <w:color w:val="auto"/>
                <w:w w:val="91"/>
              </w:rPr>
              <w:t>Twelve months ended December 31, 2018</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Consolidated Statement of Operations (In thousands)</w:t>
            </w:r>
          </w:p>
        </w:tc>
        <w:tc>
          <w:tcPr>
            <w:tcW w:w="320" w:type="dxa"/>
            <w:vAlign w:val="bottom"/>
          </w:tcPr>
          <w:p>
            <w:pPr>
              <w:spacing w:after="0"/>
              <w:rPr>
                <w:sz w:val="13"/>
                <w:szCs w:val="13"/>
                <w:color w:val="auto"/>
              </w:rPr>
            </w:pPr>
          </w:p>
        </w:tc>
        <w:tc>
          <w:tcPr>
            <w:tcW w:w="15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As reported</w:t>
            </w:r>
          </w:p>
        </w:tc>
        <w:tc>
          <w:tcPr>
            <w:tcW w:w="19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Without Adoption of ASU</w:t>
            </w:r>
          </w:p>
        </w:tc>
        <w:tc>
          <w:tcPr>
            <w:tcW w:w="420" w:type="dxa"/>
            <w:vAlign w:val="bottom"/>
          </w:tcPr>
          <w:p>
            <w:pPr>
              <w:spacing w:after="0"/>
              <w:rPr>
                <w:sz w:val="13"/>
                <w:szCs w:val="13"/>
                <w:color w:val="auto"/>
              </w:rPr>
            </w:pPr>
          </w:p>
        </w:tc>
        <w:tc>
          <w:tcPr>
            <w:tcW w:w="15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w w:val="97"/>
              </w:rPr>
              <w:t>Effect of Change</w:t>
            </w:r>
          </w:p>
        </w:tc>
        <w:tc>
          <w:tcPr>
            <w:tcW w:w="0" w:type="dxa"/>
            <w:vAlign w:val="bottom"/>
          </w:tcPr>
          <w:p>
            <w:pPr>
              <w:spacing w:after="0"/>
              <w:rPr>
                <w:sz w:val="1"/>
                <w:szCs w:val="1"/>
                <w:color w:val="auto"/>
              </w:rPr>
            </w:pPr>
          </w:p>
        </w:tc>
      </w:tr>
      <w:tr>
        <w:trPr>
          <w:trHeight w:val="192"/>
        </w:trPr>
        <w:tc>
          <w:tcPr>
            <w:tcW w:w="57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12"/>
              <w:spacing w:after="0"/>
              <w:rPr>
                <w:sz w:val="20"/>
                <w:szCs w:val="20"/>
                <w:color w:val="auto"/>
              </w:rPr>
            </w:pPr>
            <w:r>
              <w:rPr>
                <w:rFonts w:ascii="Arial" w:cs="Arial" w:eastAsia="Arial" w:hAnsi="Arial"/>
                <w:sz w:val="14"/>
                <w:szCs w:val="14"/>
                <w:b w:val="1"/>
                <w:bCs w:val="1"/>
                <w:color w:val="auto"/>
                <w:w w:val="93"/>
              </w:rPr>
              <w:t>2014-09</w:t>
            </w: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680,241</w:t>
            </w:r>
          </w:p>
        </w:tc>
        <w:tc>
          <w:tcPr>
            <w:tcW w:w="4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684,043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538,437</w:t>
            </w:r>
          </w:p>
        </w:tc>
        <w:tc>
          <w:tcPr>
            <w:tcW w:w="4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541,731</w:t>
            </w: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119,654</w:t>
            </w: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119,646</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14,242</w:t>
            </w:r>
          </w:p>
        </w:tc>
        <w:tc>
          <w:tcPr>
            <w:tcW w:w="4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14,375</w:t>
            </w: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11,924</w:t>
            </w: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12,307</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324"/>
        </w:trPr>
        <w:tc>
          <w:tcPr>
            <w:tcW w:w="5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0.85</w:t>
            </w:r>
          </w:p>
        </w:tc>
        <w:tc>
          <w:tcPr>
            <w:tcW w:w="48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0.88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0.85</w:t>
            </w:r>
          </w:p>
        </w:tc>
        <w:tc>
          <w:tcPr>
            <w:tcW w:w="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0.88</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5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Accounting Pronouncements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2016, the FASB issued ASU 2016-15, "Classification of Certain Cash Receipts and Cash Payments," which amends ASC 230, "Statement of Cash Flows". This new guidance addresses eight specific cash flow issues with the objective of reducing the existing diversity in practice in how certain transactions are classified in the statement of cash flows. ASU 2016-15 is effective for fiscal periods beginning after December 15, 2017 and must be adopted retrospectively. The adoption of ASU 2016-15 did not have a material impact to the presentation of our consolidated statement of cash flows.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2016, the FASB issued ASU 2016-16, "Intra-Entity Transfers of Assets Other Than Inventory," which changes the accounting for income tax consequences of intra-entity transfers of assets other than inventory. Current guidance prohibits the recognition of current and deferred income taxes for an intra-entity asset transfer until the asset has been sold to an outside party. Under this new guidance, the income tax consequences of an intra-entity transfer of an asset other than inventory will be recognized when the transfer occurs. ASU 2016-16 is effective for fiscal periods beginning after December 15, 2017. The adoption of ASU 2016-16 did not have a material impact on our consolidated financial statements.</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November 2016, the FASB issued ASU 2016-18,"Restricted Cash," which amends ASC 230, "Statement of Cash Flows." This new guidance addresses the classifications and presentation of changes in restricted cash in the statement of cash flows. ASU 2016-18 is effective for fiscal periods beginning after December 15, 2017 and must be adopted retrospectively. The adoption of ASU 2016-18 modified our current disclosures by reclassifying certain amounts within the consolidated statement of cash flows, but did not have a material effect on our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Updates Not Yet Effective</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2016, the FASB issued ASU 2016-02, "Leases," which changes the accounting for leases and requires expanded disclosures about leasing activities. This new guidance will require lessees to recognize a right-of-use asset and a lease liability at the commencement date for all leases with terms greater than twelve months. Accounting by lessors is largely unchanged. ASU 2016-02 is effective for fiscal periods beginning after December 15, 2018 and as originally released required adoption utilizing a modified retrospective approach. Early adoption is permitted. In July 2018, the FASB issued ASU 2018-11, which provides an additional transition method when adopting ASU 2016-02. Under the original guidance, the modified retrospective approach provided that ASU 2016-02 be applied at the beginning of the earliest period presented. ASU 2018-11 allows for the application of the new guidance as of the adoption date with a cumulative-effect adjustment to the opening balance of retained earnings. We plan to adopt ASU 2016-02 effective January 1, 2019 using the new transition guidance provided in ASU 2018-11. Thus prior periods will not be restated. We have largely completed our review of our lease agreements and our assessment of the impact of adopting this standard on our consolidated financial statements, and we estimate that on the adoption date we will record right-of-use assets and corresponding lease liabilities of up to $27 million. Based on our present estimates, we do not expect to record any cumulative-effect impact through retained earnings on the adoption date.</w:t>
      </w:r>
    </w:p>
    <w:p>
      <w:pPr>
        <w:spacing w:after="0" w:line="1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2016, the FASB issued ASU 2016-13, “Measurement of Credit Losses on Financial Instruments.” This guidance updates existing guidance for measuring and recording credit losses on financial assets measured at amortized cost by replacing the “incurred loss” model with an “expected loss” model. Accordingly, these financial assets will be presented at the net amount expected to be collected. ASU 2016-13 is effective for fiscal years beginning after December 15, 2020. Early adoption is permitted. We are currently evaluating the impact that ASU 2016-13 will have on our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"Simplifying the Test for Goodwill Impairment." This guidance simplifies how an entity is required to test goodwill for impairment by eliminating Step 2 from the goodwill impairment test. Instead, if the carrying amount of a reporting unit exceeds its fair value, an impairment loss will be recognized in an amount equal to that excess, limited to the total amount of goodwill allocated to the reporting unit. ASU 2017-04 is effective for fiscal periods beginning after December 31, 2019. Early adoption is permitted. We do not expect the adoption of ASU 2017-04 to have a material impact on our consolidated financial statements.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2018, the FASB issued ASU 2018-07, "Improvements to Non-employee Share-Based Payment Accounting." This guidance expands the scope of Topic 718, "Compensation - Stock Compensation" to include share-based payment transactions for acquiring goods and services from non-employees, but excludes awards granted in conjunction with selling goods or services to a customer as part of a contract accounted for under ASC 606, "Revenue from Contracts with Customers." We are currently evaluating the impact that ASU 2018-07 will have on our consolidated financial statements.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2018, the FASB issued ASU 2018-15, "Customer’s Accounting for implementation Costs Incurred in a Cloud Computing Arrangement That is a Service Contract," which amends ASC 350-40, "Intangibles - Goodwill and Other - Internal-Use Software." The ASU aligns the requirements for capitalizing implementation costs incurred in a hosting arrangement that is a service contract with the requirements for capitalizing implementation costs incurred to develop or obtain internal-use software and requires the capitalized implementation costs to be expensed over the term of the hosting arrangement. The accounting for the service element of a hosting arrangement that is a service contract is not affected. ASU 2018-15 is effective for fiscal periods beginning after December 15, 2019, and interim periods within those fiscal years. We are currently evaluating the impact that ASU 2018-07 will have on our consolidated financial statements.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 and Restricted Cash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10,489</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People's Republic of China ("PRC")</w:t>
            </w: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20,885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23,283</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(excluding the PRC)</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1,405</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Europe</w:t>
            </w: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19,907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18,071</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8,861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9,190</w:t>
            </w:r>
          </w:p>
        </w:tc>
      </w:tr>
      <w:tr>
        <w:trPr>
          <w:trHeight w:val="257"/>
        </w:trPr>
        <w:tc>
          <w:tcPr>
            <w:tcW w:w="774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53,207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62,438</w:t>
            </w: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a proposed sale of our Guangzhou factory in the PRC (Note 13), a prospective buyer made a cash deposit of RMB 32 million ($5.1 million based on April 2018 exchange rates) into an escrow account on September 29, 2016. Under the terms of the escrow account, these funds were not to be paid to us until the close of the sale. Accordingly, this deposit was presented as restricted cash within our consolidated balance sheet. In April 2018, the sale transaction with this buyer was terminated and this deposit was returned to the buyer.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 Net and Revenue Concentrations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receivables, gross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9"/>
              </w:rPr>
              <w:t>133,774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142,299</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Allowance for sales returns</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7"/>
        </w:trPr>
        <w:tc>
          <w:tcPr>
            <w:tcW w:w="2760" w:type="dxa"/>
            <w:vAlign w:val="bottom"/>
            <w:gridSpan w:val="2"/>
          </w:tcPr>
          <w:p>
            <w:pPr>
              <w:ind w:left="380"/>
              <w:spacing w:after="0"/>
              <w:rPr>
                <w:sz w:val="20"/>
                <w:szCs w:val="20"/>
                <w:color w:val="auto"/>
              </w:rPr>
            </w:pPr>
            <w:r>
              <w:rPr>
                <w:rFonts w:ascii="Arial" w:cs="Arial" w:eastAsia="Arial" w:hAnsi="Arial"/>
                <w:sz w:val="18"/>
                <w:szCs w:val="18"/>
                <w:color w:val="auto"/>
              </w:rPr>
              <w:t>Net trade receivables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89"/>
              </w:rPr>
              <w:t>131,922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140,673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12,767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10,905</w:t>
            </w:r>
          </w:p>
        </w:tc>
        <w:tc>
          <w:tcPr>
            <w:tcW w:w="0" w:type="dxa"/>
            <w:vAlign w:val="bottom"/>
          </w:tcPr>
          <w:p>
            <w:pPr>
              <w:spacing w:after="0"/>
              <w:rPr>
                <w:sz w:val="1"/>
                <w:szCs w:val="1"/>
                <w:color w:val="auto"/>
              </w:rPr>
            </w:pPr>
          </w:p>
        </w:tc>
      </w:tr>
      <w:tr>
        <w:trPr>
          <w:trHeight w:val="237"/>
        </w:trPr>
        <w:tc>
          <w:tcPr>
            <w:tcW w:w="276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89"/>
              </w:rPr>
              <w:t>144,689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151,578</w:t>
            </w:r>
          </w:p>
        </w:tc>
        <w:tc>
          <w:tcPr>
            <w:tcW w:w="0" w:type="dxa"/>
            <w:vAlign w:val="bottom"/>
          </w:tcPr>
          <w:p>
            <w:pPr>
              <w:spacing w:after="0"/>
              <w:rPr>
                <w:sz w:val="1"/>
                <w:szCs w:val="1"/>
                <w:color w:val="auto"/>
              </w:rPr>
            </w:pPr>
          </w:p>
        </w:tc>
      </w:tr>
      <w:tr>
        <w:trPr>
          <w:trHeight w:val="27"/>
        </w:trPr>
        <w:tc>
          <w:tcPr>
            <w:tcW w:w="27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40" w:type="dxa"/>
            <w:vAlign w:val="bottom"/>
            <w:gridSpan w:val="8"/>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1,064</w:t>
            </w: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Additions to costs and expenses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3"/>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(Write-offs)/Foreign exchange effects</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57"/>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
        </w:trPr>
        <w:tc>
          <w:tcPr>
            <w:tcW w:w="27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Significant Customers</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40" w:type="dxa"/>
            <w:vAlign w:val="bottom"/>
            <w:gridSpan w:val="8"/>
          </w:tcPr>
          <w:p>
            <w:pPr>
              <w:spacing w:after="0"/>
              <w:rPr>
                <w:sz w:val="20"/>
                <w:szCs w:val="20"/>
                <w:color w:val="auto"/>
              </w:rPr>
            </w:pPr>
            <w:r>
              <w:rPr>
                <w:rFonts w:ascii="Arial" w:cs="Arial" w:eastAsia="Arial" w:hAnsi="Arial"/>
                <w:sz w:val="18"/>
                <w:szCs w:val="18"/>
                <w:color w:val="auto"/>
                <w:w w:val="94"/>
              </w:rPr>
              <w:t>Net sales to the following customers totaled more than 10% of our net sales: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04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9"/>
              </w:rPr>
              <w:t>2016</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w w:val="89"/>
              </w:rPr>
              <w:t>$ (thousands)</w:t>
            </w:r>
          </w:p>
        </w:tc>
        <w:tc>
          <w:tcPr>
            <w:tcW w:w="32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36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6"/>
              </w:rPr>
              <w:t>% of Net</w:t>
            </w:r>
          </w:p>
        </w:tc>
        <w:tc>
          <w:tcPr>
            <w:tcW w:w="140" w:type="dxa"/>
            <w:vAlign w:val="bottom"/>
          </w:tcPr>
          <w:p>
            <w:pPr>
              <w:spacing w:after="0"/>
              <w:rPr>
                <w:sz w:val="13"/>
                <w:szCs w:val="13"/>
                <w:color w:val="auto"/>
              </w:rPr>
            </w:pPr>
          </w:p>
        </w:tc>
        <w:tc>
          <w:tcPr>
            <w:tcW w:w="98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w w:val="89"/>
              </w:rPr>
              <w:t>$ (thousands)</w:t>
            </w:r>
          </w:p>
        </w:tc>
        <w:tc>
          <w:tcPr>
            <w:tcW w:w="340" w:type="dxa"/>
            <w:vAlign w:val="bottom"/>
          </w:tcPr>
          <w:p>
            <w:pPr>
              <w:spacing w:after="0"/>
              <w:rPr>
                <w:sz w:val="13"/>
                <w:szCs w:val="13"/>
                <w:color w:val="auto"/>
              </w:rPr>
            </w:pPr>
          </w:p>
        </w:tc>
        <w:tc>
          <w:tcPr>
            <w:tcW w:w="1060" w:type="dxa"/>
            <w:vAlign w:val="bottom"/>
            <w:gridSpan w:val="2"/>
          </w:tcPr>
          <w:p>
            <w:pPr>
              <w:jc w:val="right"/>
              <w:ind w:right="90"/>
              <w:spacing w:after="0" w:line="153"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87"/>
              </w:rPr>
              <w:t>$ (thousands)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0"/>
              <w:spacing w:after="0" w:line="153" w:lineRule="exact"/>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81"/>
              </w:rPr>
              <w:t>Sales</w:t>
            </w:r>
          </w:p>
        </w:tc>
        <w:tc>
          <w:tcPr>
            <w:tcW w:w="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Sales</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8"/>
                <w:szCs w:val="18"/>
                <w:color w:val="auto"/>
              </w:rPr>
              <w:t>119,809</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159,829</w:t>
            </w:r>
          </w:p>
        </w:tc>
        <w:tc>
          <w:tcPr>
            <w:tcW w:w="1540" w:type="dxa"/>
            <w:vAlign w:val="bottom"/>
            <w:tcBorders>
              <w:bottom w:val="single" w:sz="8" w:color="CCEEFF"/>
            </w:tcBorders>
            <w:gridSpan w:val="5"/>
            <w:shd w:val="clear" w:color="auto" w:fill="CCEEFF"/>
          </w:tcPr>
          <w:p>
            <w:pPr>
              <w:ind w:left="1040"/>
              <w:spacing w:after="0"/>
              <w:rPr>
                <w:sz w:val="20"/>
                <w:szCs w:val="20"/>
                <w:color w:val="auto"/>
              </w:rPr>
            </w:pPr>
            <w:r>
              <w:rPr>
                <w:rFonts w:ascii="Arial" w:cs="Arial" w:eastAsia="Arial" w:hAnsi="Arial"/>
                <w:sz w:val="18"/>
                <w:szCs w:val="18"/>
                <w:color w:val="auto"/>
                <w:w w:val="93"/>
              </w:rPr>
              <w:t>23.0%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149,476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3"/>
              </w:rPr>
              <w:t>22.9%</w:t>
            </w:r>
          </w:p>
        </w:tc>
        <w:tc>
          <w:tcPr>
            <w:tcW w:w="0" w:type="dxa"/>
            <w:vAlign w:val="bottom"/>
          </w:tcPr>
          <w:p>
            <w:pPr>
              <w:spacing w:after="0"/>
              <w:rPr>
                <w:sz w:val="1"/>
                <w:szCs w:val="1"/>
                <w:color w:val="auto"/>
              </w:rPr>
            </w:pPr>
          </w:p>
        </w:tc>
      </w:tr>
      <w:tr>
        <w:trPr>
          <w:trHeight w:val="320"/>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AT&amp;T</w:t>
            </w:r>
          </w:p>
        </w:tc>
        <w:tc>
          <w:tcPr>
            <w:tcW w:w="120" w:type="dxa"/>
            <w:vAlign w:val="bottom"/>
          </w:tcPr>
          <w:p>
            <w:pPr>
              <w:spacing w:after="0"/>
              <w:rPr>
                <w:sz w:val="24"/>
                <w:szCs w:val="24"/>
                <w:color w:val="auto"/>
              </w:rPr>
            </w:pPr>
          </w:p>
        </w:tc>
        <w:tc>
          <w:tcPr>
            <w:tcW w:w="1500" w:type="dxa"/>
            <w:vAlign w:val="bottom"/>
            <w:gridSpan w:val="3"/>
          </w:tcPr>
          <w:p>
            <w:pPr>
              <w:jc w:val="right"/>
              <w:ind w:right="340"/>
              <w:spacing w:after="0" w:line="320" w:lineRule="exact"/>
              <w:rPr>
                <w:sz w:val="20"/>
                <w:szCs w:val="20"/>
                <w:color w:val="auto"/>
              </w:rPr>
            </w:pPr>
            <w:r>
              <w:rPr>
                <w:rFonts w:ascii="Arial" w:cs="Arial" w:eastAsia="Arial" w:hAnsi="Arial"/>
                <w:sz w:val="36"/>
                <w:szCs w:val="36"/>
                <w:color w:val="auto"/>
                <w:vertAlign w:val="subscript"/>
              </w:rPr>
              <w:t>—</w:t>
            </w:r>
            <w:r>
              <w:rPr>
                <w:rFonts w:ascii="Arial" w:cs="Arial" w:eastAsia="Arial" w:hAnsi="Arial"/>
                <w:sz w:val="13"/>
                <w:szCs w:val="13"/>
                <w:color w:val="auto"/>
              </w:rPr>
              <w:t xml:space="preserve">  (1)</w:t>
            </w:r>
          </w:p>
        </w:tc>
        <w:tc>
          <w:tcPr>
            <w:tcW w:w="1360" w:type="dxa"/>
            <w:vAlign w:val="bottom"/>
            <w:gridSpan w:val="2"/>
          </w:tcPr>
          <w:p>
            <w:pPr>
              <w:ind w:left="660"/>
              <w:spacing w:after="0" w:line="320" w:lineRule="exact"/>
              <w:rPr>
                <w:sz w:val="20"/>
                <w:szCs w:val="20"/>
                <w:color w:val="auto"/>
              </w:rPr>
            </w:pPr>
            <w:r>
              <w:rPr>
                <w:rFonts w:ascii="Arial" w:cs="Arial" w:eastAsia="Arial" w:hAnsi="Arial"/>
                <w:sz w:val="36"/>
                <w:szCs w:val="36"/>
                <w:color w:val="auto"/>
                <w:vertAlign w:val="subscript"/>
              </w:rPr>
              <w:t>—</w:t>
            </w:r>
            <w:r>
              <w:rPr>
                <w:rFonts w:ascii="Arial" w:cs="Arial" w:eastAsia="Arial" w:hAnsi="Arial"/>
                <w:sz w:val="13"/>
                <w:szCs w:val="13"/>
                <w:color w:val="auto"/>
              </w:rPr>
              <w:t xml:space="preserve">   (1)</w:t>
            </w:r>
          </w:p>
        </w:tc>
        <w:tc>
          <w:tcPr>
            <w:tcW w:w="140" w:type="dxa"/>
            <w:vAlign w:val="bottom"/>
          </w:tcPr>
          <w:p>
            <w:pPr>
              <w:spacing w:after="0"/>
              <w:rPr>
                <w:sz w:val="24"/>
                <w:szCs w:val="24"/>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77,888</w:t>
            </w:r>
          </w:p>
        </w:tc>
        <w:tc>
          <w:tcPr>
            <w:tcW w:w="1400" w:type="dxa"/>
            <w:vAlign w:val="bottom"/>
            <w:gridSpan w:val="3"/>
          </w:tcPr>
          <w:p>
            <w:pPr>
              <w:ind w:left="1060"/>
              <w:spacing w:after="0"/>
              <w:rPr>
                <w:sz w:val="20"/>
                <w:szCs w:val="20"/>
                <w:color w:val="auto"/>
              </w:rPr>
            </w:pPr>
            <w:r>
              <w:rPr>
                <w:rFonts w:ascii="Arial" w:cs="Arial" w:eastAsia="Arial" w:hAnsi="Arial"/>
                <w:sz w:val="18"/>
                <w:szCs w:val="18"/>
                <w:color w:val="auto"/>
                <w:w w:val="91"/>
              </w:rPr>
              <w:t>11.2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74,704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Sales associated with this customer did not total more than 10% of our net sales for the indicated period.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2"/>
                <w:szCs w:val="22"/>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right"/>
              <w:ind w:right="12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1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 (thousands)</w:t>
            </w:r>
          </w:p>
        </w:tc>
        <w:tc>
          <w:tcPr>
            <w:tcW w:w="340" w:type="dxa"/>
            <w:vAlign w:val="bottom"/>
            <w:vMerge w:val="restart"/>
          </w:tcPr>
          <w:p>
            <w:pPr>
              <w:spacing w:after="0"/>
              <w:rPr>
                <w:sz w:val="13"/>
                <w:szCs w:val="13"/>
                <w:color w:val="auto"/>
              </w:rPr>
            </w:pPr>
          </w:p>
        </w:tc>
        <w:tc>
          <w:tcPr>
            <w:tcW w:w="17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 of Accounts</w:t>
            </w:r>
          </w:p>
        </w:tc>
        <w:tc>
          <w:tcPr>
            <w:tcW w:w="160" w:type="dxa"/>
            <w:vAlign w:val="bottom"/>
          </w:tcPr>
          <w:p>
            <w:pPr>
              <w:spacing w:after="0"/>
              <w:rPr>
                <w:sz w:val="13"/>
                <w:szCs w:val="13"/>
                <w:color w:val="auto"/>
              </w:rPr>
            </w:pPr>
          </w:p>
        </w:tc>
        <w:tc>
          <w:tcPr>
            <w:tcW w:w="11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3"/>
              </w:rPr>
              <w:t>$ (thousands)</w:t>
            </w:r>
          </w:p>
        </w:tc>
        <w:tc>
          <w:tcPr>
            <w:tcW w:w="320" w:type="dxa"/>
            <w:vAlign w:val="bottom"/>
          </w:tcPr>
          <w:p>
            <w:pPr>
              <w:spacing w:after="0"/>
              <w:rPr>
                <w:sz w:val="13"/>
                <w:szCs w:val="13"/>
                <w:color w:val="auto"/>
              </w:rPr>
            </w:pP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 of Accounts</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Receivable, Net</w:t>
            </w: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Receivable, Net</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1700" w:type="dxa"/>
            <w:vAlign w:val="bottom"/>
            <w:gridSpan w:val="2"/>
            <w:shd w:val="clear" w:color="auto" w:fill="CCEEFF"/>
          </w:tcPr>
          <w:p>
            <w:pPr>
              <w:jc w:val="right"/>
              <w:ind w:right="1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700" w:type="dxa"/>
            <w:vAlign w:val="bottom"/>
            <w:gridSpan w:val="2"/>
            <w:shd w:val="clear" w:color="auto" w:fill="CCEEFF"/>
          </w:tcPr>
          <w:p>
            <w:pPr>
              <w:ind w:left="1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25,142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620" w:right="1800" w:hanging="5612"/>
        <w:spacing w:after="0" w:line="986" w:lineRule="auto"/>
        <w:tabs>
          <w:tab w:leader="none" w:pos="196" w:val="left"/>
        </w:tabs>
        <w:numPr>
          <w:ilvl w:val="0"/>
          <w:numId w:val="24"/>
        </w:numPr>
        <w:rPr>
          <w:rFonts w:ascii="Arial" w:cs="Arial" w:eastAsia="Arial" w:hAnsi="Arial"/>
          <w:sz w:val="23"/>
          <w:szCs w:val="23"/>
          <w:color w:val="auto"/>
          <w:vertAlign w:val="superscript"/>
        </w:rPr>
      </w:pPr>
      <w:r>
        <w:rPr>
          <w:rFonts w:ascii="Arial" w:cs="Arial" w:eastAsia="Arial" w:hAnsi="Arial"/>
          <w:sz w:val="17"/>
          <w:szCs w:val="17"/>
          <w:color w:val="auto"/>
        </w:rPr>
        <w:t>Trade receivables associated with this customer did not total more than 10% of our accounts receivable, net at December 31, 2018. 57</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68,834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43,638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25,071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16,214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50,006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105,178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144,350</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162,589</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i w:val="1"/>
                <w:iCs w:val="1"/>
                <w:color w:val="auto"/>
              </w:rPr>
              <w:t>Reserve for Excess and Obsolete Inventory</w:t>
            </w: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0"/>
                <w:szCs w:val="20"/>
                <w:color w:val="auto"/>
              </w:rPr>
            </w:pPr>
            <w:r>
              <w:rPr>
                <w:rFonts w:ascii="Arial" w:cs="Arial" w:eastAsia="Arial" w:hAnsi="Arial"/>
                <w:sz w:val="18"/>
                <w:szCs w:val="18"/>
                <w:color w:val="auto"/>
              </w:rPr>
              <w:t>Changes in the reserve for excess and obsolete inventory were as follows: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420" w:type="dxa"/>
            <w:vAlign w:val="bottom"/>
          </w:tcPr>
          <w:p>
            <w:pPr>
              <w:spacing w:after="0"/>
              <w:rPr>
                <w:sz w:val="23"/>
                <w:szCs w:val="23"/>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(Write-offs)/Foreign exchange effects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5,138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4,288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660" w:hanging="328"/>
        <w:spacing w:after="0" w:line="226"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$2.0 million, $0.4 million, and $0.3 million for the years ended December 31, 2018, 2017, and 2016, respectively. These amounts are production waste and are not included in management’s reserve for excess and obsolete inventory.</w:t>
      </w:r>
    </w:p>
    <w:p>
      <w:pPr>
        <w:spacing w:after="0" w:line="11"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reversal of reserves associated with inventory items that were sold during the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Purchases from the following supplier totaled more than 10% of our total inventory purchases: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60" w:type="dxa"/>
            <w:vAlign w:val="bottom"/>
          </w:tcPr>
          <w:p>
            <w:pPr>
              <w:spacing w:after="0"/>
              <w:rPr>
                <w:sz w:val="22"/>
                <w:szCs w:val="22"/>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right"/>
              <w:ind w:right="1328"/>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right"/>
              <w:ind w:right="13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2"/>
        </w:trPr>
        <w:tc>
          <w:tcPr>
            <w:tcW w:w="1460" w:type="dxa"/>
            <w:vAlign w:val="bottom"/>
          </w:tcPr>
          <w:p>
            <w:pPr>
              <w:spacing w:after="0"/>
              <w:rPr>
                <w:sz w:val="13"/>
                <w:szCs w:val="13"/>
                <w:color w:val="auto"/>
              </w:rPr>
            </w:pPr>
          </w:p>
        </w:tc>
        <w:tc>
          <w:tcPr>
            <w:tcW w:w="13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(thousands)</w:t>
            </w:r>
          </w:p>
        </w:tc>
        <w:tc>
          <w:tcPr>
            <w:tcW w:w="320" w:type="dxa"/>
            <w:vAlign w:val="bottom"/>
            <w:vMerge w:val="restart"/>
          </w:tcPr>
          <w:p>
            <w:pPr>
              <w:spacing w:after="0"/>
              <w:rPr>
                <w:sz w:val="13"/>
                <w:szCs w:val="13"/>
                <w:color w:val="auto"/>
              </w:rPr>
            </w:pPr>
          </w:p>
        </w:tc>
        <w:tc>
          <w:tcPr>
            <w:tcW w:w="17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 of Total</w:t>
            </w:r>
          </w:p>
        </w:tc>
        <w:tc>
          <w:tcPr>
            <w:tcW w:w="180" w:type="dxa"/>
            <w:vAlign w:val="bottom"/>
          </w:tcPr>
          <w:p>
            <w:pPr>
              <w:spacing w:after="0"/>
              <w:rPr>
                <w:sz w:val="13"/>
                <w:szCs w:val="13"/>
                <w:color w:val="auto"/>
              </w:rPr>
            </w:pPr>
          </w:p>
        </w:tc>
        <w:tc>
          <w:tcPr>
            <w:tcW w:w="118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w w:val="98"/>
              </w:rPr>
              <w:t>$ (thousands)</w:t>
            </w:r>
          </w:p>
        </w:tc>
        <w:tc>
          <w:tcPr>
            <w:tcW w:w="340" w:type="dxa"/>
            <w:vAlign w:val="bottom"/>
          </w:tcPr>
          <w:p>
            <w:pPr>
              <w:spacing w:after="0"/>
              <w:rPr>
                <w:sz w:val="13"/>
                <w:szCs w:val="13"/>
                <w:color w:val="auto"/>
              </w:rPr>
            </w:pPr>
          </w:p>
        </w:tc>
        <w:tc>
          <w:tcPr>
            <w:tcW w:w="17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8"/>
              </w:rPr>
              <w:t>% of Total</w:t>
            </w:r>
          </w:p>
        </w:tc>
        <w:tc>
          <w:tcPr>
            <w:tcW w:w="200" w:type="dxa"/>
            <w:vAlign w:val="bottom"/>
          </w:tcPr>
          <w:p>
            <w:pPr>
              <w:spacing w:after="0"/>
              <w:rPr>
                <w:sz w:val="13"/>
                <w:szCs w:val="13"/>
                <w:color w:val="auto"/>
              </w:rPr>
            </w:pPr>
          </w:p>
        </w:tc>
        <w:tc>
          <w:tcPr>
            <w:tcW w:w="11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5"/>
              </w:rPr>
              <w:t>$ (thousands)</w:t>
            </w:r>
          </w:p>
        </w:tc>
        <w:tc>
          <w:tcPr>
            <w:tcW w:w="320" w:type="dxa"/>
            <w:vAlign w:val="bottom"/>
          </w:tcPr>
          <w:p>
            <w:pPr>
              <w:spacing w:after="0"/>
              <w:rPr>
                <w:sz w:val="13"/>
                <w:szCs w:val="13"/>
                <w:color w:val="auto"/>
              </w:rPr>
            </w:pP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0" w:type="dxa"/>
            <w:vAlign w:val="bottom"/>
          </w:tcPr>
          <w:p>
            <w:pPr>
              <w:spacing w:after="0"/>
              <w:rPr>
                <w:sz w:val="1"/>
                <w:szCs w:val="1"/>
                <w:color w:val="auto"/>
              </w:rPr>
            </w:pPr>
          </w:p>
        </w:tc>
      </w:tr>
      <w:tr>
        <w:trPr>
          <w:trHeight w:val="270"/>
        </w:trPr>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Texas Instruments</w:t>
            </w:r>
          </w:p>
        </w:tc>
        <w:tc>
          <w:tcPr>
            <w:tcW w:w="1660" w:type="dxa"/>
            <w:vAlign w:val="bottom"/>
            <w:gridSpan w:val="2"/>
            <w:shd w:val="clear" w:color="auto" w:fill="CCEEFF"/>
          </w:tcPr>
          <w:p>
            <w:pPr>
              <w:jc w:val="right"/>
              <w:ind w:right="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700" w:type="dxa"/>
            <w:vAlign w:val="bottom"/>
            <w:gridSpan w:val="2"/>
            <w:shd w:val="clear" w:color="auto" w:fill="CCEEFF"/>
          </w:tcPr>
          <w:p>
            <w:pPr>
              <w:ind w:left="1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42,058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42,370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23"/>
          <w:szCs w:val="23"/>
          <w:color w:val="auto"/>
          <w:vertAlign w:val="superscript"/>
        </w:rPr>
      </w:pPr>
      <w:r>
        <w:rPr>
          <w:rFonts w:ascii="Arial" w:cs="Arial" w:eastAsia="Arial" w:hAnsi="Arial"/>
          <w:sz w:val="17"/>
          <w:szCs w:val="17"/>
          <w:color w:val="auto"/>
        </w:rPr>
        <w:t>Purchases associated with this supplier did not total more than 10% of our total inventory purchases for the indicated period.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Supplier</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twelve months ended December 31, 2018, 2017, and 2016, we purchased certain printed circuit board assemblies from a related party supplier. The supplier was considered a related party for financial reporting purposes because our Senior Vice President of Strategic Operations owned 40% of this supplier. In the second quarter of 2018, our Senior Vice President sold his interest in this supplier, and thus this supplier is no longer considered a related party.</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inventory purchases made from this supplier while it was a related party were $1.1 million, $5.2 million and $6.4 million during the twelve months ended December 31, 2018, 2017 and 2016, respectively.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18" w:right="239" w:bottom="1440" w:gutter="0" w:footer="0" w:header="0"/>
          <w:type w:val="continuous"/>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20,806</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87,700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82,188</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Tooling</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33,622</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Leasehold and building improvements</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34,486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31,158</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25,406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18,240</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5,620</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8,551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7,154</w:t>
            </w:r>
          </w:p>
        </w:tc>
      </w:tr>
      <w:tr>
        <w:trPr>
          <w:trHeight w:val="237"/>
        </w:trPr>
        <w:tc>
          <w:tcPr>
            <w:tcW w:w="77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207,089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198,788</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(116,805)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(102,323)</w:t>
            </w:r>
          </w:p>
        </w:tc>
      </w:tr>
      <w:tr>
        <w:trPr>
          <w:trHeight w:val="237"/>
        </w:trPr>
        <w:tc>
          <w:tcPr>
            <w:tcW w:w="77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90,284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96,465</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5,556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14,497</w:t>
            </w: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Total property, plant, and equipment, net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95,840</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110,962</w:t>
            </w:r>
          </w:p>
        </w:tc>
      </w:tr>
      <w:tr>
        <w:trPr>
          <w:trHeight w:val="27"/>
        </w:trPr>
        <w:tc>
          <w:tcPr>
            <w:tcW w:w="7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including tooling depreciation which is recorded in cost of goods sold, was $26.4 million, $24.4 million and $20.7 million for the years ended December 31, 2018, 2017, and 2016, respectively.</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net book value of property, plant, and equipment located within the PRC was $76.4 million and $93.6 million on December 31, 2018 and 2017, respectively.</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year ended December 31, 2018, we incurred $2.9 million in impairment on tooling and equipment as a result of the transition of manufacturing operations between our China-based manufacturing facilities following the closure of our Guangzhou factory, which was sold in 2018. We incurred an additional $2.0 million of impairment on factory equipment during the year ended December 31, 2018 as a result of the transition of certain manufacturing operations out of China in response to tariffs enacted in the U.S. in 2018 on certain products manufactured in China and imported into the U.S. These impairment charges, aggregating to $4.9 million, are recorded within cost of goods sold for the year ended December 31, 2018. During the fourth quarter of 2017, we performed an impairment analysis over our factory assets in China, which was triggered primarily by the transition of a number of our customers to next generation products. Based on our forecasted future production, we determined that the realizable value of certain tooling and equipment was less than net book value. Accordingly, we recorded an impairment charge of $4.1 million, of which $3.8 million was recorded in cost of goods sold and the remaining $0.3 million was recorded in selling, general and administrative expenses, during the year ended December 31,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3,884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Tooling</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Leasehold and building improvements</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1,014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188</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construction in progress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5,556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14,497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most of the assets under construction will be placed into service during the first six months of 2019. We will begin to depreciate the cost of these assets under construction once they are placed into service.</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18" w:right="239" w:bottom="1440" w:gutter="0" w:footer="0" w:header="0"/>
          <w:type w:val="continuous"/>
        </w:sectPr>
      </w:pPr>
    </w:p>
    <w:bookmarkStart w:id="60" w:name="page61"/>
    <w:bookmarkEnd w:id="60"/>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bl>
      <w:tblPr>
        <w:tblLayout w:type="fixed"/>
        <w:tblInd w:w="0" w:type="dxa"/>
        <w:tblCellMar>
          <w:top w:w="0" w:type="dxa"/>
          <w:left w:w="0" w:type="dxa"/>
          <w:bottom w:w="0" w:type="dxa"/>
          <w:right w:w="0" w:type="dxa"/>
        </w:tblCellMar>
      </w:tblPr>
      <w:tr>
        <w:trPr>
          <w:trHeight w:val="205"/>
        </w:trPr>
        <w:tc>
          <w:tcPr>
            <w:tcW w:w="1100" w:type="dxa"/>
            <w:vAlign w:val="bottom"/>
            <w:tcBorders>
              <w:top w:val="single" w:sz="8" w:color="0000EE"/>
            </w:tcBorders>
          </w:tcPr>
          <w:p>
            <w:pPr>
              <w:spacing w:after="0"/>
              <w:rPr>
                <w:sz w:val="17"/>
                <w:szCs w:val="17"/>
                <w:color w:val="auto"/>
              </w:rPr>
            </w:pPr>
          </w:p>
        </w:tc>
        <w:tc>
          <w:tcPr>
            <w:tcW w:w="8840" w:type="dxa"/>
            <w:vAlign w:val="bottom"/>
          </w:tcPr>
          <w:p>
            <w:pPr>
              <w:jc w:val="center"/>
              <w:ind w:left="310"/>
              <w:spacing w:after="0" w:line="205" w:lineRule="exact"/>
              <w:rPr>
                <w:sz w:val="20"/>
                <w:szCs w:val="20"/>
                <w:color w:val="auto"/>
              </w:rPr>
            </w:pPr>
            <w:r>
              <w:rPr>
                <w:rFonts w:ascii="Arial" w:cs="Arial" w:eastAsia="Arial" w:hAnsi="Arial"/>
                <w:sz w:val="18"/>
                <w:szCs w:val="18"/>
                <w:b w:val="1"/>
                <w:bCs w:val="1"/>
                <w:color w:val="auto"/>
              </w:rPr>
              <w:t>UNIVERSAL ELECTRONICS INC.</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1100" w:type="dxa"/>
            <w:vAlign w:val="bottom"/>
          </w:tcPr>
          <w:p>
            <w:pPr>
              <w:spacing w:after="0"/>
              <w:rPr>
                <w:sz w:val="18"/>
                <w:szCs w:val="18"/>
                <w:color w:val="auto"/>
              </w:rPr>
            </w:pPr>
          </w:p>
        </w:tc>
        <w:tc>
          <w:tcPr>
            <w:tcW w:w="8840" w:type="dxa"/>
            <w:vAlign w:val="bottom"/>
          </w:tcPr>
          <w:p>
            <w:pPr>
              <w:jc w:val="center"/>
              <w:ind w:left="310"/>
              <w:spacing w:after="0"/>
              <w:rPr>
                <w:sz w:val="20"/>
                <w:szCs w:val="20"/>
                <w:color w:val="auto"/>
              </w:rPr>
            </w:pPr>
            <w:r>
              <w:rPr>
                <w:rFonts w:ascii="Arial" w:cs="Arial" w:eastAsia="Arial" w:hAnsi="Arial"/>
                <w:sz w:val="18"/>
                <w:szCs w:val="18"/>
                <w:b w:val="1"/>
                <w:bCs w:val="1"/>
                <w:color w:val="auto"/>
              </w:rPr>
              <w:t>NOTES TO CONSOLIDATED FINANCIAL STATEMENTS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8840" w:type="dxa"/>
            <w:vAlign w:val="bottom"/>
          </w:tcPr>
          <w:p>
            <w:pPr>
              <w:jc w:val="center"/>
              <w:ind w:left="310"/>
              <w:spacing w:after="0"/>
              <w:rPr>
                <w:sz w:val="20"/>
                <w:szCs w:val="20"/>
                <w:color w:val="auto"/>
              </w:rPr>
            </w:pPr>
            <w:r>
              <w:rPr>
                <w:rFonts w:ascii="Arial" w:cs="Arial" w:eastAsia="Arial" w:hAnsi="Arial"/>
                <w:sz w:val="18"/>
                <w:szCs w:val="18"/>
                <w:b w:val="1"/>
                <w:bCs w:val="1"/>
                <w:color w:val="auto"/>
                <w:w w:val="96"/>
              </w:rPr>
              <w:t>DECEMBER 31, 2018</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864"/>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Note 7 — Goodwill and Intangible Assets, Net</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9940" w:type="dxa"/>
            <w:vAlign w:val="bottom"/>
            <w:gridSpan w:val="2"/>
          </w:tcPr>
          <w:p>
            <w:pPr>
              <w:spacing w:after="0"/>
              <w:rPr>
                <w:sz w:val="20"/>
                <w:szCs w:val="20"/>
                <w:color w:val="auto"/>
              </w:rPr>
            </w:pPr>
            <w:r>
              <w:rPr>
                <w:rFonts w:ascii="Arial" w:cs="Arial" w:eastAsia="Arial" w:hAnsi="Arial"/>
                <w:sz w:val="18"/>
                <w:szCs w:val="18"/>
                <w:i w:val="1"/>
                <w:iCs w:val="1"/>
                <w:color w:val="auto"/>
              </w:rPr>
              <w:t>Goodwill</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9940" w:type="dxa"/>
            <w:vAlign w:val="bottom"/>
            <w:gridSpan w:val="2"/>
          </w:tcPr>
          <w:p>
            <w:pPr>
              <w:spacing w:after="0"/>
              <w:rPr>
                <w:sz w:val="20"/>
                <w:szCs w:val="20"/>
                <w:color w:val="auto"/>
              </w:rPr>
            </w:pPr>
            <w:r>
              <w:rPr>
                <w:rFonts w:ascii="Arial" w:cs="Arial" w:eastAsia="Arial" w:hAnsi="Arial"/>
                <w:sz w:val="18"/>
                <w:szCs w:val="18"/>
                <w:color w:val="auto"/>
              </w:rPr>
              <w:t>Changes in the carrying amount of goodwill were as follows: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2"/>
        </w:trPr>
        <w:tc>
          <w:tcPr>
            <w:tcW w:w="9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43,052</w:t>
            </w:r>
          </w:p>
        </w:tc>
      </w:tr>
      <w:tr>
        <w:trPr>
          <w:trHeight w:val="270"/>
        </w:trPr>
        <w:tc>
          <w:tcPr>
            <w:tcW w:w="994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Goodwill acquired during the period </w:t>
            </w:r>
            <w:r>
              <w:rPr>
                <w:rFonts w:ascii="Arial" w:cs="Arial" w:eastAsia="Arial" w:hAnsi="Arial"/>
                <w:sz w:val="25"/>
                <w:szCs w:val="25"/>
                <w:color w:val="auto"/>
                <w:vertAlign w:val="superscript"/>
              </w:rPr>
              <w:t>(1)</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5,494</w:t>
            </w:r>
          </w:p>
        </w:tc>
      </w:tr>
      <w:tr>
        <w:trPr>
          <w:trHeight w:val="270"/>
        </w:trPr>
        <w:tc>
          <w:tcPr>
            <w:tcW w:w="9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exchange effects</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37"/>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Balance at December 31, 2017</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48,651</w:t>
            </w:r>
          </w:p>
        </w:tc>
      </w:tr>
      <w:tr>
        <w:trPr>
          <w:trHeight w:val="27"/>
        </w:trPr>
        <w:tc>
          <w:tcPr>
            <w:tcW w:w="1100" w:type="dxa"/>
            <w:vAlign w:val="bottom"/>
          </w:tcPr>
          <w:p>
            <w:pPr>
              <w:spacing w:after="0"/>
              <w:rPr>
                <w:sz w:val="2"/>
                <w:szCs w:val="2"/>
                <w:color w:val="auto"/>
              </w:rPr>
            </w:pPr>
          </w:p>
        </w:tc>
        <w:tc>
          <w:tcPr>
            <w:tcW w:w="8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exchange effects</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7"/>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Balance at December 31, 2018</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48,485</w:t>
            </w:r>
          </w:p>
        </w:tc>
      </w:tr>
      <w:tr>
        <w:trPr>
          <w:trHeight w:val="27"/>
        </w:trPr>
        <w:tc>
          <w:tcPr>
            <w:tcW w:w="1100" w:type="dxa"/>
            <w:vAlign w:val="bottom"/>
          </w:tcPr>
          <w:p>
            <w:pPr>
              <w:spacing w:after="0"/>
              <w:rPr>
                <w:sz w:val="2"/>
                <w:szCs w:val="2"/>
                <w:color w:val="auto"/>
              </w:rPr>
            </w:pPr>
          </w:p>
        </w:tc>
        <w:tc>
          <w:tcPr>
            <w:tcW w:w="88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10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60" w:hanging="328"/>
        <w:spacing w:after="0" w:line="216"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During 2017, we recognized $5.5 million of goodwill related to the Residential Control Systems, Inc. acquisition. Refer to Note 22 for further information about this acquisition.</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conducted annual goodwill impairment reviews on December 31, 2018, 2017, and 2016 utilizing significant unobservable inputs (level 3). Based on the analysis performed, we determined that our goodwill was not impaired.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xml:space="preserve">Net </w:t>
            </w:r>
            <w:r>
              <w:rPr>
                <w:rFonts w:ascii="Arial" w:cs="Arial" w:eastAsia="Arial" w:hAnsi="Arial"/>
                <w:sz w:val="8"/>
                <w:szCs w:val="8"/>
                <w:b w:val="1"/>
                <w:bCs w:val="1"/>
                <w:color w:val="auto"/>
              </w:rPr>
              <w:t>(1)</w:t>
            </w:r>
          </w:p>
        </w:tc>
        <w:tc>
          <w:tcPr>
            <w:tcW w:w="38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 xml:space="preserve">Net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 (10 years)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Patents (10 years)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14,560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8,856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13,250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 years)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Developed and core technology</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(5-15 years)</w:t>
            </w:r>
          </w:p>
        </w:tc>
        <w:tc>
          <w:tcPr>
            <w:tcW w:w="26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12,560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12,560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Capitalized software development costs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 years)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(10-15 years)</w:t>
            </w:r>
          </w:p>
        </w:tc>
        <w:tc>
          <w:tcPr>
            <w:tcW w:w="26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32,534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9,859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32,534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13,139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 backlog (1 year)</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62,924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(38,554)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24,370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61,766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(32,725)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29,041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hanging="328"/>
        <w:spacing w:after="0" w:line="21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$7.1 million and $6.0 million on December 31, 2018 and 2017, respectively.</w:t>
      </w:r>
    </w:p>
    <w:p>
      <w:pPr>
        <w:spacing w:after="0" w:line="14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Amortization expense is recorded in selling, general and administrative expenses, except amortization expense related to capitalized software development costs and order backlog, which is recorded in cost of sales. Amortization expense by statement of operations caption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7,081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6,772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6,198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7,184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14" w:right="239" w:bottom="1440" w:gutter="0" w:footer="0" w:header="0"/>
          <w:type w:val="continuous"/>
        </w:sectPr>
      </w:pPr>
    </w:p>
    <w:bookmarkStart w:id="61" w:name="page62"/>
    <w:bookmarkEnd w:id="61"/>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bl>
      <w:tblPr>
        <w:tblLayout w:type="fixed"/>
        <w:tblInd w:w="0" w:type="dxa"/>
        <w:tblCellMar>
          <w:top w:w="0" w:type="dxa"/>
          <w:left w:w="0" w:type="dxa"/>
          <w:bottom w:w="0" w:type="dxa"/>
          <w:right w:w="0" w:type="dxa"/>
        </w:tblCellMar>
      </w:tblPr>
      <w:tr>
        <w:trPr>
          <w:trHeight w:val="205"/>
        </w:trPr>
        <w:tc>
          <w:tcPr>
            <w:tcW w:w="1100" w:type="dxa"/>
            <w:vAlign w:val="bottom"/>
            <w:tcBorders>
              <w:top w:val="single" w:sz="8" w:color="0000EE"/>
            </w:tcBorders>
          </w:tcPr>
          <w:p>
            <w:pPr>
              <w:spacing w:after="0"/>
              <w:rPr>
                <w:sz w:val="17"/>
                <w:szCs w:val="17"/>
                <w:color w:val="auto"/>
              </w:rPr>
            </w:pPr>
          </w:p>
        </w:tc>
        <w:tc>
          <w:tcPr>
            <w:tcW w:w="8840" w:type="dxa"/>
            <w:vAlign w:val="bottom"/>
          </w:tcPr>
          <w:p>
            <w:pPr>
              <w:jc w:val="center"/>
              <w:ind w:left="310"/>
              <w:spacing w:after="0" w:line="205" w:lineRule="exact"/>
              <w:rPr>
                <w:sz w:val="20"/>
                <w:szCs w:val="20"/>
                <w:color w:val="auto"/>
              </w:rPr>
            </w:pPr>
            <w:r>
              <w:rPr>
                <w:rFonts w:ascii="Arial" w:cs="Arial" w:eastAsia="Arial" w:hAnsi="Arial"/>
                <w:sz w:val="18"/>
                <w:szCs w:val="18"/>
                <w:b w:val="1"/>
                <w:bCs w:val="1"/>
                <w:color w:val="auto"/>
              </w:rPr>
              <w:t>UNIVERSAL ELECTRONICS INC.</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1100" w:type="dxa"/>
            <w:vAlign w:val="bottom"/>
          </w:tcPr>
          <w:p>
            <w:pPr>
              <w:spacing w:after="0"/>
              <w:rPr>
                <w:sz w:val="18"/>
                <w:szCs w:val="18"/>
                <w:color w:val="auto"/>
              </w:rPr>
            </w:pPr>
          </w:p>
        </w:tc>
        <w:tc>
          <w:tcPr>
            <w:tcW w:w="8840" w:type="dxa"/>
            <w:vAlign w:val="bottom"/>
          </w:tcPr>
          <w:p>
            <w:pPr>
              <w:jc w:val="center"/>
              <w:ind w:left="310"/>
              <w:spacing w:after="0"/>
              <w:rPr>
                <w:sz w:val="20"/>
                <w:szCs w:val="20"/>
                <w:color w:val="auto"/>
              </w:rPr>
            </w:pPr>
            <w:r>
              <w:rPr>
                <w:rFonts w:ascii="Arial" w:cs="Arial" w:eastAsia="Arial" w:hAnsi="Arial"/>
                <w:sz w:val="18"/>
                <w:szCs w:val="18"/>
                <w:b w:val="1"/>
                <w:bCs w:val="1"/>
                <w:color w:val="auto"/>
              </w:rPr>
              <w:t>NOTES TO CONSOLIDATED FINANCIAL STATEMENTS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8840" w:type="dxa"/>
            <w:vAlign w:val="bottom"/>
          </w:tcPr>
          <w:p>
            <w:pPr>
              <w:jc w:val="center"/>
              <w:ind w:left="310"/>
              <w:spacing w:after="0"/>
              <w:rPr>
                <w:sz w:val="20"/>
                <w:szCs w:val="20"/>
                <w:color w:val="auto"/>
              </w:rPr>
            </w:pPr>
            <w:r>
              <w:rPr>
                <w:rFonts w:ascii="Arial" w:cs="Arial" w:eastAsia="Arial" w:hAnsi="Arial"/>
                <w:sz w:val="18"/>
                <w:szCs w:val="18"/>
                <w:b w:val="1"/>
                <w:bCs w:val="1"/>
                <w:color w:val="auto"/>
                <w:w w:val="96"/>
              </w:rPr>
              <w:t>DECEMBER 31, 2018</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729"/>
        </w:trPr>
        <w:tc>
          <w:tcPr>
            <w:tcW w:w="9940" w:type="dxa"/>
            <w:vAlign w:val="bottom"/>
            <w:gridSpan w:val="2"/>
          </w:tcPr>
          <w:p>
            <w:pPr>
              <w:spacing w:after="0"/>
              <w:rPr>
                <w:sz w:val="20"/>
                <w:szCs w:val="20"/>
                <w:color w:val="auto"/>
              </w:rPr>
            </w:pPr>
            <w:r>
              <w:rPr>
                <w:rFonts w:ascii="Arial" w:cs="Arial" w:eastAsia="Arial" w:hAnsi="Arial"/>
                <w:sz w:val="18"/>
                <w:szCs w:val="18"/>
                <w:color w:val="auto"/>
              </w:rPr>
              <w:t>Estimated future annual amortization expense related to our intangible assets at December 31, 2018, is as follows: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2"/>
        </w:trPr>
        <w:tc>
          <w:tcPr>
            <w:tcW w:w="9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1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8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7,102</w:t>
            </w:r>
          </w:p>
        </w:tc>
      </w:tr>
      <w:tr>
        <w:trPr>
          <w:trHeight w:val="243"/>
        </w:trPr>
        <w:tc>
          <w:tcPr>
            <w:tcW w:w="1100" w:type="dxa"/>
            <w:vAlign w:val="bottom"/>
          </w:tcPr>
          <w:p>
            <w:pPr>
              <w:ind w:left="40"/>
              <w:spacing w:after="0"/>
              <w:rPr>
                <w:sz w:val="20"/>
                <w:szCs w:val="20"/>
                <w:color w:val="auto"/>
              </w:rPr>
            </w:pPr>
            <w:r>
              <w:rPr>
                <w:rFonts w:ascii="Arial" w:cs="Arial" w:eastAsia="Arial" w:hAnsi="Arial"/>
                <w:sz w:val="18"/>
                <w:szCs w:val="18"/>
                <w:color w:val="auto"/>
              </w:rPr>
              <w:t>2020</w:t>
            </w:r>
          </w:p>
        </w:tc>
        <w:tc>
          <w:tcPr>
            <w:tcW w:w="8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5,938</w:t>
            </w:r>
          </w:p>
        </w:tc>
      </w:tr>
      <w:tr>
        <w:trPr>
          <w:trHeight w:val="27"/>
        </w:trPr>
        <w:tc>
          <w:tcPr>
            <w:tcW w:w="1100" w:type="dxa"/>
            <w:vAlign w:val="bottom"/>
          </w:tcPr>
          <w:p>
            <w:pPr>
              <w:spacing w:after="0"/>
              <w:rPr>
                <w:sz w:val="2"/>
                <w:szCs w:val="2"/>
                <w:color w:val="auto"/>
              </w:rPr>
            </w:pPr>
          </w:p>
        </w:tc>
        <w:tc>
          <w:tcPr>
            <w:tcW w:w="8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2,372</w:t>
            </w:r>
          </w:p>
        </w:tc>
      </w:tr>
      <w:tr>
        <w:trPr>
          <w:trHeight w:val="243"/>
        </w:trPr>
        <w:tc>
          <w:tcPr>
            <w:tcW w:w="1100" w:type="dxa"/>
            <w:vAlign w:val="bottom"/>
          </w:tcPr>
          <w:p>
            <w:pPr>
              <w:ind w:left="40"/>
              <w:spacing w:after="0"/>
              <w:rPr>
                <w:sz w:val="20"/>
                <w:szCs w:val="20"/>
                <w:color w:val="auto"/>
              </w:rPr>
            </w:pPr>
            <w:r>
              <w:rPr>
                <w:rFonts w:ascii="Arial" w:cs="Arial" w:eastAsia="Arial" w:hAnsi="Arial"/>
                <w:sz w:val="18"/>
                <w:szCs w:val="18"/>
                <w:color w:val="auto"/>
              </w:rPr>
              <w:t>2022</w:t>
            </w:r>
          </w:p>
        </w:tc>
        <w:tc>
          <w:tcPr>
            <w:tcW w:w="8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2,259</w:t>
            </w:r>
          </w:p>
        </w:tc>
      </w:tr>
      <w:tr>
        <w:trPr>
          <w:trHeight w:val="27"/>
        </w:trPr>
        <w:tc>
          <w:tcPr>
            <w:tcW w:w="1100" w:type="dxa"/>
            <w:vAlign w:val="bottom"/>
          </w:tcPr>
          <w:p>
            <w:pPr>
              <w:spacing w:after="0"/>
              <w:rPr>
                <w:sz w:val="2"/>
                <w:szCs w:val="2"/>
                <w:color w:val="auto"/>
              </w:rPr>
            </w:pPr>
          </w:p>
        </w:tc>
        <w:tc>
          <w:tcPr>
            <w:tcW w:w="8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2,110</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4,589</w:t>
            </w:r>
          </w:p>
        </w:tc>
      </w:tr>
      <w:tr>
        <w:trPr>
          <w:trHeight w:val="27"/>
        </w:trPr>
        <w:tc>
          <w:tcPr>
            <w:tcW w:w="110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24,370</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8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remaining weighted average amortization period of our intangible assets is 6.4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Line of Credit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Second Amended and Restated Credit Agreement ("Second Amended Credit Agreement") with U.S. Bank National Association ("U.S. Bank") provides for a $130.0 million revolving line of credit ("Credit Line") through June 30, 2019 and a $125.0 million Credit Line thereafter and through its expiration date on November 1, 2020. The Credit Line may be used for working capital and other general corporate purposes including acquisitions, share repurchases and capital expenditures. Amounts available for borrowing under the Credit Line are reduced by the balance of any outstanding letters of credit. There were no outstanding letters of credit at December 31, 2018.</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 The applicable margins are calculated quarterly and vary based on our cash flow leverage ratio as set forth in the Second Amended Credit Agreement. The interest rate in effect at December 31, 2018 was 4.13%. There are no commitment fees or unused line fees under the Second Amended Credit Agreement.</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December 31, 2018, we were in compliance with the covenants and conditions of the Second Amended Credit Agreement.</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2018, we had $101.5 million outstanding under the Credit Line. Our total interest expense on borrowings was $5.0 million, $2.7 million and $1.3 million during the years ended December 31, 2018, 2017 and 2016,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2018, 2017 and 2016, pre-tax income (loss) was attributed to the following jurisdictions: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operations</w:t>
            </w:r>
          </w:p>
        </w:tc>
        <w:tc>
          <w:tcPr>
            <w:tcW w:w="3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(28,482)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Foreign operations</w:t>
            </w:r>
          </w:p>
        </w:tc>
        <w:tc>
          <w:tcPr>
            <w:tcW w:w="3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54,648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20,140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25,023</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26,166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25,188</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61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charged to operations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w w:val="94"/>
              </w:rPr>
              <w:t>Year Ended December 31,</w:t>
            </w:r>
          </w:p>
        </w:tc>
        <w:tc>
          <w:tcPr>
            <w:tcW w:w="1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8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2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(1,074)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3,406</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Foreign</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10,829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8,304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18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40"/>
              <w:spacing w:after="0"/>
              <w:rPr>
                <w:sz w:val="20"/>
                <w:szCs w:val="20"/>
                <w:color w:val="auto"/>
              </w:rPr>
            </w:pPr>
            <w:r>
              <w:rPr>
                <w:rFonts w:ascii="Arial" w:cs="Arial" w:eastAsia="Arial" w:hAnsi="Arial"/>
                <w:sz w:val="18"/>
                <w:szCs w:val="18"/>
                <w:color w:val="auto"/>
              </w:rPr>
              <w:t>Deferred tax (benefit) expense:</w:t>
            </w:r>
          </w:p>
        </w:tc>
        <w:tc>
          <w:tcPr>
            <w:tcW w:w="18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8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federal</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8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4,404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5,829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provision for income taxes</w:t>
            </w:r>
          </w:p>
        </w:tc>
        <w:tc>
          <w:tcPr>
            <w:tcW w:w="2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14,242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17,611</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deferred tax assets were comprised of the following:</w:t>
            </w:r>
          </w:p>
        </w:tc>
        <w:tc>
          <w:tcPr>
            <w:tcW w:w="1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88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Inventory reserves</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research costs</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Capitalized inventory costs</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losses</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Acquired tangible assets</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Income tax credits</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10,020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1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 before valuation allowance</w:t>
            </w:r>
          </w:p>
        </w:tc>
        <w:tc>
          <w:tcPr>
            <w:tcW w:w="1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1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18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62</w:t>
            </w: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at statutory U.S.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8,554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(decrease) in tax provision resulting from:</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 taxes,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 tax rate differential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undistributed earnings, net of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Nondeductible items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839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 research and development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Non-territorial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Withholding tax</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Change in deductibility of social insurance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Uncertain tax positions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 tax rate change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8,057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1,598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permanent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14,242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December 31, 2018, we had federal and state Research and Experimentation ("R&amp;E") income tax credit carryforwards of $0.5 million and $9.4 million, respectively. The federal R&amp;E income tax credits begin expiring in 2038. The state R&amp;E income tax credits do not have an expiration date.</w:t>
      </w:r>
    </w:p>
    <w:p>
      <w:pPr>
        <w:spacing w:after="0" w:line="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2018, we had state and foreign net operating loss carryforwards of $16.8 million and $5.6 million, respectively. The state and foreign carryforwards begin to expire in 2026 and 2023, respectively.</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December 31, 2018,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Due to uncertainties surrounding the realization of some of the Company's deferred tax assets, we established a valuation allowance against certain deferred tax assets. The Company's historic valuation allowance primarily relates to state R&amp;E income tax credits generated during the prior years and current year. We had cumulative operating losses for the three years ended in 2018 for our U.S. operations and state operations and accordingly, have provided a full valuation allowance on our U.S. and state deferred tax assets of $6.0 million and $1.5 million, respectively, as we have determined that it is more likely than not that the tax benefits will not be realized in the future. Additionally, we recorded a valuation allowance of $0.4 million at December 31, 2018 related to certain deferred tax assets in our Argentina office due to sustained losses in that jurisdiction. If and when recognized, the tax benefits relating to any reversal of valuation allowance will be recorded as a reduction of income tax expense. The valuation allowance increased by $8.5 million and $0.2 million during the years ended December 31, 2018 and 2017,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and 2017, we had unrecognized tax benefits of approximately $4.6 million and $5.6 million, including interest and penalties, respectively. In accordance with accounting guidance, we have elected to classify interest and penalties as components of tax expense. Interest and penalties were $0.5 million, $0.5 million, and $0.3 million for the years ended December 31, 2018, 2017 and 2016, respectively. Interest and penalties are included in the unrecognized tax benefits.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Changes to our gross unrecognized tax benefits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5,081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3,469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as a result of tax provisions taken during the current year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 currency translation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Lapse in statute of limitations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5,081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3,622</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Approximately $4.3 million, $5.3 million and $3.6 million of the total amount of unrecognized tax benefits at December 31, 2018, 2017 and 2016, respectively, if not for the state Research and Experimentation income tax credit valuation allowance, would affect the annual effective tax rate, if recognized. We are unaware of any positions for which it is reasonably possible that the total amounts of unrecognized tax benefits will significantly increase within the next twelve months. We anticipate a decrease in unrecognized tax benefits of approximately $0.7 million within the next twelve months based on federal, state, and foreign statute expirations in various jurisdictions. We have classified uncertain tax positions as non-current income tax liabilities unless expected to be paid within one year.</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As of December 31, 2018, the open statutes of limitations for our significant tax jurisdictions are as follows: federal for 2015 through 2017, state for 2014 through 2017, and non-U.S. for 2012 through 2017.</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Tax Cuts and Jobs Act</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Tax Cuts and Jobs Act (the "Tax Act") was enacted in the U.S. on December 22, 2017. The Tax Act reduced the U.S. federal corporate income tax rate to 21% from 35%, required companies to pay a one-time transition tax on earnings of certain foreign subsidiaries that were previously tax deferred and created new taxes on certain foreign-sourced earnings. In 2017 and the first nine months of 2018, we recorded provisional amounts for certain enactment-date effects of the Tax Act by applying the guidance in SEC Staff Accounting Bulletin No. 118 because we had not yet completed our enactment-date accounting for these effects. In 2018 and 2017, the Company recorded tax expense related to the enactment-date effects of the Tax Act that included recording the one-time transition tax liability related to undistributed earnings of certain foreign subsidiaries that were not previously taxed, adjusting deferred tax assets and liabilities and recognizing the effects of provisionally electing to account for Global Intangible Low-Taxed Income ("GILTI") as a period cost. The changes to 2017 enactment-date provisional amounts decreased tax expense in 2018 by an insignificant amount.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SAB 118 Measurement Period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applied the guidance in SAB 118 when accounting for the enactment-date effects of the Act in 2017 and throughout 2018. At December 31, 2017, we had not completed our accounting for all of the enactment-date income tax effects of the Tax Act under ASC 740, "Income Taxes," for the following aspects: remeasurement of deferred tax assets and liabilities, one-time transition tax, and tax on GILTI. At December 31, 2018, we had completed our accounting for all of the enactment-date income tax effects of the Tax Act.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Tax</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one-time transition tax is based on our total post-1986 earnings and profits ("E&amp;P"), the tax on which we previously deferred from U.S. income taxes under U.S. law. We recorded a provisional amount for our one-time transition tax liability for each of our foreign subsidiaries, resulting in a transition tax liability of $2.2 million at December 31, 2017. Upon further analyses of the Tax Act and Notices and regulations issued and proposed by the US Department of the Treasury and the Internal Revenue Service, we finalized our calculations of the transition tax liability during 2018. We decreased our December 31, 2017 provisional amount by an immaterial amount, which is included as a component of income tax expense. We have elected to pay our transition tax over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eight-year period provided in the Act. As of December 31, 2018, the remaining balance of our transition tax obligation is $1.2 million, which will be paid over the next seven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we remeasured certain deferred tax assets and liabilities based on the rates at which they were expected to reverse in the future (which was generally 21%), by recording a provisional amount of $2.3 million. Upon further analysis of certain aspects of the Act and refinement of our calculations during the year ended December 31, 2018, we adjusted our provisional amount by $0.3 million, which is included as a component of income tax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Intangible Low-taxed Income (GILTI)</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Tax Act subjects a U.S. shareholder to tax on GILTI earned by certain foreign subsidiaries. The FASB Staff Q&amp;A, Topic 740, No. 5, "Accounting for Global Intangible Low-Taxed Income," states that an entity can make an accounting policy election to either recognize deferred taxes for temporary basis differences expected to reverse as GILTI in future years or to provide for the tax expense related to GILTI in the year the tax is incurred as a period expense only. Because we were evaluating the provision of GILTI as of December 31, 2017, we recorded no GILTI-related deferred amounts in 2017. We have elected to account for GILTI in the year the tax is incurred.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 Reinvestment Assertion</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Beginning in 2018, the Tax Act generally provides a 100% federal deduction for dividends received from foreign subsidiaries. Nevertheless, companies must still apply the guidance of ASC Topic 740 to account for the tax consequences of outside basis differences and other tax impacts of their investments in non-U.S. subsidiaries, including potential foreign withholding taxes on distributions. Historically, the undistributed earnings of our foreign subsidiaries were considered to be indefinitely reinvested. Previously, no provision for U.S. federal and state income taxes or foreign withholding taxes had been provided on U.S. earnings. In 2018, we changed our assertion, and provided a $1.2 million deferred tax liability related to state tax liabilities on future distributions.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16,735</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17,727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8,783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7,910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2,769</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420" w:type="dxa"/>
            <w:vAlign w:val="bottom"/>
          </w:tcPr>
          <w:p>
            <w:pPr>
              <w:spacing w:after="0"/>
              <w:rPr>
                <w:sz w:val="23"/>
                <w:szCs w:val="23"/>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2,329</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accrued compensation</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2,675</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33,965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34,499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660" w:hanging="328"/>
        <w:spacing w:after="0" w:line="232"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December 31, 2018 and 2017.</w:t>
      </w:r>
    </w:p>
    <w:p>
      <w:pPr>
        <w:spacing w:after="0" w:line="175" w:lineRule="exact"/>
        <w:rPr>
          <w:rFonts w:ascii="Arial" w:cs="Arial" w:eastAsia="Arial" w:hAnsi="Arial"/>
          <w:sz w:val="25"/>
          <w:szCs w:val="25"/>
          <w:color w:val="auto"/>
          <w:vertAlign w:val="superscript"/>
        </w:rPr>
      </w:pPr>
    </w:p>
    <w:p>
      <w:pPr>
        <w:jc w:val="both"/>
        <w:ind w:left="660" w:hanging="328"/>
        <w:spacing w:after="0" w:line="220" w:lineRule="auto"/>
        <w:tabs>
          <w:tab w:leader="none" w:pos="66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$0.4 million and $0.7 million at December 31, 2018 and 2017, respectively.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Accrued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 toward sale of Guangzhou factory</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Duties</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4,865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1,184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Freight and handling fees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1,578</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Sales taxes and VAT</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2,955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contingent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3,800</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420" w:type="dxa"/>
            <w:vAlign w:val="bottom"/>
          </w:tcPr>
          <w:p>
            <w:pPr>
              <w:spacing w:after="0"/>
              <w:rPr>
                <w:sz w:val="23"/>
                <w:szCs w:val="23"/>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1,843</w:t>
            </w: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6,898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8,324</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other accrued liabilities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24,011</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28,719</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lease land, office and warehouse space, and certain office equipment under operating leases that expire at various dates through November 30, 2060.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Rent expense for our operating leases was $4.9 million, $4.2 million and $4.0 million for the years ended December 31, 2018, 2017 and 2016,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minimum non-cancelable operating lease payments at December 31, 2018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Amount</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5,620</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4,707</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2,863</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lease commitments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27,305</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Non-level Rents and Lease Incentives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leases are subject to rent escalations. For these leases, we recognize rent expense for the total contractual obligation utilizing the straight-line method over the lease term, ranging from 48 months to 125 months. The related short-term liability is recorded in other accrued liabilities (see Note 11) and the related long term liability is recorded in other long-term liabilities. The total liability related to rent escalations was $1.1 million and $1.2 million at December 31, 2018 and 2017, respectively.</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lease agreements for our offices in Santa Ana, California and Scottsdale, Arizona contain allowances for moving expenses and tenant improvements aggregating $1.8 million. These moving and tenant improvement allowances are recorded within other accrued liabilities and other long-term liabilities, depending on the short-term or long-term nature, and are being amortized as a reduction of rent expense over the related lease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Costs During Construction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Rental costs associated with operating leases incurred during a construction period are expensed.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Land Lease</w:t>
      </w:r>
    </w:p>
    <w:p>
      <w:pPr>
        <w:spacing w:after="0" w:line="9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operate one factory within the PRC on which the land is leased from the government as of December 31, 2018. This land lease was prepaid to the PRC government at the time our subsidiary occupied the land. We have obtained a land-use right certificate for the land pertaining to this factory.</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factory is located in the city of Yangzhou in the Jiangsu province. The remaining net book value of this prepaid lease was $2.5 million on December 31, 2018, and will be amortized on a straight-line basis over the remaining term of approximately 40 years. The buildings located on this land had a net book value of $18.2 million on December 31, 2018 and will be depreciated over a remaining weighted average period of 21 years.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net book value of this prepaid land lease is included within prepaid expenses and other current assets and other assets, depending on the short-term or long-term nature.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102</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67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134</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Activities and Sale of Guangzhou Factory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2016, we implemented a plan to transition manufacturing activities from our southern-most China factory,</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located in the city of Guangzhou in the Guangdong province, to our other China factories. As a result, we incurred severance costs of $6.1 million and $4.5 million during the years ended December 31, 2017 and 2016, respectively, which are included within operating expenses. All operations ceased in our Guangzhou factory in the third quarter of 2017 and the transition to the other China factories was completed by the end of 2017. Since all operations at our Guangzhou manufacturing facility ceased as of the end of July 2017, the related building and land lease assets were classified as assets held for sale in our consolidated balance sheet at December 31, 2017.</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26, 2016, we entered into an agreement to sell our Guangzhou manufacturing facility for RMB 320 million. In accordance with the terms of the agreement, the buyer deposited 10% of the purchase price into an escrow account upon the execution of the agreement, which we have presented as restricted cash in our consolidated balance sheet at December 31, 2017 (also refer to Note 3). In April 2018, we and the buyer mutually agreed to terminate the sale. The mutually agreed termination took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effect immediately with no incremental penalty or costs to either party. In connection with this termination, the deposit was returned to the buyer.</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23, 2018, we entered into a new agreement to sell our Guangzhou manufacturing facility to a second buyer for RMB 339 million (approximately $51.4 million based on exchange rates in effect at the time of closing). On April 26, 2018, the second buyer paid to us a deposit of RMB 34 million (approximately $5.1 million based on exchange rates in effect at the time of closing), which under the terms of the agreement was nonrefundable. Upon receipt by the Governmental Agency of the second buyer’s application of approval of transfer, the second buyer was to pay to us RMB 237 million (approximately $35.8 million based on exchange rates in effect at the time of closing). Additionally, within two days after the second payment was made to us, the second buyer was to deposit the remaining consideration of RMB 68 million (approximately $10.3 million based on exchange rates in effect at the time of closing) into escrow, which was to be released to us upon the closing of the sale. Per the terms of the agreement, the sale was to be completed no later than June 30, 2018. On June 26, 2018, all conditions to closing were satisfied and the sale was completed, resulting in a pre-tax gain of $37.0 million ($32.1 million, net of income taxes).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Restructuring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fourth quarter of 2018, we implemented a plan to relocate our corporate office from Santa Ana, California to Scottsdale, Arizona and to relocate our Asian engineering leadership, supply chain and customer support functions from Hong Kong to our other facilities in China. In connection with these restructuring activities, we incurred severance costs of $0.9 million during the year ended December 31, 2018, which are included within selling, general and administrative expenses. These relocations are expected to be completed in the first half of 2019 and are not expected to result in significant additional severance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2, 2012 and June 28, 2013, we filed two different lawsuits against Universal Remote Control, Inc. ("URC") alleging that URC, and in some cases its affiliated suppliers Ohsung Electronics Co., Ltd. and Ohsung Electronics USA, Inc. (collectively "Ohsung"), were infringing on certain of our patents. In September 2015, the court awarded URC $4.6 million in attorneys' fees and costs related to the first lawsuit. In December 2016, in connection with these matters, we entered into a confidential Settlement, License and Release Agreement dated September 22, 2016 with URC and Ohsung (collectively the “URC Parties”) to settle all litigation matters between us and the URC Parties. By and during the term of this agreement, we and the URC Parties dismissed all litigation matters and appeals with prejudice. Additionally, the URC Parties received a limited paid up license to the technologies covered by the patents in this litigation and a limited covenant not to sue with respect to certain of URC's products existing as of the settlement date. As a result of the Settlement, License and Release Agreement, we accrued $2.0 million within selling, general and administrative expenses for the year ended December 31, 2016, bringing the total liability accrued in connection with the URC matters to $6.6 million at December 31, 2016. On January 30, 2017, we paid URC $6.6 million.</w:t>
      </w:r>
    </w:p>
    <w:p>
      <w:pPr>
        <w:spacing w:after="0" w:line="11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or about June 10, 2015, FM Marketing GmbH ("FMH") and Ruwido Austria GmbH ("Ruwido") filed a Summons in Summary Proceedings in Belgium court against one of our subsidiaries, Universal Electronics BV ("UEBV"), and one of its customers, Telenet ("Telenet"), claiming that one of the products UEBV supplied to Telenet violates two design patents and one utility patent owned by FMH and/or Ruwido. By this summons, FMH and Ruwido sought to enjoin Telenet and UEBV from continued distribution and use of the product at issue. After the September 29, 2015 hearing, the court issued its ruling in our and Telenet’s favor, rejecting FMH and Ruwido’s request entirely. On October 22, 2015, Ruwido filed its notice of appeal in this ruling. The parties have fully briefed and argued before the appellate court and we are awaiting the appellate court's ruling. In addition, on or about February 9, 2016, Ruwido filed a writ of summons for proceeding on the merits with respect to the asserted patents. UEBV and Telenet have replied, denying all of Ruwido's allegations and in June 2017, a hearing was held before the trial court. During this hearing, Ruwido sought to have a second product which we are currently selling to Telenet included in this case. In September 2017, the Court ruled in our favor that our current product cannot be made part of this case. The Court also refused to rule on whether the original product (which we are no longer selling) infringes the Ruwido patent, instead deciding to wait until the European Patent Office (the "EPO") has ruled on our Opposition (see below). Finally, the Court ruled that our original product (which we are no longer selling) infringes certain of Ruwido's design rights, but stayed any decision of compensation and/or damages until all aspects of the case have been decided. We have filed an appeal as to the Court's ruling of infringement and submissions by the parties were due to the Court during the second quarter of 2018 with a hearing expected to take place in late 2018. Subsequent to the Court's ruling that a second product could not be added to the first case on the merits, Ruwido filed a separate case on the merits with respect to this second product, claiming that it too infringes the same patent at issue in the first suit. We have denied these claims. According to the Court's trial schedule, briefs from both parties will be due during the second half of 2018 and early 2019 with a trial date set for January 2019. This trial date has since been moved to June 4, 2019. In September 2015, UEBV filed an Opposition with the EPO seeking to invalidate the one utility patent asserted against UEBV and Telenet by Ruwido. The hearing on this opposition was held in July 2017. During this hearing the panel requested additional information. We have assembled this additional information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final hearing was scheduled for January 29, 2019. The EPO held this hearing on January 29 and 30, 2019 and revoked Ruwido's patent as originally filed. The EPO, however, maintained the patent in an amended form with a much narrower claim. The parties have the right to appeal the EPO's decision, but at this time, neither have done so. On September 5, 2017, Ruwido and FMH filed a patent infringement case on the merits against UEBV and Telenet in the Netherlands alleging the same claims of infringement as in the Belgium Courts (see above). We have denied these claims and filed a counterclaim seeking to invalidate the Ruwido patent. A November 30, 2018 hearing date was set by the Court but it deferred its decision until the decision from the EPO has become final.</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5, 2018, we filed a lawsuit against Roku, Inc. (“Roku”) in the United States District Court, Central District of California (Universal Electronics Inc. v. Roku, Inc.)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therefore and certain universal control devices, including but not limited to the Roku App, Roku TV, Roku Ultra, Roku Express, Roku Streaming Stick, Roku Ultra, Roku Premiere, Roku 4, Roku 3, Roku 2, Roku Enhanced Remote and any other Roku product that provides for the remote control of an external device such as a TV, audiovisual receiver, sound bar or Roku TV Wireless Speakers. Roku has answered our complaint with a general denial. In December 2018, the Court set a trial date of June 16, 2020. We are currently proceeding with discovery and motions.</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subsidiary in India maintains a defined benefit pension plan ("India Plan") for local employees, which is consistent with local statutes and practices. The pension plan was adequately funded on December 31, 2018 based on its latest actuarial report. The India Plan has an independent external manager that advises us of the appropriate funding contribution requirements to which we comply. At December 31, 2018, approximately 52 percent of our India subsidiary employees had qualified for eligibility. An individual must be employed by our India subsidiary for a minimum of five years before becoming eligible. Upon the termination, resignation or retirement of an eligible employee, we are liable to pay the employee an amount equal to 15 days salary for each full year of service completed. The total amount of liability outstanding at December 31, 2018 and 2017 for the India Plan was not material. During the years ended December 31, 2018, 2017, and 2016, the net periodic benefit costs were also not 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Treasury Stock</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our Board of Directors authorizes management to repurchase shares of our issued and outstanding common stock on the open market. On October 30, 2018, our Board approved an adjustment to the amount of common stock that we could purchase under our existing repurchase plan to an amount not to exceed $5.0 million of our common stock. As of December 31, 2018, we had $4.4 million of authorized repurchases remaining under the Board's authorizations. We may utilize various methods to effect the repurchases, which could include open market repurchases, negotiated block transactions, accelerated share repurchases or open market solicitations for shares, some of which may be effected through Rule 10b5-1 plans. The timing and amount of future repurchases, if any, will depend upon several factors, including market and business conditions, and such repurchases may be discontinued at any time.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13,824</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39,085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12,647</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2016</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315,214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345,838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338,338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124,657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104,668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89,527</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91,446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77,224</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Europe</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85,228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79,183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74,113</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47,286</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32,742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28,952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24,883</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680,241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695,790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651,371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7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14,504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3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79,382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96,984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3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6,569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37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100,455</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115,528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780" w:type="dxa"/>
            <w:vAlign w:val="bottom"/>
            <w:vMerge w:val="restart"/>
          </w:tcPr>
          <w:p>
            <w:pPr>
              <w:jc w:val="right"/>
              <w:ind w:right="2010"/>
              <w:spacing w:after="0"/>
              <w:rPr>
                <w:sz w:val="20"/>
                <w:szCs w:val="20"/>
                <w:color w:val="auto"/>
              </w:rPr>
            </w:pPr>
            <w:r>
              <w:rPr>
                <w:rFonts w:ascii="Arial" w:cs="Arial" w:eastAsia="Arial" w:hAnsi="Arial"/>
                <w:sz w:val="18"/>
                <w:szCs w:val="18"/>
                <w:color w:val="auto"/>
              </w:rPr>
              <w:t>70</w:t>
            </w: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78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541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7,368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7,095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employee and director stock-based compensation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8,820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11,943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10,324</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1,870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3,102</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12"/>
          </w:tcPr>
          <w:p>
            <w:pPr>
              <w:jc w:val="center"/>
              <w:ind w:right="240"/>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0"/>
              </w:rPr>
              <w:t>Weighted average fair value of grants</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4"/>
            <w:shd w:val="clear" w:color="auto" w:fill="CCEEFF"/>
          </w:tcPr>
          <w:p>
            <w:pPr>
              <w:jc w:val="right"/>
              <w:ind w:right="126"/>
              <w:spacing w:after="0"/>
              <w:rPr>
                <w:sz w:val="20"/>
                <w:szCs w:val="20"/>
                <w:color w:val="auto"/>
              </w:rPr>
            </w:pPr>
            <w:r>
              <w:rPr>
                <w:rFonts w:ascii="Arial" w:cs="Arial" w:eastAsia="Arial" w:hAnsi="Arial"/>
                <w:sz w:val="18"/>
                <w:szCs w:val="18"/>
                <w:color w:val="auto"/>
                <w:w w:val="88"/>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146"/>
              <w:spacing w:after="0"/>
              <w:rPr>
                <w:sz w:val="20"/>
                <w:szCs w:val="20"/>
                <w:color w:val="auto"/>
              </w:rPr>
            </w:pPr>
            <w:r>
              <w:rPr>
                <w:rFonts w:ascii="Arial" w:cs="Arial" w:eastAsia="Arial" w:hAnsi="Arial"/>
                <w:sz w:val="18"/>
                <w:szCs w:val="18"/>
                <w:color w:val="auto"/>
                <w:w w:val="88"/>
              </w:rPr>
              <w:t>19.61</w:t>
            </w:r>
          </w:p>
        </w:tc>
        <w:tc>
          <w:tcPr>
            <w:tcW w:w="2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1.36%</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8"/>
              </w:rPr>
              <w:t>33.09%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34.25%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41.38%</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gridSpan w:val="4"/>
          </w:tcPr>
          <w:p>
            <w:pPr>
              <w:jc w:val="right"/>
              <w:ind w:right="126"/>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3"/>
          </w:tcPr>
          <w:p>
            <w:pPr>
              <w:jc w:val="right"/>
              <w:ind w:right="146"/>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19"/>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405"/>
        </w:trPr>
        <w:tc>
          <w:tcPr>
            <w:tcW w:w="2780" w:type="dxa"/>
            <w:vAlign w:val="bottom"/>
            <w:gridSpan w:val="3"/>
          </w:tcPr>
          <w:p>
            <w:pPr>
              <w:spacing w:after="0"/>
              <w:rPr>
                <w:sz w:val="20"/>
                <w:szCs w:val="20"/>
                <w:color w:val="auto"/>
              </w:rPr>
            </w:pPr>
            <w:r>
              <w:rPr>
                <w:rFonts w:ascii="Arial" w:cs="Arial" w:eastAsia="Arial" w:hAnsi="Arial"/>
                <w:sz w:val="18"/>
                <w:szCs w:val="18"/>
                <w:color w:val="auto"/>
                <w:w w:val="96"/>
              </w:rPr>
              <w:t>Stock option activity was as follows: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9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2018</w:t>
            </w: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color w:val="auto"/>
              </w:rPr>
              <w:t>2017</w:t>
            </w: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w w:val="89"/>
              </w:rPr>
              <w:t>2016</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1"/>
                <w:szCs w:val="11"/>
                <w:color w:val="auto"/>
                <w:w w:val="87"/>
              </w:rPr>
              <w:t>Weighted-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91"/>
              </w:rPr>
              <w:t>Weighted-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1"/>
                <w:szCs w:val="11"/>
                <w:color w:val="auto"/>
                <w:w w:val="91"/>
              </w:rPr>
              <w:t>Weighted-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220"/>
              <w:spacing w:after="0" w:line="122" w:lineRule="exact"/>
              <w:rPr>
                <w:sz w:val="20"/>
                <w:szCs w:val="20"/>
                <w:color w:val="auto"/>
              </w:rPr>
            </w:pPr>
            <w:r>
              <w:rPr>
                <w:rFonts w:ascii="Arial" w:cs="Arial" w:eastAsia="Arial" w:hAnsi="Arial"/>
                <w:sz w:val="11"/>
                <w:szCs w:val="11"/>
                <w:color w:val="auto"/>
                <w:w w:val="87"/>
              </w:rPr>
              <w:t>Average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4"/>
              <w:spacing w:after="0" w:line="122" w:lineRule="exact"/>
              <w:rPr>
                <w:sz w:val="20"/>
                <w:szCs w:val="20"/>
                <w:color w:val="auto"/>
              </w:rPr>
            </w:pPr>
            <w:r>
              <w:rPr>
                <w:rFonts w:ascii="Arial" w:cs="Arial" w:eastAsia="Arial" w:hAnsi="Arial"/>
                <w:sz w:val="11"/>
                <w:szCs w:val="11"/>
                <w:color w:val="auto"/>
                <w:w w:val="87"/>
              </w:rPr>
              <w:t>Average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line="122" w:lineRule="exact"/>
              <w:rPr>
                <w:sz w:val="20"/>
                <w:szCs w:val="20"/>
                <w:color w:val="auto"/>
              </w:rPr>
            </w:pPr>
            <w:r>
              <w:rPr>
                <w:rFonts w:ascii="Arial" w:cs="Arial" w:eastAsia="Arial" w:hAnsi="Arial"/>
                <w:sz w:val="11"/>
                <w:szCs w:val="11"/>
                <w:color w:val="auto"/>
                <w:w w:val="87"/>
              </w:rPr>
              <w:t>Average</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220"/>
              <w:spacing w:after="0" w:line="122" w:lineRule="exact"/>
              <w:rPr>
                <w:sz w:val="20"/>
                <w:szCs w:val="20"/>
                <w:color w:val="auto"/>
              </w:rPr>
            </w:pPr>
            <w:r>
              <w:rPr>
                <w:rFonts w:ascii="Arial" w:cs="Arial" w:eastAsia="Arial" w:hAnsi="Arial"/>
                <w:sz w:val="11"/>
                <w:szCs w:val="11"/>
                <w:color w:val="auto"/>
                <w:w w:val="91"/>
              </w:rPr>
              <w:t>Remaining</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4"/>
              <w:spacing w:after="0" w:line="122" w:lineRule="exact"/>
              <w:rPr>
                <w:sz w:val="20"/>
                <w:szCs w:val="20"/>
                <w:color w:val="auto"/>
              </w:rPr>
            </w:pPr>
            <w:r>
              <w:rPr>
                <w:rFonts w:ascii="Arial" w:cs="Arial" w:eastAsia="Arial" w:hAnsi="Arial"/>
                <w:sz w:val="11"/>
                <w:szCs w:val="11"/>
                <w:color w:val="auto"/>
                <w:w w:val="91"/>
              </w:rPr>
              <w:t>Remaining</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w w:val="86"/>
              </w:rPr>
              <w:t>Aggregate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w w:val="87"/>
              </w:rPr>
              <w:t>Weighted-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Arial" w:cs="Arial" w:eastAsia="Arial" w:hAnsi="Arial"/>
                <w:sz w:val="11"/>
                <w:szCs w:val="11"/>
                <w:color w:val="auto"/>
                <w:w w:val="87"/>
              </w:rPr>
              <w:t>Remaining</w:t>
            </w:r>
          </w:p>
        </w:tc>
        <w:tc>
          <w:tcPr>
            <w:tcW w:w="100" w:type="dxa"/>
            <w:vAlign w:val="bottom"/>
          </w:tcPr>
          <w:p>
            <w:pPr>
              <w:spacing w:after="0"/>
              <w:rPr>
                <w:sz w:val="10"/>
                <w:szCs w:val="10"/>
                <w:color w:val="auto"/>
              </w:rPr>
            </w:pPr>
          </w:p>
        </w:tc>
        <w:tc>
          <w:tcPr>
            <w:tcW w:w="560" w:type="dxa"/>
            <w:vAlign w:val="bottom"/>
          </w:tcPr>
          <w:p>
            <w:pPr>
              <w:jc w:val="center"/>
              <w:ind w:right="39"/>
              <w:spacing w:after="0" w:line="122" w:lineRule="exact"/>
              <w:rPr>
                <w:sz w:val="20"/>
                <w:szCs w:val="20"/>
                <w:color w:val="auto"/>
              </w:rPr>
            </w:pPr>
            <w:r>
              <w:rPr>
                <w:rFonts w:ascii="Arial" w:cs="Arial" w:eastAsia="Arial" w:hAnsi="Arial"/>
                <w:sz w:val="11"/>
                <w:szCs w:val="11"/>
                <w:color w:val="auto"/>
                <w:w w:val="90"/>
              </w:rPr>
              <w:t>Aggregate</w:t>
            </w: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820" w:type="dxa"/>
            <w:vAlign w:val="bottom"/>
            <w:gridSpan w:val="2"/>
          </w:tcPr>
          <w:p>
            <w:pPr>
              <w:jc w:val="center"/>
              <w:ind w:right="140"/>
              <w:spacing w:after="0" w:line="122" w:lineRule="exact"/>
              <w:rPr>
                <w:sz w:val="20"/>
                <w:szCs w:val="20"/>
                <w:color w:val="auto"/>
              </w:rPr>
            </w:pPr>
            <w:r>
              <w:rPr>
                <w:rFonts w:ascii="Arial" w:cs="Arial" w:eastAsia="Arial" w:hAnsi="Arial"/>
                <w:sz w:val="11"/>
                <w:szCs w:val="11"/>
                <w:color w:val="auto"/>
                <w:w w:val="93"/>
              </w:rPr>
              <w:t>Number of</w:t>
            </w:r>
          </w:p>
        </w:tc>
        <w:tc>
          <w:tcPr>
            <w:tcW w:w="100" w:type="dxa"/>
            <w:vAlign w:val="bottom"/>
          </w:tcPr>
          <w:p>
            <w:pPr>
              <w:spacing w:after="0"/>
              <w:rPr>
                <w:sz w:val="10"/>
                <w:szCs w:val="10"/>
                <w:color w:val="auto"/>
              </w:rPr>
            </w:pPr>
          </w:p>
        </w:tc>
        <w:tc>
          <w:tcPr>
            <w:tcW w:w="800" w:type="dxa"/>
            <w:vAlign w:val="bottom"/>
            <w:gridSpan w:val="3"/>
          </w:tcPr>
          <w:p>
            <w:pPr>
              <w:jc w:val="right"/>
              <w:ind w:right="320"/>
              <w:spacing w:after="0" w:line="122" w:lineRule="exact"/>
              <w:rPr>
                <w:sz w:val="20"/>
                <w:szCs w:val="20"/>
                <w:color w:val="auto"/>
              </w:rPr>
            </w:pPr>
            <w:r>
              <w:rPr>
                <w:rFonts w:ascii="Arial" w:cs="Arial" w:eastAsia="Arial" w:hAnsi="Arial"/>
                <w:sz w:val="11"/>
                <w:szCs w:val="11"/>
                <w:color w:val="auto"/>
                <w:w w:val="91"/>
              </w:rPr>
              <w:t>Weighted-</w:t>
            </w:r>
          </w:p>
        </w:tc>
        <w:tc>
          <w:tcPr>
            <w:tcW w:w="740" w:type="dxa"/>
            <w:vAlign w:val="bottom"/>
            <w:gridSpan w:val="2"/>
          </w:tcPr>
          <w:p>
            <w:pPr>
              <w:jc w:val="center"/>
              <w:ind w:right="200"/>
              <w:spacing w:after="0" w:line="122" w:lineRule="exact"/>
              <w:rPr>
                <w:sz w:val="20"/>
                <w:szCs w:val="20"/>
                <w:color w:val="auto"/>
              </w:rPr>
            </w:pPr>
            <w:r>
              <w:rPr>
                <w:rFonts w:ascii="Arial" w:cs="Arial" w:eastAsia="Arial" w:hAnsi="Arial"/>
                <w:sz w:val="11"/>
                <w:szCs w:val="11"/>
                <w:color w:val="auto"/>
                <w:w w:val="88"/>
              </w:rPr>
              <w:t>Contractual</w:t>
            </w:r>
          </w:p>
        </w:tc>
        <w:tc>
          <w:tcPr>
            <w:tcW w:w="100" w:type="dxa"/>
            <w:vAlign w:val="bottom"/>
          </w:tcPr>
          <w:p>
            <w:pPr>
              <w:spacing w:after="0"/>
              <w:rPr>
                <w:sz w:val="10"/>
                <w:szCs w:val="10"/>
                <w:color w:val="auto"/>
              </w:rPr>
            </w:pPr>
          </w:p>
        </w:tc>
        <w:tc>
          <w:tcPr>
            <w:tcW w:w="72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w w:val="86"/>
              </w:rPr>
              <w:t>Aggregate</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Number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4"/>
          </w:tcPr>
          <w:p>
            <w:pPr>
              <w:jc w:val="right"/>
              <w:ind w:right="300"/>
              <w:spacing w:after="0" w:line="122" w:lineRule="exact"/>
              <w:rPr>
                <w:sz w:val="20"/>
                <w:szCs w:val="20"/>
                <w:color w:val="auto"/>
              </w:rPr>
            </w:pPr>
            <w:r>
              <w:rPr>
                <w:rFonts w:ascii="Arial" w:cs="Arial" w:eastAsia="Arial" w:hAnsi="Arial"/>
                <w:sz w:val="11"/>
                <w:szCs w:val="11"/>
                <w:color w:val="auto"/>
                <w:w w:val="91"/>
              </w:rPr>
              <w:t>Weighted-</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w w:val="88"/>
              </w:rPr>
              <w:t>Contractual</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4"/>
              </w:rPr>
              <w:t>Intrinsic</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60"/>
              <w:spacing w:after="0" w:line="122" w:lineRule="exact"/>
              <w:rPr>
                <w:sz w:val="20"/>
                <w:szCs w:val="20"/>
                <w:color w:val="auto"/>
              </w:rPr>
            </w:pPr>
            <w:r>
              <w:rPr>
                <w:rFonts w:ascii="Arial" w:cs="Arial" w:eastAsia="Arial" w:hAnsi="Arial"/>
                <w:sz w:val="11"/>
                <w:szCs w:val="11"/>
                <w:color w:val="auto"/>
                <w:w w:val="93"/>
              </w:rPr>
              <w:t>Number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w w:val="87"/>
              </w:rPr>
              <w:t>Average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Arial" w:cs="Arial" w:eastAsia="Arial" w:hAnsi="Arial"/>
                <w:sz w:val="11"/>
                <w:szCs w:val="11"/>
                <w:color w:val="auto"/>
                <w:w w:val="88"/>
              </w:rPr>
              <w:t>Contractual</w:t>
            </w:r>
          </w:p>
        </w:tc>
        <w:tc>
          <w:tcPr>
            <w:tcW w:w="100" w:type="dxa"/>
            <w:vAlign w:val="bottom"/>
          </w:tcPr>
          <w:p>
            <w:pPr>
              <w:spacing w:after="0"/>
              <w:rPr>
                <w:sz w:val="10"/>
                <w:szCs w:val="10"/>
                <w:color w:val="auto"/>
              </w:rPr>
            </w:pPr>
          </w:p>
        </w:tc>
        <w:tc>
          <w:tcPr>
            <w:tcW w:w="560" w:type="dxa"/>
            <w:vAlign w:val="bottom"/>
          </w:tcPr>
          <w:p>
            <w:pPr>
              <w:jc w:val="center"/>
              <w:ind w:right="59"/>
              <w:spacing w:after="0" w:line="122" w:lineRule="exact"/>
              <w:rPr>
                <w:sz w:val="20"/>
                <w:szCs w:val="20"/>
                <w:color w:val="auto"/>
              </w:rPr>
            </w:pPr>
            <w:r>
              <w:rPr>
                <w:rFonts w:ascii="Arial" w:cs="Arial" w:eastAsia="Arial" w:hAnsi="Arial"/>
                <w:sz w:val="11"/>
                <w:szCs w:val="11"/>
                <w:color w:val="auto"/>
                <w:w w:val="94"/>
              </w:rPr>
              <w:t>Intrinsic</w:t>
            </w: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9"/>
              </w:rPr>
              <w:t>Options</w:t>
            </w:r>
          </w:p>
        </w:tc>
        <w:tc>
          <w:tcPr>
            <w:tcW w:w="100" w:type="dxa"/>
            <w:vAlign w:val="bottom"/>
          </w:tcPr>
          <w:p>
            <w:pPr>
              <w:spacing w:after="0"/>
              <w:rPr>
                <w:sz w:val="10"/>
                <w:szCs w:val="10"/>
                <w:color w:val="auto"/>
              </w:rPr>
            </w:pPr>
          </w:p>
        </w:tc>
        <w:tc>
          <w:tcPr>
            <w:tcW w:w="800" w:type="dxa"/>
            <w:vAlign w:val="bottom"/>
            <w:gridSpan w:val="3"/>
          </w:tcPr>
          <w:p>
            <w:pPr>
              <w:jc w:val="right"/>
              <w:ind w:right="380"/>
              <w:spacing w:after="0" w:line="122" w:lineRule="exact"/>
              <w:rPr>
                <w:sz w:val="20"/>
                <w:szCs w:val="20"/>
                <w:color w:val="auto"/>
              </w:rPr>
            </w:pPr>
            <w:r>
              <w:rPr>
                <w:rFonts w:ascii="Arial" w:cs="Arial" w:eastAsia="Arial" w:hAnsi="Arial"/>
                <w:sz w:val="11"/>
                <w:szCs w:val="11"/>
                <w:color w:val="auto"/>
                <w:w w:val="97"/>
              </w:rPr>
              <w:t>Average</w:t>
            </w:r>
          </w:p>
        </w:tc>
        <w:tc>
          <w:tcPr>
            <w:tcW w:w="740" w:type="dxa"/>
            <w:vAlign w:val="bottom"/>
            <w:gridSpan w:val="2"/>
          </w:tcPr>
          <w:p>
            <w:pPr>
              <w:jc w:val="center"/>
              <w:ind w:right="200"/>
              <w:spacing w:after="0" w:line="122" w:lineRule="exact"/>
              <w:rPr>
                <w:sz w:val="20"/>
                <w:szCs w:val="20"/>
                <w:color w:val="auto"/>
              </w:rPr>
            </w:pPr>
            <w:r>
              <w:rPr>
                <w:rFonts w:ascii="Arial" w:cs="Arial" w:eastAsia="Arial" w:hAnsi="Arial"/>
                <w:sz w:val="11"/>
                <w:szCs w:val="11"/>
                <w:color w:val="auto"/>
                <w:w w:val="85"/>
              </w:rPr>
              <w:t>Term</w:t>
            </w:r>
          </w:p>
        </w:tc>
        <w:tc>
          <w:tcPr>
            <w:tcW w:w="820" w:type="dxa"/>
            <w:vAlign w:val="bottom"/>
            <w:gridSpan w:val="3"/>
          </w:tcPr>
          <w:p>
            <w:pPr>
              <w:ind w:left="20"/>
              <w:spacing w:after="0" w:line="122" w:lineRule="exact"/>
              <w:rPr>
                <w:sz w:val="20"/>
                <w:szCs w:val="20"/>
                <w:color w:val="auto"/>
              </w:rPr>
            </w:pPr>
            <w:r>
              <w:rPr>
                <w:rFonts w:ascii="Arial" w:cs="Arial" w:eastAsia="Arial" w:hAnsi="Arial"/>
                <w:sz w:val="11"/>
                <w:szCs w:val="11"/>
                <w:color w:val="auto"/>
              </w:rPr>
              <w:t>Intrinsic Value</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4"/>
          </w:tcPr>
          <w:p>
            <w:pPr>
              <w:jc w:val="right"/>
              <w:ind w:right="360"/>
              <w:spacing w:after="0" w:line="122" w:lineRule="exact"/>
              <w:rPr>
                <w:sz w:val="20"/>
                <w:szCs w:val="20"/>
                <w:color w:val="auto"/>
              </w:rPr>
            </w:pPr>
            <w:r>
              <w:rPr>
                <w:rFonts w:ascii="Arial" w:cs="Arial" w:eastAsia="Arial" w:hAnsi="Arial"/>
                <w:sz w:val="11"/>
                <w:szCs w:val="11"/>
                <w:color w:val="auto"/>
                <w:w w:val="97"/>
              </w:rPr>
              <w:t>Average</w:t>
            </w:r>
          </w:p>
        </w:tc>
        <w:tc>
          <w:tcPr>
            <w:tcW w:w="580" w:type="dxa"/>
            <w:vAlign w:val="bottom"/>
          </w:tcPr>
          <w:p>
            <w:pPr>
              <w:jc w:val="center"/>
              <w:spacing w:after="0" w:line="122" w:lineRule="exact"/>
              <w:rPr>
                <w:sz w:val="20"/>
                <w:szCs w:val="20"/>
                <w:color w:val="auto"/>
              </w:rPr>
            </w:pPr>
            <w:r>
              <w:rPr>
                <w:rFonts w:ascii="Arial" w:cs="Arial" w:eastAsia="Arial" w:hAnsi="Arial"/>
                <w:sz w:val="11"/>
                <w:szCs w:val="11"/>
                <w:color w:val="auto"/>
                <w:w w:val="85"/>
              </w:rPr>
              <w:t>Term</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5"/>
              </w:rPr>
              <w:t>Value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60"/>
              <w:spacing w:after="0" w:line="122" w:lineRule="exact"/>
              <w:rPr>
                <w:sz w:val="20"/>
                <w:szCs w:val="20"/>
                <w:color w:val="auto"/>
              </w:rPr>
            </w:pPr>
            <w:r>
              <w:rPr>
                <w:rFonts w:ascii="Arial" w:cs="Arial" w:eastAsia="Arial" w:hAnsi="Arial"/>
                <w:sz w:val="11"/>
                <w:szCs w:val="11"/>
                <w:color w:val="auto"/>
                <w:w w:val="94"/>
              </w:rPr>
              <w:t>Options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color w:val="auto"/>
                <w:w w:val="85"/>
              </w:rPr>
              <w:t>Exercise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Arial" w:cs="Arial" w:eastAsia="Arial" w:hAnsi="Arial"/>
                <w:sz w:val="11"/>
                <w:szCs w:val="11"/>
                <w:color w:val="auto"/>
                <w:w w:val="85"/>
              </w:rPr>
              <w:t>Term</w:t>
            </w:r>
          </w:p>
        </w:tc>
        <w:tc>
          <w:tcPr>
            <w:tcW w:w="100" w:type="dxa"/>
            <w:vAlign w:val="bottom"/>
          </w:tcPr>
          <w:p>
            <w:pPr>
              <w:spacing w:after="0"/>
              <w:rPr>
                <w:sz w:val="10"/>
                <w:szCs w:val="10"/>
                <w:color w:val="auto"/>
              </w:rPr>
            </w:pPr>
          </w:p>
        </w:tc>
        <w:tc>
          <w:tcPr>
            <w:tcW w:w="560" w:type="dxa"/>
            <w:vAlign w:val="bottom"/>
          </w:tcPr>
          <w:p>
            <w:pPr>
              <w:jc w:val="center"/>
              <w:ind w:right="39"/>
              <w:spacing w:after="0" w:line="122" w:lineRule="exact"/>
              <w:rPr>
                <w:sz w:val="20"/>
                <w:szCs w:val="20"/>
                <w:color w:val="auto"/>
              </w:rPr>
            </w:pPr>
            <w:r>
              <w:rPr>
                <w:rFonts w:ascii="Arial" w:cs="Arial" w:eastAsia="Arial" w:hAnsi="Arial"/>
                <w:sz w:val="11"/>
                <w:szCs w:val="11"/>
                <w:color w:val="auto"/>
                <w:w w:val="92"/>
              </w:rPr>
              <w:t>Value</w:t>
            </w:r>
          </w:p>
        </w:tc>
        <w:tc>
          <w:tcPr>
            <w:tcW w:w="0" w:type="dxa"/>
            <w:vAlign w:val="bottom"/>
          </w:tcPr>
          <w:p>
            <w:pPr>
              <w:spacing w:after="0"/>
              <w:rPr>
                <w:sz w:val="1"/>
                <w:szCs w:val="1"/>
                <w:color w:val="auto"/>
              </w:rPr>
            </w:pPr>
          </w:p>
        </w:tc>
      </w:tr>
      <w:tr>
        <w:trPr>
          <w:trHeight w:val="136"/>
        </w:trPr>
        <w:tc>
          <w:tcPr>
            <w:tcW w:w="1960" w:type="dxa"/>
            <w:vAlign w:val="bottom"/>
          </w:tcPr>
          <w:p>
            <w:pPr>
              <w:spacing w:after="0"/>
              <w:rPr>
                <w:sz w:val="11"/>
                <w:szCs w:val="11"/>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(in 000's)</w:t>
            </w:r>
          </w:p>
        </w:tc>
        <w:tc>
          <w:tcPr>
            <w:tcW w:w="900" w:type="dxa"/>
            <w:vAlign w:val="bottom"/>
            <w:gridSpan w:val="4"/>
          </w:tcPr>
          <w:p>
            <w:pPr>
              <w:ind w:left="40"/>
              <w:spacing w:after="0"/>
              <w:rPr>
                <w:sz w:val="20"/>
                <w:szCs w:val="20"/>
                <w:color w:val="auto"/>
              </w:rPr>
            </w:pPr>
            <w:r>
              <w:rPr>
                <w:rFonts w:ascii="Arial" w:cs="Arial" w:eastAsia="Arial" w:hAnsi="Arial"/>
                <w:sz w:val="11"/>
                <w:szCs w:val="11"/>
                <w:color w:val="auto"/>
              </w:rPr>
              <w:t>Exercise Price</w:t>
            </w:r>
          </w:p>
        </w:tc>
        <w:tc>
          <w:tcPr>
            <w:tcW w:w="740" w:type="dxa"/>
            <w:vAlign w:val="bottom"/>
            <w:gridSpan w:val="2"/>
          </w:tcPr>
          <w:p>
            <w:pPr>
              <w:jc w:val="center"/>
              <w:ind w:right="200"/>
              <w:spacing w:after="0"/>
              <w:rPr>
                <w:sz w:val="20"/>
                <w:szCs w:val="20"/>
                <w:color w:val="auto"/>
              </w:rPr>
            </w:pPr>
            <w:r>
              <w:rPr>
                <w:rFonts w:ascii="Arial" w:cs="Arial" w:eastAsia="Arial" w:hAnsi="Arial"/>
                <w:sz w:val="11"/>
                <w:szCs w:val="11"/>
                <w:color w:val="auto"/>
                <w:w w:val="91"/>
              </w:rPr>
              <w:t>(in years)</w:t>
            </w:r>
          </w:p>
        </w:tc>
        <w:tc>
          <w:tcPr>
            <w:tcW w:w="10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color w:val="auto"/>
              </w:rPr>
              <w:t>(in 000's)</w:t>
            </w: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000's)</w:t>
            </w:r>
          </w:p>
        </w:tc>
        <w:tc>
          <w:tcPr>
            <w:tcW w:w="120" w:type="dxa"/>
            <w:vAlign w:val="bottom"/>
          </w:tcPr>
          <w:p>
            <w:pPr>
              <w:spacing w:after="0"/>
              <w:rPr>
                <w:sz w:val="11"/>
                <w:szCs w:val="11"/>
                <w:color w:val="auto"/>
              </w:rPr>
            </w:pPr>
          </w:p>
        </w:tc>
        <w:tc>
          <w:tcPr>
            <w:tcW w:w="880" w:type="dxa"/>
            <w:vAlign w:val="bottom"/>
            <w:gridSpan w:val="5"/>
          </w:tcPr>
          <w:p>
            <w:pPr>
              <w:ind w:left="40"/>
              <w:spacing w:after="0"/>
              <w:rPr>
                <w:sz w:val="20"/>
                <w:szCs w:val="20"/>
                <w:color w:val="auto"/>
              </w:rPr>
            </w:pPr>
            <w:r>
              <w:rPr>
                <w:rFonts w:ascii="Arial" w:cs="Arial" w:eastAsia="Arial" w:hAnsi="Arial"/>
                <w:sz w:val="11"/>
                <w:szCs w:val="11"/>
                <w:color w:val="auto"/>
              </w:rPr>
              <w:t>Exercise Price</w:t>
            </w:r>
          </w:p>
        </w:tc>
        <w:tc>
          <w:tcPr>
            <w:tcW w:w="580" w:type="dxa"/>
            <w:vAlign w:val="bottom"/>
          </w:tcPr>
          <w:p>
            <w:pPr>
              <w:jc w:val="center"/>
              <w:spacing w:after="0"/>
              <w:rPr>
                <w:sz w:val="20"/>
                <w:szCs w:val="20"/>
                <w:color w:val="auto"/>
              </w:rPr>
            </w:pPr>
            <w:r>
              <w:rPr>
                <w:rFonts w:ascii="Arial" w:cs="Arial" w:eastAsia="Arial" w:hAnsi="Arial"/>
                <w:sz w:val="11"/>
                <w:szCs w:val="11"/>
                <w:color w:val="auto"/>
                <w:w w:val="91"/>
              </w:rPr>
              <w:t>(in years)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center"/>
              <w:spacing w:after="0"/>
              <w:rPr>
                <w:sz w:val="20"/>
                <w:szCs w:val="20"/>
                <w:color w:val="auto"/>
              </w:rPr>
            </w:pPr>
            <w:r>
              <w:rPr>
                <w:rFonts w:ascii="Arial" w:cs="Arial" w:eastAsia="Arial" w:hAnsi="Arial"/>
                <w:sz w:val="11"/>
                <w:szCs w:val="11"/>
                <w:color w:val="auto"/>
                <w:w w:val="88"/>
              </w:rPr>
              <w:t>(in 000's)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1"/>
                <w:szCs w:val="11"/>
                <w:color w:val="auto"/>
                <w:w w:val="88"/>
              </w:rPr>
              <w:t>(in 000's)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color w:val="auto"/>
                <w:w w:val="87"/>
              </w:rPr>
              <w:t>Price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1"/>
                <w:szCs w:val="11"/>
                <w:color w:val="auto"/>
                <w:w w:val="91"/>
              </w:rPr>
              <w:t>(in years)</w:t>
            </w:r>
          </w:p>
        </w:tc>
        <w:tc>
          <w:tcPr>
            <w:tcW w:w="100" w:type="dxa"/>
            <w:vAlign w:val="bottom"/>
          </w:tcPr>
          <w:p>
            <w:pPr>
              <w:spacing w:after="0"/>
              <w:rPr>
                <w:sz w:val="11"/>
                <w:szCs w:val="11"/>
                <w:color w:val="auto"/>
              </w:rPr>
            </w:pPr>
          </w:p>
        </w:tc>
        <w:tc>
          <w:tcPr>
            <w:tcW w:w="560" w:type="dxa"/>
            <w:vAlign w:val="bottom"/>
          </w:tcPr>
          <w:p>
            <w:pPr>
              <w:jc w:val="center"/>
              <w:ind w:right="39"/>
              <w:spacing w:after="0"/>
              <w:rPr>
                <w:sz w:val="20"/>
                <w:szCs w:val="20"/>
                <w:color w:val="auto"/>
              </w:rPr>
            </w:pPr>
            <w:r>
              <w:rPr>
                <w:rFonts w:ascii="Arial" w:cs="Arial" w:eastAsia="Arial" w:hAnsi="Arial"/>
                <w:sz w:val="11"/>
                <w:szCs w:val="11"/>
                <w:color w:val="auto"/>
                <w:w w:val="93"/>
              </w:rPr>
              <w:t>(in 000's)</w:t>
            </w:r>
          </w:p>
        </w:tc>
        <w:tc>
          <w:tcPr>
            <w:tcW w:w="0" w:type="dxa"/>
            <w:vAlign w:val="bottom"/>
          </w:tcPr>
          <w:p>
            <w:pPr>
              <w:spacing w:after="0"/>
              <w:rPr>
                <w:sz w:val="1"/>
                <w:szCs w:val="1"/>
                <w:color w:val="auto"/>
              </w:rPr>
            </w:pPr>
          </w:p>
        </w:tc>
      </w:tr>
      <w:tr>
        <w:trPr>
          <w:trHeight w:val="22"/>
        </w:trPr>
        <w:tc>
          <w:tcPr>
            <w:tcW w:w="19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Outstanding at beginning of the year</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42.56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652</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39.27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66"/>
              <w:spacing w:after="0"/>
              <w:rPr>
                <w:sz w:val="20"/>
                <w:szCs w:val="20"/>
                <w:color w:val="auto"/>
              </w:rPr>
            </w:pPr>
            <w:r>
              <w:rPr>
                <w:rFonts w:ascii="Arial" w:cs="Arial" w:eastAsia="Arial" w:hAnsi="Arial"/>
                <w:sz w:val="11"/>
                <w:szCs w:val="11"/>
                <w:color w:val="auto"/>
              </w:rPr>
              <w:t>648</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60" w:type="dxa"/>
            <w:vAlign w:val="bottom"/>
          </w:tcPr>
          <w:p>
            <w:pPr>
              <w:ind w:left="40"/>
              <w:spacing w:after="0"/>
              <w:rPr>
                <w:sz w:val="20"/>
                <w:szCs w:val="20"/>
                <w:color w:val="auto"/>
              </w:rPr>
            </w:pPr>
            <w:r>
              <w:rPr>
                <w:rFonts w:ascii="Arial" w:cs="Arial" w:eastAsia="Arial" w:hAnsi="Arial"/>
                <w:sz w:val="11"/>
                <w:szCs w:val="11"/>
                <w:color w:val="auto"/>
              </w:rPr>
              <w:t>Granted</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5"/>
              <w:spacing w:after="0"/>
              <w:rPr>
                <w:sz w:val="20"/>
                <w:szCs w:val="20"/>
                <w:color w:val="auto"/>
              </w:rPr>
            </w:pPr>
            <w:r>
              <w:rPr>
                <w:rFonts w:ascii="Arial" w:cs="Arial" w:eastAsia="Arial" w:hAnsi="Arial"/>
                <w:sz w:val="11"/>
                <w:szCs w:val="11"/>
                <w:color w:val="auto"/>
              </w:rPr>
              <w:t>44.95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62.70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4"/>
          </w:tcPr>
          <w:p>
            <w:pPr>
              <w:jc w:val="right"/>
              <w:ind w:right="66"/>
              <w:spacing w:after="0"/>
              <w:rPr>
                <w:sz w:val="20"/>
                <w:szCs w:val="20"/>
                <w:color w:val="auto"/>
              </w:rPr>
            </w:pPr>
            <w:r>
              <w:rPr>
                <w:rFonts w:ascii="Arial" w:cs="Arial" w:eastAsia="Arial" w:hAnsi="Arial"/>
                <w:sz w:val="11"/>
                <w:szCs w:val="11"/>
                <w:color w:val="auto"/>
              </w:rPr>
              <w:t>243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49.67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Exercised</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24.67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25.72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2,140</w:t>
            </w:r>
          </w:p>
        </w:tc>
        <w:tc>
          <w:tcPr>
            <w:tcW w:w="880" w:type="dxa"/>
            <w:vAlign w:val="bottom"/>
            <w:tcBorders>
              <w:bottom w:val="single" w:sz="8" w:color="CCEEFF"/>
            </w:tcBorders>
            <w:gridSpan w:val="4"/>
            <w:shd w:val="clear" w:color="auto" w:fill="CCEEFF"/>
          </w:tcPr>
          <w:p>
            <w:pPr>
              <w:jc w:val="right"/>
              <w:ind w:right="26"/>
              <w:spacing w:after="0"/>
              <w:rPr>
                <w:sz w:val="20"/>
                <w:szCs w:val="20"/>
                <w:color w:val="auto"/>
              </w:rPr>
            </w:pPr>
            <w:r>
              <w:rPr>
                <w:rFonts w:ascii="Arial" w:cs="Arial" w:eastAsia="Arial" w:hAnsi="Arial"/>
                <w:sz w:val="11"/>
                <w:szCs w:val="11"/>
                <w:color w:val="auto"/>
              </w:rPr>
              <w:t>(239)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26.09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1"/>
                <w:szCs w:val="11"/>
                <w:color w:val="auto"/>
              </w:rPr>
              <w:t>9,933</w:t>
            </w:r>
          </w:p>
        </w:tc>
        <w:tc>
          <w:tcPr>
            <w:tcW w:w="0" w:type="dxa"/>
            <w:vAlign w:val="bottom"/>
          </w:tcPr>
          <w:p>
            <w:pPr>
              <w:spacing w:after="0"/>
              <w:rPr>
                <w:sz w:val="1"/>
                <w:szCs w:val="1"/>
                <w:color w:val="auto"/>
              </w:rPr>
            </w:pPr>
          </w:p>
        </w:tc>
      </w:tr>
      <w:tr>
        <w:trPr>
          <w:trHeight w:val="248"/>
        </w:trPr>
        <w:tc>
          <w:tcPr>
            <w:tcW w:w="1960" w:type="dxa"/>
            <w:vAlign w:val="bottom"/>
          </w:tcPr>
          <w:p>
            <w:pPr>
              <w:ind w:left="40"/>
              <w:spacing w:after="0"/>
              <w:rPr>
                <w:sz w:val="20"/>
                <w:szCs w:val="20"/>
                <w:color w:val="auto"/>
              </w:rPr>
            </w:pPr>
            <w:r>
              <w:rPr>
                <w:rFonts w:ascii="Arial" w:cs="Arial" w:eastAsia="Arial" w:hAnsi="Arial"/>
                <w:sz w:val="11"/>
                <w:szCs w:val="11"/>
                <w:color w:val="auto"/>
              </w:rPr>
              <w:t>Forfeited/canceled/expired</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5"/>
              <w:spacing w:after="0"/>
              <w:rPr>
                <w:sz w:val="20"/>
                <w:szCs w:val="20"/>
                <w:color w:val="auto"/>
              </w:rPr>
            </w:pPr>
            <w:r>
              <w:rPr>
                <w:rFonts w:ascii="Arial" w:cs="Arial" w:eastAsia="Arial" w:hAnsi="Arial"/>
                <w:sz w:val="11"/>
                <w:szCs w:val="11"/>
                <w:color w:val="auto"/>
              </w:rPr>
              <w:t>27.74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46.44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9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1960" w:type="dxa"/>
            <w:vAlign w:val="bottom"/>
            <w:shd w:val="clear" w:color="auto" w:fill="CCEEFF"/>
          </w:tcPr>
          <w:p>
            <w:pPr>
              <w:ind w:left="40"/>
              <w:spacing w:after="0"/>
              <w:rPr>
                <w:sz w:val="20"/>
                <w:szCs w:val="20"/>
                <w:color w:val="auto"/>
              </w:rPr>
            </w:pPr>
            <w:r>
              <w:rPr>
                <w:rFonts w:ascii="Arial" w:cs="Arial" w:eastAsia="Arial" w:hAnsi="Arial"/>
                <w:sz w:val="11"/>
                <w:szCs w:val="11"/>
                <w:color w:val="auto"/>
              </w:rPr>
              <w:t xml:space="preserve">Outstanding at end of the year </w:t>
            </w:r>
            <w:r>
              <w:rPr>
                <w:rFonts w:ascii="Arial" w:cs="Arial" w:eastAsia="Arial" w:hAnsi="Arial"/>
                <w:sz w:val="8"/>
                <w:szCs w:val="8"/>
                <w:color w:val="auto"/>
              </w:rPr>
              <w:t>(1)</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597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44.27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center"/>
              <w:ind w:right="6"/>
              <w:spacing w:after="0"/>
              <w:rPr>
                <w:sz w:val="20"/>
                <w:szCs w:val="20"/>
                <w:color w:val="auto"/>
              </w:rPr>
            </w:pPr>
            <w:r>
              <w:rPr>
                <w:rFonts w:ascii="Arial" w:cs="Arial" w:eastAsia="Arial" w:hAnsi="Arial"/>
                <w:sz w:val="11"/>
                <w:szCs w:val="11"/>
                <w:color w:val="auto"/>
                <w:w w:val="83"/>
              </w:rPr>
              <w:t>4.08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758</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520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w w:val="97"/>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42.56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3"/>
              </w:rPr>
              <w:t>4.25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5,607</w:t>
            </w:r>
          </w:p>
        </w:tc>
        <w:tc>
          <w:tcPr>
            <w:tcW w:w="880" w:type="dxa"/>
            <w:vAlign w:val="bottom"/>
            <w:gridSpan w:val="4"/>
            <w:shd w:val="clear" w:color="auto" w:fill="CCEEFF"/>
          </w:tcPr>
          <w:p>
            <w:pPr>
              <w:jc w:val="right"/>
              <w:ind w:right="66"/>
              <w:spacing w:after="0"/>
              <w:rPr>
                <w:sz w:val="20"/>
                <w:szCs w:val="20"/>
                <w:color w:val="auto"/>
              </w:rPr>
            </w:pPr>
            <w:r>
              <w:rPr>
                <w:rFonts w:ascii="Arial" w:cs="Arial" w:eastAsia="Arial" w:hAnsi="Arial"/>
                <w:sz w:val="11"/>
                <w:szCs w:val="11"/>
                <w:color w:val="auto"/>
              </w:rPr>
              <w:t>652</w:t>
            </w: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center"/>
              <w:ind w:right="44"/>
              <w:spacing w:after="0"/>
              <w:rPr>
                <w:sz w:val="20"/>
                <w:szCs w:val="20"/>
                <w:color w:val="auto"/>
              </w:rPr>
            </w:pPr>
            <w:r>
              <w:rPr>
                <w:rFonts w:ascii="Arial" w:cs="Arial" w:eastAsia="Arial" w:hAnsi="Arial"/>
                <w:sz w:val="11"/>
                <w:szCs w:val="11"/>
                <w:color w:val="auto"/>
                <w:w w:val="83"/>
              </w:rPr>
              <w:t>4.78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1"/>
                <w:szCs w:val="11"/>
                <w:color w:val="auto"/>
              </w:rPr>
              <w:t>16,553</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1"/>
                <w:szCs w:val="11"/>
                <w:color w:val="auto"/>
                <w:w w:val="93"/>
              </w:rPr>
              <w:t>Vested and expected to vest at the end of</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9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960" w:type="dxa"/>
            <w:vAlign w:val="bottom"/>
          </w:tcPr>
          <w:p>
            <w:pPr>
              <w:ind w:left="40"/>
              <w:spacing w:after="0"/>
              <w:rPr>
                <w:sz w:val="20"/>
                <w:szCs w:val="20"/>
                <w:color w:val="auto"/>
              </w:rPr>
            </w:pPr>
            <w:r>
              <w:rPr>
                <w:rFonts w:ascii="Arial" w:cs="Arial" w:eastAsia="Arial" w:hAnsi="Arial"/>
                <w:sz w:val="11"/>
                <w:szCs w:val="11"/>
                <w:color w:val="auto"/>
              </w:rPr>
              <w:t xml:space="preserve">the year </w:t>
            </w:r>
            <w:r>
              <w:rPr>
                <w:rFonts w:ascii="Arial" w:cs="Arial" w:eastAsia="Arial" w:hAnsi="Arial"/>
                <w:sz w:val="8"/>
                <w:szCs w:val="8"/>
                <w:color w:val="auto"/>
              </w:rPr>
              <w:t>(1)</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597</w:t>
            </w:r>
          </w:p>
        </w:tc>
        <w:tc>
          <w:tcPr>
            <w:tcW w:w="12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5"/>
              <w:spacing w:after="0"/>
              <w:rPr>
                <w:sz w:val="20"/>
                <w:szCs w:val="20"/>
                <w:color w:val="auto"/>
              </w:rPr>
            </w:pPr>
            <w:r>
              <w:rPr>
                <w:rFonts w:ascii="Arial" w:cs="Arial" w:eastAsia="Arial" w:hAnsi="Arial"/>
                <w:sz w:val="11"/>
                <w:szCs w:val="11"/>
                <w:color w:val="auto"/>
              </w:rPr>
              <w:t>44.27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6"/>
              <w:spacing w:after="0"/>
              <w:rPr>
                <w:sz w:val="20"/>
                <w:szCs w:val="20"/>
                <w:color w:val="auto"/>
              </w:rPr>
            </w:pPr>
            <w:r>
              <w:rPr>
                <w:rFonts w:ascii="Arial" w:cs="Arial" w:eastAsia="Arial" w:hAnsi="Arial"/>
                <w:sz w:val="11"/>
                <w:szCs w:val="11"/>
                <w:color w:val="auto"/>
                <w:w w:val="83"/>
              </w:rPr>
              <w:t>4.08</w:t>
            </w:r>
          </w:p>
        </w:tc>
        <w:tc>
          <w:tcPr>
            <w:tcW w:w="14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758</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520</w:t>
            </w:r>
          </w:p>
        </w:tc>
        <w:tc>
          <w:tcPr>
            <w:tcW w:w="220" w:type="dxa"/>
            <w:vAlign w:val="bottom"/>
            <w:gridSpan w:val="2"/>
          </w:tcPr>
          <w:p>
            <w:pPr>
              <w:ind w:left="140"/>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42.56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3"/>
              </w:rPr>
              <w:t>4.25</w:t>
            </w:r>
          </w:p>
        </w:tc>
        <w:tc>
          <w:tcPr>
            <w:tcW w:w="2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5,607</w:t>
            </w:r>
          </w:p>
        </w:tc>
        <w:tc>
          <w:tcPr>
            <w:tcW w:w="880" w:type="dxa"/>
            <w:vAlign w:val="bottom"/>
            <w:gridSpan w:val="4"/>
          </w:tcPr>
          <w:p>
            <w:pPr>
              <w:jc w:val="right"/>
              <w:ind w:right="66"/>
              <w:spacing w:after="0"/>
              <w:rPr>
                <w:sz w:val="20"/>
                <w:szCs w:val="20"/>
                <w:color w:val="auto"/>
              </w:rPr>
            </w:pPr>
            <w:r>
              <w:rPr>
                <w:rFonts w:ascii="Arial" w:cs="Arial" w:eastAsia="Arial" w:hAnsi="Arial"/>
                <w:sz w:val="11"/>
                <w:szCs w:val="11"/>
                <w:color w:val="auto"/>
              </w:rPr>
              <w:t>652</w:t>
            </w:r>
          </w:p>
        </w:tc>
        <w:tc>
          <w:tcPr>
            <w:tcW w:w="60" w:type="dxa"/>
            <w:vAlign w:val="bottom"/>
          </w:tcPr>
          <w:p>
            <w:pPr>
              <w:spacing w:after="0"/>
              <w:rPr>
                <w:sz w:val="11"/>
                <w:szCs w:val="1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39.27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44"/>
              <w:spacing w:after="0"/>
              <w:rPr>
                <w:sz w:val="20"/>
                <w:szCs w:val="20"/>
                <w:color w:val="auto"/>
              </w:rPr>
            </w:pPr>
            <w:r>
              <w:rPr>
                <w:rFonts w:ascii="Arial" w:cs="Arial" w:eastAsia="Arial" w:hAnsi="Arial"/>
                <w:sz w:val="11"/>
                <w:szCs w:val="11"/>
                <w:color w:val="auto"/>
                <w:w w:val="83"/>
              </w:rPr>
              <w:t>4.78</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39"/>
              <w:spacing w:after="0"/>
              <w:rPr>
                <w:sz w:val="20"/>
                <w:szCs w:val="20"/>
                <w:color w:val="auto"/>
              </w:rPr>
            </w:pPr>
            <w:r>
              <w:rPr>
                <w:rFonts w:ascii="Arial" w:cs="Arial" w:eastAsia="Arial" w:hAnsi="Arial"/>
                <w:sz w:val="11"/>
                <w:szCs w:val="11"/>
                <w:color w:val="auto"/>
              </w:rPr>
              <w:t>16,548</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960" w:type="dxa"/>
            <w:vAlign w:val="bottom"/>
            <w:shd w:val="clear" w:color="auto" w:fill="CCEEFF"/>
          </w:tcPr>
          <w:p>
            <w:pPr>
              <w:ind w:left="40"/>
              <w:spacing w:after="0"/>
              <w:rPr>
                <w:sz w:val="20"/>
                <w:szCs w:val="20"/>
                <w:color w:val="auto"/>
              </w:rPr>
            </w:pPr>
            <w:r>
              <w:rPr>
                <w:rFonts w:ascii="Arial" w:cs="Arial" w:eastAsia="Arial" w:hAnsi="Arial"/>
                <w:sz w:val="11"/>
                <w:szCs w:val="11"/>
                <w:color w:val="auto"/>
              </w:rPr>
              <w:t xml:space="preserve">Exercisable at the end of the year </w:t>
            </w:r>
            <w:r>
              <w:rPr>
                <w:rFonts w:ascii="Arial" w:cs="Arial" w:eastAsia="Arial" w:hAnsi="Arial"/>
                <w:sz w:val="8"/>
                <w:szCs w:val="8"/>
                <w:color w:val="auto"/>
              </w:rPr>
              <w:t>(1)</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430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42.30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right="6"/>
              <w:spacing w:after="0"/>
              <w:rPr>
                <w:sz w:val="20"/>
                <w:szCs w:val="20"/>
                <w:color w:val="auto"/>
              </w:rPr>
            </w:pPr>
            <w:r>
              <w:rPr>
                <w:rFonts w:ascii="Arial" w:cs="Arial" w:eastAsia="Arial" w:hAnsi="Arial"/>
                <w:sz w:val="11"/>
                <w:szCs w:val="11"/>
                <w:color w:val="auto"/>
                <w:w w:val="83"/>
              </w:rPr>
              <w:t>3.43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758</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381</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w w:val="97"/>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36.39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3"/>
              </w:rPr>
              <w:t>3.72</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5,607</w:t>
            </w:r>
          </w:p>
        </w:tc>
        <w:tc>
          <w:tcPr>
            <w:tcW w:w="880" w:type="dxa"/>
            <w:vAlign w:val="bottom"/>
            <w:gridSpan w:val="4"/>
            <w:shd w:val="clear" w:color="auto" w:fill="CCEEFF"/>
          </w:tcPr>
          <w:p>
            <w:pPr>
              <w:jc w:val="right"/>
              <w:ind w:right="66"/>
              <w:spacing w:after="0"/>
              <w:rPr>
                <w:sz w:val="20"/>
                <w:szCs w:val="20"/>
                <w:color w:val="auto"/>
              </w:rPr>
            </w:pPr>
            <w:r>
              <w:rPr>
                <w:rFonts w:ascii="Arial" w:cs="Arial" w:eastAsia="Arial" w:hAnsi="Arial"/>
                <w:sz w:val="11"/>
                <w:szCs w:val="11"/>
                <w:color w:val="auto"/>
              </w:rPr>
              <w:t>363</w:t>
            </w:r>
          </w:p>
        </w:tc>
        <w:tc>
          <w:tcPr>
            <w:tcW w:w="6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30.21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right="44"/>
              <w:spacing w:after="0"/>
              <w:rPr>
                <w:sz w:val="20"/>
                <w:szCs w:val="20"/>
                <w:color w:val="auto"/>
              </w:rPr>
            </w:pPr>
            <w:r>
              <w:rPr>
                <w:rFonts w:ascii="Arial" w:cs="Arial" w:eastAsia="Arial" w:hAnsi="Arial"/>
                <w:sz w:val="11"/>
                <w:szCs w:val="11"/>
                <w:color w:val="auto"/>
                <w:w w:val="83"/>
              </w:rPr>
              <w:t>3.88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1"/>
                <w:szCs w:val="11"/>
                <w:color w:val="auto"/>
              </w:rPr>
              <w:t>12,511</w:t>
            </w:r>
          </w:p>
        </w:tc>
        <w:tc>
          <w:tcPr>
            <w:tcW w:w="0" w:type="dxa"/>
            <w:vAlign w:val="bottom"/>
          </w:tcPr>
          <w:p>
            <w:pPr>
              <w:spacing w:after="0"/>
              <w:rPr>
                <w:sz w:val="1"/>
                <w:szCs w:val="1"/>
                <w:color w:val="auto"/>
              </w:rPr>
            </w:pPr>
          </w:p>
        </w:tc>
      </w:tr>
      <w:tr>
        <w:trPr>
          <w:trHeight w:val="22"/>
        </w:trPr>
        <w:tc>
          <w:tcPr>
            <w:tcW w:w="19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62" w:lineRule="auto"/>
        <w:tabs>
          <w:tab w:leader="none" w:pos="66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represents the total pre-tax value (the difference between our closing stock price on the last trading day of 2018, 2017, and 2016 and the exercise price, multiplied by the number of in-the-money options) that would have been received by the option holders had they all exercised their options on December 31, 2018, 2017, and 2016. This amount will change based on the fair market value of our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2018, 2017, and 2016, there were no modifications made to outstanding stock options.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received from option exercises for the years ended December 31, 2018, 2017, and 2016 was $0.9 million, $1.4 million, and $6.2 million, respectively. The actual tax benefit realized from option exercises was $0.2 million, $0.7 million and $2.6 million for the years ended December 31, 2018, 2017, and 2016, respectively.</w:t>
      </w:r>
    </w:p>
    <w:p>
      <w:pPr>
        <w:sectPr>
          <w:pgSz w:w="11900" w:h="16838" w:orient="portrait"/>
          <w:cols w:equalWidth="0" w:num="1">
            <w:col w:w="11420"/>
          </w:cols>
          <w:pgMar w:left="240" w:top="118"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18" w:right="239" w:bottom="1440" w:gutter="0" w:footer="0" w:header="0"/>
          <w:type w:val="continuous"/>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September 11, 2017, the independent members of our Board of Directors voluntarily surrendered 150,000 stock options originally granted to them in February 2016, resulting in the acceleration and recording of $1.2 million of stock-based compensation expense during the year ended December 31, 2017. This amount represented all remaining unamortized compensation expense associated with the surrendered stock options as of the surrender date.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Significant option groups outstanding at December 31, 2018 and the related weighted average exercise price and life information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Options Outstanding</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3"/>
                <w:szCs w:val="13"/>
                <w:color w:val="auto"/>
              </w:rPr>
            </w:pPr>
          </w:p>
        </w:tc>
        <w:tc>
          <w:tcPr>
            <w:tcW w:w="18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Weighted-Average</w:t>
            </w: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 (in</w:t>
            </w:r>
          </w:p>
        </w:tc>
        <w:tc>
          <w:tcPr>
            <w:tcW w:w="1380" w:type="dxa"/>
            <w:vAlign w:val="bottom"/>
            <w:gridSpan w:val="3"/>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000’s)</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Exercise 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000’s)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$18.25 to $20.55</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134</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$35.28 to $44.95</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200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41.04</w:t>
            </w:r>
          </w:p>
        </w:tc>
        <w:tc>
          <w:tcPr>
            <w:tcW w:w="12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$51.38 to $65.54</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263</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59.31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59.03</w:t>
            </w: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597</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44.27</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we expect to recognize $1.9 million of total unrecognized pre-tax stock-based compensation expense related to non-vested stock options over a remaining weighted-average life of 1.7 years.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13, 2019, certain executive employees were granted 150,780 stock options in connection with the 2018 annual review cycle. The options were granted as part of long-term incentive compensation to assist us in meeting our performance and retention objectives and are subject to a three-year vesting period (33.33% on February 13, 2020 and 8.33% each quarter thereafter). The total grant date fair value of these awards was $1.6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2018</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2017</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Weighted-</w:t>
            </w: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(in 000’s)</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(in 000’s)</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(in 000’s)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Non-vested at beginning of the year</w:t>
            </w: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61.19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57.43</w:t>
            </w:r>
          </w:p>
        </w:tc>
        <w:tc>
          <w:tcPr>
            <w:tcW w:w="1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225</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42.65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64.14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Vested</w:t>
            </w: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56.16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59.67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54.16</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60.11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60.17</w:t>
            </w: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Non-vested at end of the year</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60" w:type="dxa"/>
            <w:vAlign w:val="bottom"/>
            <w:tcBorders>
              <w:top w:val="single" w:sz="8" w:color="auto"/>
              <w:bottom w:val="single" w:sz="8" w:color="auto"/>
            </w:tcBorders>
          </w:tcPr>
          <w:p>
            <w:pPr>
              <w:spacing w:after="0"/>
              <w:rPr>
                <w:sz w:val="22"/>
                <w:szCs w:val="2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49.23</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40" w:type="dxa"/>
            <w:vAlign w:val="bottom"/>
            <w:tcBorders>
              <w:top w:val="single" w:sz="8" w:color="auto"/>
              <w:bottom w:val="single" w:sz="8" w:color="auto"/>
            </w:tcBorders>
          </w:tcPr>
          <w:p>
            <w:pPr>
              <w:spacing w:after="0"/>
              <w:rPr>
                <w:sz w:val="22"/>
                <w:szCs w:val="2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61.19</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153</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we expect to recognize $6.9 million of total unrecognized pre-tax stock-based compensation expense related to non-vested restricted stock awards over a weighted-average life of 1.7 years.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2019, certain executives and employees were granted 210,927 restricted stock awards in connection with the 2018 annual review cycle. These awards were granted as part of long-term incentive compensation to assist us in meeting our performance and retention objectives and are subject to a three-year vesting period (57,270 of these awards vest 33.33% on February 13, 2020 and 8.33% each quarter thereafter; and 153,657 of these awards vest at a rate of 33.33% per year beginning on February 19, 2020). The total grant date fair value of these awards was $6.0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active stock-based incentive plans include those adopted in 2003, 2006, 2010, 2014 and 2018 ("Stock Incentive Plans"). Under the Stock Incentive Plans, we may grant stock options, stock appreciation rights, restricted stock units, performance stock units, or any combination thereof for a period of ten years from the approval date of each respective plan, unless the plan is terminated by resolution of our Board of Directors. No stock appreciation rights or performance stock units have been awarded under our Stock Incentive Plans. Only directors and employees meeting certain employment qualifications are eligible to receive stock-based awards.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grant price of stock option and restricted stock awards granted under our Stock Incentive Plans is the average of the high and low trades of our stock on the grant date. We prohibit the re-pricing or backdating of stock options. Our stock options become exercisable in various proportions over a three- or four-year time frame. Stock options have a maximum ten-year term. Restricted stock awards vest in various proportions over a one- to three-year time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active Stock Incentive Plans was as follows at December 31,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Initial Shares</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Remaining Shares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Outstanding Shares</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2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vMerge w:val="restart"/>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 Grant</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 Grant</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2003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6/18/2003</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14,391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2006 Stock Incentive Plan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6/13/2006</w:t>
            </w:r>
          </w:p>
        </w:tc>
        <w:tc>
          <w:tcPr>
            <w:tcW w:w="120" w:type="dxa"/>
            <w:vAlign w:val="bottom"/>
          </w:tcPr>
          <w:p>
            <w:pPr>
              <w:spacing w:after="0"/>
              <w:rPr>
                <w:sz w:val="21"/>
                <w:szCs w:val="21"/>
                <w:color w:val="auto"/>
              </w:rPr>
            </w:pPr>
          </w:p>
        </w:tc>
        <w:tc>
          <w:tcPr>
            <w:tcW w:w="1840" w:type="dxa"/>
            <w:vAlign w:val="bottom"/>
          </w:tcPr>
          <w:p>
            <w:pPr>
              <w:jc w:val="right"/>
              <w:ind w:right="57"/>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51,092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2010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6/15/2010</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198,971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2014 Stock Incentive Plan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6/12/2014</w:t>
            </w:r>
          </w:p>
        </w:tc>
        <w:tc>
          <w:tcPr>
            <w:tcW w:w="120" w:type="dxa"/>
            <w:vAlign w:val="bottom"/>
          </w:tcPr>
          <w:p>
            <w:pPr>
              <w:spacing w:after="0"/>
              <w:rPr>
                <w:sz w:val="21"/>
                <w:szCs w:val="21"/>
                <w:color w:val="auto"/>
              </w:rPr>
            </w:pPr>
          </w:p>
        </w:tc>
        <w:tc>
          <w:tcPr>
            <w:tcW w:w="1840" w:type="dxa"/>
            <w:vAlign w:val="bottom"/>
          </w:tcPr>
          <w:p>
            <w:pPr>
              <w:jc w:val="right"/>
              <w:ind w:right="57"/>
              <w:spacing w:after="0"/>
              <w:rPr>
                <w:sz w:val="20"/>
                <w:szCs w:val="20"/>
                <w:color w:val="auto"/>
              </w:rPr>
            </w:pPr>
            <w:r>
              <w:rPr>
                <w:rFonts w:ascii="Arial" w:cs="Arial" w:eastAsia="Arial" w:hAnsi="Arial"/>
                <w:sz w:val="18"/>
                <w:szCs w:val="18"/>
                <w:color w:val="auto"/>
              </w:rPr>
              <w:t>1,100,000</w:t>
            </w:r>
          </w:p>
        </w:tc>
        <w:tc>
          <w:tcPr>
            <w:tcW w:w="12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520,273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6/4/2018</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969,150</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15,850</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969,150</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800,577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Performance-Based Common Stock Warrants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9, 2016, we issued common stock purchase warrants to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number of warrants that will vest in each period based upon achieving these purchase levels.</w:t>
      </w:r>
    </w:p>
    <w:p>
      <w:pPr>
        <w:spacing w:after="0" w:line="27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820" w:type="dxa"/>
            <w:vAlign w:val="bottom"/>
            <w:tcBorders>
              <w:bottom w:val="single" w:sz="8" w:color="auto"/>
            </w:tcBorders>
            <w:gridSpan w:val="5"/>
          </w:tcPr>
          <w:p>
            <w:pPr>
              <w:jc w:val="center"/>
              <w:ind w:left="1398"/>
              <w:spacing w:after="0"/>
              <w:rPr>
                <w:sz w:val="20"/>
                <w:szCs w:val="20"/>
                <w:color w:val="auto"/>
              </w:rPr>
            </w:pPr>
            <w:r>
              <w:rPr>
                <w:rFonts w:ascii="Arial" w:cs="Arial" w:eastAsia="Arial" w:hAnsi="Arial"/>
                <w:sz w:val="14"/>
                <w:szCs w:val="14"/>
                <w:b w:val="1"/>
                <w:bCs w:val="1"/>
                <w:color w:val="auto"/>
                <w:w w:val="96"/>
              </w:rPr>
              <w:t>Incremental Warrants That Will Vest</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 Level of Purchases by Comcast and Affiliates</w:t>
            </w:r>
          </w:p>
        </w:tc>
        <w:tc>
          <w:tcPr>
            <w:tcW w:w="18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January 1, 2016 -</w:t>
            </w:r>
          </w:p>
        </w:tc>
        <w:tc>
          <w:tcPr>
            <w:tcW w:w="202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January 1, 2018 -</w:t>
            </w:r>
          </w:p>
        </w:tc>
        <w:tc>
          <w:tcPr>
            <w:tcW w:w="14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w w:val="99"/>
              </w:rPr>
              <w:t>January 1, 2020 -</w:t>
            </w:r>
          </w:p>
        </w:tc>
        <w:tc>
          <w:tcPr>
            <w:tcW w:w="0" w:type="dxa"/>
            <w:vAlign w:val="bottom"/>
          </w:tcPr>
          <w:p>
            <w:pPr>
              <w:spacing w:after="0"/>
              <w:rPr>
                <w:sz w:val="1"/>
                <w:szCs w:val="1"/>
                <w:color w:val="auto"/>
              </w:rPr>
            </w:pPr>
          </w:p>
        </w:tc>
      </w:tr>
      <w:tr>
        <w:trPr>
          <w:trHeight w:val="192"/>
        </w:trPr>
        <w:tc>
          <w:tcPr>
            <w:tcW w:w="6000" w:type="dxa"/>
            <w:vAlign w:val="bottom"/>
            <w:vMerge w:val="continue"/>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2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146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50"/>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$260 million</w:t>
            </w:r>
          </w:p>
        </w:tc>
        <w:tc>
          <w:tcPr>
            <w:tcW w:w="17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$300 million</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$340 million</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4"/>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Maximum Potential Warrants Earned by Comcast</w:t>
            </w:r>
          </w:p>
        </w:tc>
        <w:tc>
          <w:tcPr>
            <w:tcW w:w="1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will count toward aggregate purchases in the following two-year period. At December 31, 2018, 175,000 vested warrants were outstanding. To fully vest in the rights to purchase all of the remaining unearned 475,000 underlying shares, Comcast and its affiliates must purchase an aggregate of $680 million in goods and services from us during the remaining four-year vesting period.</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and all warrants that vest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the warrants contain performance criteria under which Comcast must achieve specified aggregate purchase levels for the warrants to vest, as detailed above, the measurement date for the warrants is the date on which the warrants vest. Through December 31, 2018, none of the warrants had vested for the two-year period beginning January 1, 2018.</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we utilized in the Black-Scholes option pricing model and the resulting weighted average fair value of the warrants were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10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0"/>
              </w:rPr>
              <w:t>$19.49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Price of Universal Electronics Inc. common stock</w:t>
            </w: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ind w:left="580"/>
              <w:spacing w:after="0"/>
              <w:rPr>
                <w:sz w:val="20"/>
                <w:szCs w:val="20"/>
                <w:color w:val="auto"/>
              </w:rPr>
            </w:pPr>
            <w:r>
              <w:rPr>
                <w:rFonts w:ascii="Arial" w:cs="Arial" w:eastAsia="Arial" w:hAnsi="Arial"/>
                <w:sz w:val="18"/>
                <w:szCs w:val="18"/>
                <w:color w:val="auto"/>
                <w:w w:val="90"/>
              </w:rPr>
              <w:t>$55.61</w:t>
            </w:r>
          </w:p>
        </w:tc>
      </w:tr>
      <w:tr>
        <w:trPr>
          <w:trHeight w:val="27"/>
        </w:trPr>
        <w:tc>
          <w:tcPr>
            <w:tcW w:w="7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34.30%</w:t>
            </w:r>
          </w:p>
        </w:tc>
      </w:tr>
      <w:tr>
        <w:trPr>
          <w:trHeight w:val="27"/>
        </w:trPr>
        <w:tc>
          <w:tcPr>
            <w:tcW w:w="7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5.17</w:t>
            </w:r>
          </w:p>
        </w:tc>
      </w:tr>
      <w:tr>
        <w:trPr>
          <w:trHeight w:val="378"/>
        </w:trPr>
        <w:tc>
          <w:tcPr>
            <w:tcW w:w="8420" w:type="dxa"/>
            <w:vAlign w:val="bottom"/>
            <w:gridSpan w:val="3"/>
          </w:tcPr>
          <w:p>
            <w:pPr>
              <w:spacing w:after="0"/>
              <w:rPr>
                <w:sz w:val="20"/>
                <w:szCs w:val="20"/>
                <w:color w:val="auto"/>
              </w:rPr>
            </w:pPr>
            <w:r>
              <w:rPr>
                <w:rFonts w:ascii="Arial" w:cs="Arial" w:eastAsia="Arial" w:hAnsi="Arial"/>
                <w:sz w:val="18"/>
                <w:szCs w:val="18"/>
                <w:color w:val="auto"/>
                <w:w w:val="90"/>
              </w:rPr>
              <w:t>The impact to net sales recorded in connection with the warrants and the related income tax benefit were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61"/>
        </w:trPr>
        <w:tc>
          <w:tcPr>
            <w:tcW w:w="70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to net sales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2,728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ind w:left="580"/>
              <w:spacing w:after="0"/>
              <w:rPr>
                <w:sz w:val="20"/>
                <w:szCs w:val="20"/>
                <w:color w:val="auto"/>
              </w:rPr>
            </w:pPr>
            <w:r>
              <w:rPr>
                <w:rFonts w:ascii="Arial" w:cs="Arial" w:eastAsia="Arial" w:hAnsi="Arial"/>
                <w:sz w:val="18"/>
                <w:szCs w:val="18"/>
                <w:color w:val="auto"/>
              </w:rPr>
              <w:t>1,000</w:t>
            </w: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 the number of warrants that will vest based on projected future purchases that will be made by Comcast and its affiliates. These estimates may increase or decrease based on actual future purchases. The aggregate unrecognized estimated fair value of unvested warrants at December 31, 2018 was $1.5 million.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545</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1,911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840</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2460" w:hanging="5288"/>
        <w:spacing w:after="0" w:line="466" w:lineRule="auto"/>
        <w:tabs>
          <w:tab w:leader="none" w:pos="652"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(losses) incurred on foreign currency hedging derivatives (see Note 20 for further details). 74</w:t>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Earnings (Loss)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 attributable to Universal Electronics Inc.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11,924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20,354</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14,465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Basic earnings (loss) per share attributable to Universal Electronics Inc.</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1.41</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DILUTED</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 attributable to Universal Electronics Inc.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11,924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20,354</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for basic</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14,465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Dilutive effect of stock options, restricted stock and common stock warrants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14,764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Diluted earnings (loss) per share attributable to Universal Electronics Inc.</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1.38</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number of stock options, shares of restricted stock and common stock warrants were excluded from the computation of diluted earnings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common share as their inclusion would have been anti-dilutive: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390</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Restricted stock awards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118</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10</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Performance-based warrants</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175</w:t>
            </w:r>
          </w:p>
        </w:tc>
        <w:tc>
          <w:tcPr>
            <w:tcW w:w="1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Derivatives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net fair value of derivatives:</w:t>
      </w:r>
    </w:p>
    <w:p>
      <w:pPr>
        <w:sectPr>
          <w:pgSz w:w="11900" w:h="16838" w:orient="portrait"/>
          <w:cols w:equalWidth="0" w:num="1">
            <w:col w:w="11420"/>
          </w:cols>
          <w:pgMar w:left="240" w:top="118" w:right="239" w:bottom="1440" w:gutter="0" w:footer="0" w:header="0"/>
        </w:sectPr>
      </w:pPr>
    </w:p>
    <w:p>
      <w:pPr>
        <w:spacing w:after="0" w:line="230"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38100</wp:posOffset>
            </wp:positionV>
            <wp:extent cx="2564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26"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Fair Value Measurement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23495</wp:posOffset>
            </wp:positionV>
            <wp:extent cx="19208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2"/>
          <w:szCs w:val="12"/>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38100</wp:posOffset>
            </wp:positionV>
            <wp:extent cx="2504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Measurement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23495</wp:posOffset>
            </wp:positionV>
            <wp:extent cx="18611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7280" w:space="720"/>
            <w:col w:w="342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Total Balance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Total Balance</w:t>
            </w:r>
          </w:p>
        </w:tc>
      </w:tr>
      <w:tr>
        <w:trPr>
          <w:trHeight w:val="24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gain of $0.5 million, a net pre-tax loss of $3.6 million, and a net pre-tax loss of $1.3 million for the years ended December 31, 2018, 2017, and 2016, respectively (see Note 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18" w:right="239" w:bottom="1440" w:gutter="0" w:footer="0" w:header="0"/>
          <w:type w:val="continuous"/>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Gain/(Loss) Recorded</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at Balance Sheet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Held</w:t>
            </w:r>
          </w:p>
        </w:tc>
        <w:tc>
          <w:tcPr>
            <w:tcW w:w="120" w:type="dxa"/>
            <w:vAlign w:val="bottom"/>
            <w:vMerge w:val="restart"/>
          </w:tcPr>
          <w:p>
            <w:pPr>
              <w:spacing w:after="0"/>
              <w:rPr>
                <w:sz w:val="12"/>
                <w:szCs w:val="12"/>
                <w:color w:val="auto"/>
              </w:rPr>
            </w:pPr>
          </w:p>
        </w:tc>
        <w:tc>
          <w:tcPr>
            <w:tcW w:w="14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Currency</w:t>
            </w:r>
          </w:p>
        </w:tc>
        <w:tc>
          <w:tcPr>
            <w:tcW w:w="120" w:type="dxa"/>
            <w:vAlign w:val="bottom"/>
            <w:vMerge w:val="restart"/>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Position Held</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Forward Rate</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Date</w:t>
            </w:r>
          </w:p>
        </w:tc>
        <w:tc>
          <w:tcPr>
            <w:tcW w:w="17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Settlement Date</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2018</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1.1421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25, 2019</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w w:val="99"/>
              </w:rPr>
              <w:t>USD/Chinese Yuan</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2018</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6.8969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January 25, 2019</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USD/Chinese Yuan</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2018</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Renminbi</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6.9245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25, 2019</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USD/Brazilian</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2018</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Real</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3.8651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January 25, 2019</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2017</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USD/Euro</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1.1858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January 5, 2018</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USD/Chinese Yuan</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Chinese Yuan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2017</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Renminbi</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Renminbi</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6.6481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5, 2018</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USD/Brazilian</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2017</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Real</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3.2350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January 24, 2018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380" w:hanging="328"/>
        <w:spacing w:after="0" w:line="216"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Employee Benefit Plans</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maintain a retirement and profit sharing plan under Section 401(k) of the Internal Revenue Code for all of our domestic employees that meet certain qualifications. Participants in the plan may elect to contribute up to the maximum allowed by law. We match 50% of the participants’ contributions up to 15% of their gross salary in the form of newly issued shares of our common stock. We may also make other discretionary contributions to the plan. We recorded $1.1 million, $0.6 million and $0.9 million of expense for company contributions for the years ended December 31, 2018, 2017, and 2016, respectively.</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Business Combinations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6, 2017, we acquired substantially all of the net assets of Residential Control Systems, Inc. ("RCS"), a U.S.-based designer and manufacturer of energy management and control products for the residential, small commercial and hospitality markets. The purchase price of $12.6 million was comprised of $8.9 million in cash and $3.7 million of contingent consideration. Additionally, we incurred $0.1 million in acquisition costs, consisting primarily of accounting related expenses, which are included within selling, general and administrative expenses for the year ended December 31, 2017. The acquisition of these assets allows us to expand our product offering of home sensing, monitoring and control solutions to include smart thermostat, sensing and monitoring products previously sold and marketed by RCS.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consolidated statements of operations for the years ended December 31, 2018 and 2017 include net sales of $5.1 million and $3.5 million, respectively; and net losses of $0.2 million and $0.4 million, respectively, attributable to RCS.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required to make additional earnout payments of up to $10.0 million upon the achievement of certain operating income levels attributable to RCS over the period commencing on the acquisition date through June 30, 2022. The amount of contingent consideration is calculated at the end of each calendar year and is based on the agreed upon percentage of operating income as defined in the Asset Purchase Agreement (the "APA"). Operating income is calculated using certain revenues, costs and expenses directly attributable to RCS as specified in the APA. At the acquisition date, the value of earnout contingent consideration was estimated using a valuation methodology based on projections of future operating income calculated in accordance with the APA. Such projections were then discounted using an average discount rate of 24.8% to reflect the risk in achieving the projected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4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income levels as well as the time value of money. The fair value measurement of the earnout contingent consideration was based primarily on significant inputs not observable in an active market and thus represents a Level 3 measurement as defined under U.S. GAAP. At December 31, 2017, the fair value of the earnout contingent consideration attributable to RCS was $2.3 million. During the year ended December 31, 2018, the fair value of earnout contingent consideration attributable to RCS decreased $1.6 million to $0.7 million. Changes in the fair value of earnout contingent consideration primarily reflect adjustments to the timing and amount of payments as well as the related accretion driven by the time value of money. These adjustments are recorded within selling, general and administrative expenses. At December 31, 2018, the fair value of earnout contingent consideration attributable to RCS is presented within long-term contingent consideration in our consolidated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the acquisition method of accounting, the acquisition date fair value of the consideration transferred was allocated to the net tangible and intangible assets acquired and liabilities assumed based on their estimated fair values on the acquisition date. The excess of the purchase price over the estimated fair value of net assets acquired is recorded as goodwill. The goodwill is expected to be deductible for income tax purposes. Management's purchase price allocation was the following:</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Estimated Lives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9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1,508</w:t>
            </w:r>
          </w:p>
        </w:tc>
      </w:tr>
      <w:tr>
        <w:trPr>
          <w:trHeight w:val="27"/>
        </w:trPr>
        <w:tc>
          <w:tcPr>
            <w:tcW w:w="8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9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1-4 years</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w:t>
            </w:r>
          </w:p>
        </w:tc>
      </w:tr>
      <w:tr>
        <w:trPr>
          <w:trHeight w:val="27"/>
        </w:trPr>
        <w:tc>
          <w:tcPr>
            <w:tcW w:w="8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37"/>
        </w:trPr>
        <w:tc>
          <w:tcPr>
            <w:tcW w:w="8080" w:type="dxa"/>
            <w:vAlign w:val="bottom"/>
          </w:tcPr>
          <w:p>
            <w:pPr>
              <w:ind w:left="380"/>
              <w:spacing w:after="0"/>
              <w:rPr>
                <w:sz w:val="20"/>
                <w:szCs w:val="20"/>
                <w:color w:val="auto"/>
              </w:rPr>
            </w:pPr>
            <w:r>
              <w:rPr>
                <w:rFonts w:ascii="Arial" w:cs="Arial" w:eastAsia="Arial" w:hAnsi="Arial"/>
                <w:sz w:val="18"/>
                <w:szCs w:val="18"/>
                <w:color w:val="auto"/>
              </w:rPr>
              <w:t>Net tangible assets acquired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1,550</w:t>
            </w:r>
          </w:p>
        </w:tc>
      </w:tr>
      <w:tr>
        <w:trPr>
          <w:trHeight w:val="27"/>
        </w:trPr>
        <w:tc>
          <w:tcPr>
            <w:tcW w:w="8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98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8"/>
              </w:rPr>
              <w:t>8 years</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980" w:type="dxa"/>
            <w:vAlign w:val="bottom"/>
            <w:gridSpan w:val="3"/>
          </w:tcPr>
          <w:p>
            <w:pPr>
              <w:jc w:val="center"/>
              <w:ind w:right="420"/>
              <w:spacing w:after="0"/>
              <w:rPr>
                <w:sz w:val="20"/>
                <w:szCs w:val="20"/>
                <w:color w:val="auto"/>
              </w:rPr>
            </w:pPr>
            <w:r>
              <w:rPr>
                <w:rFonts w:ascii="Arial" w:cs="Arial" w:eastAsia="Arial" w:hAnsi="Arial"/>
                <w:sz w:val="18"/>
                <w:szCs w:val="18"/>
                <w:color w:val="auto"/>
                <w:w w:val="86"/>
              </w:rPr>
              <w:t>10 years</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5,000</w:t>
            </w:r>
          </w:p>
        </w:tc>
      </w:tr>
      <w:tr>
        <w:trPr>
          <w:trHeight w:val="27"/>
        </w:trPr>
        <w:tc>
          <w:tcPr>
            <w:tcW w:w="8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Order backlog</w:t>
            </w:r>
          </w:p>
        </w:tc>
        <w:tc>
          <w:tcPr>
            <w:tcW w:w="198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1 year</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5,494</w:t>
            </w:r>
          </w:p>
        </w:tc>
      </w:tr>
      <w:tr>
        <w:trPr>
          <w:trHeight w:val="27"/>
        </w:trPr>
        <w:tc>
          <w:tcPr>
            <w:tcW w:w="80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12,594</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Less: Contingent consideration</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(3,700)</w:t>
            </w:r>
          </w:p>
        </w:tc>
      </w:tr>
      <w:tr>
        <w:trPr>
          <w:trHeight w:val="27"/>
        </w:trPr>
        <w:tc>
          <w:tcPr>
            <w:tcW w:w="80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paid</w:t>
            </w:r>
          </w:p>
        </w:tc>
        <w:tc>
          <w:tcPr>
            <w:tcW w:w="1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8,894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was based primarily on significant inputs not observable in an active market and thus represent Level 3 fair value measurements.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the RCS trade name intangible asset was determined utilizing a relief from royalty method. Under the relief from royalty method, the fair value of the intangible asset is estimated to be the present value of the royalties saved because the company owns the intangible asset. Revenue projections and estimated useful life were significant inputs into estimating the value of the RCS trade name.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the RCS customer relationships and order backlog intangible assets were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trade name, customer relationships and order backlog intangible assets are expected to be deductible for income tax purposes.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RCS as if the RCS acquisition had occurred on January 1, 2016. This unaudited pro forma financial information is not intended to represent or be indicative of the consolidated results of operations that would have been achieved had the acquisition actually been completed as of January 1, 2016, and should not be taken as a projection of the future consolidated results of our operations.</w:t>
      </w:r>
    </w:p>
    <w:p>
      <w:pPr>
        <w:spacing w:after="0" w:line="19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680,241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696,352</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11,952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(10,538)</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Universal Electronics Inc.</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(10,538)</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Basic earnings (loss) per share attributable to Universal Electronics Inc.</w:t>
            </w: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 attributable to Universal Electronics Inc.</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7"/>
        </w:trPr>
        <w:tc>
          <w:tcPr>
            <w:tcW w:w="8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purposes of determining pro forma net income (loss) attributable to Universal Electronics Inc., adjustments were made to all periods presented in the table above. The pro forma net income (loss) and net income (loss) attributable to Universal Electronics Inc. assume that amortization of acquired intangible assets began at January 1, 2016 rather than on April 6, 2017. The result is a net decrease in amortization expense of $38 thousand and a net increase in amortization expense of $25 thousand for the years ended December 31, 2018 and 2017, respectively. Additionally, acquisition costs totaling $0.1 million are excluded from pro forma net income (loss) and net income (loss) attributable to Universal Electronics Inc. for the year ended December 31, 2017. All adjustments have been made net of their related tax effects.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18" w:right="2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Quarterly Financial Data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2018</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162,523</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170,303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37,202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40,316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37,527</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(11,107)</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Universal Electronics Inc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(11,107)</w:t>
            </w:r>
          </w:p>
        </w:tc>
      </w:tr>
      <w:tr>
        <w:trPr>
          <w:trHeight w:val="324"/>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1"/>
              </w:rPr>
              <w:t xml:space="preserve">Earnings (loss) per share attributable to Universal Electronics Inc. </w:t>
            </w:r>
            <w:r>
              <w:rPr>
                <w:rFonts w:ascii="Arial" w:cs="Arial" w:eastAsia="Arial" w:hAnsi="Arial"/>
                <w:sz w:val="25"/>
                <w:szCs w:val="25"/>
                <w:color w:val="auto"/>
                <w:w w:val="91"/>
                <w:vertAlign w:val="superscript"/>
              </w:rPr>
              <w:t>(1)</w:t>
            </w:r>
            <w:r>
              <w:rPr>
                <w:rFonts w:ascii="Arial" w:cs="Arial" w:eastAsia="Arial" w:hAnsi="Arial"/>
                <w:sz w:val="18"/>
                <w:szCs w:val="18"/>
                <w:color w:val="auto"/>
                <w:w w:val="91"/>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(0.80)</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w:t>
            </w:r>
          </w:p>
        </w:tc>
      </w:tr>
      <w:tr>
        <w:trPr>
          <w:trHeight w:val="548"/>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2017</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161,406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177,580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175,652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181,152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41,034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43,070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37,852</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(16,854)</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Universal Electronics Inc.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(16,854)</w:t>
            </w:r>
          </w:p>
        </w:tc>
      </w:tr>
      <w:tr>
        <w:trPr>
          <w:trHeight w:val="270"/>
        </w:trPr>
        <w:tc>
          <w:tcPr>
            <w:tcW w:w="5140" w:type="dxa"/>
            <w:vAlign w:val="bottom"/>
          </w:tcPr>
          <w:p>
            <w:pPr>
              <w:ind w:left="40"/>
              <w:spacing w:after="0" w:line="270" w:lineRule="exact"/>
              <w:rPr>
                <w:sz w:val="20"/>
                <w:szCs w:val="20"/>
                <w:color w:val="auto"/>
              </w:rPr>
            </w:pPr>
            <w:r>
              <w:rPr>
                <w:rFonts w:ascii="Arial" w:cs="Arial" w:eastAsia="Arial" w:hAnsi="Arial"/>
                <w:sz w:val="18"/>
                <w:szCs w:val="18"/>
                <w:color w:val="auto"/>
                <w:w w:val="91"/>
              </w:rPr>
              <w:t xml:space="preserve">Earnings (loss) per share attributable to Universal Electronics Inc. </w:t>
            </w:r>
            <w:r>
              <w:rPr>
                <w:rFonts w:ascii="Arial" w:cs="Arial" w:eastAsia="Arial" w:hAnsi="Arial"/>
                <w:sz w:val="25"/>
                <w:szCs w:val="25"/>
                <w:color w:val="auto"/>
                <w:w w:val="91"/>
                <w:vertAlign w:val="superscript"/>
              </w:rPr>
              <w:t>(1)</w:t>
            </w:r>
            <w:r>
              <w:rPr>
                <w:rFonts w:ascii="Arial" w:cs="Arial" w:eastAsia="Arial" w:hAnsi="Arial"/>
                <w:sz w:val="18"/>
                <w:szCs w:val="18"/>
                <w:color w:val="auto"/>
                <w:w w:val="91"/>
              </w:rPr>
              <w:t>:</w:t>
            </w: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0.32</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w:t>
            </w:r>
          </w:p>
        </w:tc>
      </w:tr>
    </w:tbl>
    <w:p>
      <w:pPr>
        <w:spacing w:after="0" w:line="229" w:lineRule="exact"/>
        <w:rPr>
          <w:sz w:val="20"/>
          <w:szCs w:val="20"/>
          <w:color w:val="auto"/>
        </w:rPr>
      </w:pPr>
    </w:p>
    <w:p>
      <w:pPr>
        <w:ind w:left="660" w:right="100" w:hanging="328"/>
        <w:spacing w:after="0" w:line="227" w:lineRule="auto"/>
        <w:tabs>
          <w:tab w:leader="none" w:pos="66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The earnings per common share calculations for each of the quarters were based upon the weighted average number of shares and share equivalents outstanding during each period, and the sum of the quarters may not be equal to the full year earnings per share amounts.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18" w:right="2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13a-15(e)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and principal financial officers, we evaluated the effectiveness of our internal control over financial reporting based on the 2013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2018.</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2018 has been audited by Grant Thornton LLP, an independent registered public accounting firm, as stated in its attestation report which is included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during the fourth quarter of 2018 that have materially affected, or are reasonably likely to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18" w:right="2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Opinion on internal control over financial reporting</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internal control over financial reporting of Universal Electronics Inc. (a Delaware corporation) (the "Company") as of December 31, 2018,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December 31, 2018, based on criteria established in the 2013 Internal Control-Integrated Framework issued by COSO.</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2018, and our report dated March 14, 2019 expressed an unqualified opinion on those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Definition and limitations of internal control over financial reporting</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18" w:right="2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required by Item 401 of Regulation S-K with respect to our directors will be contained in and is hereby incorporated by reference to our definitive Proxy Statement for our 2019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Information required by Item 405 of Regulation S-K will be contained in and is hereby incorporated by reference to our definitive Proxy Statement for our 2019 Annual Meeting of Stockholders to be filed subsequent to the date of filing this Form 10-K, under the caption "Section 16(a) Beneficial Ownership Reporting Compliance". Copies of Section 16 reports, Forms 3, 4 and 5, are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"SEC Filings" on the Investor page.</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Code of Conduct. </w:t>
      </w:r>
      <w:r>
        <w:rPr>
          <w:rFonts w:ascii="Arial" w:cs="Arial" w:eastAsia="Arial" w:hAnsi="Arial"/>
          <w:sz w:val="17"/>
          <w:szCs w:val="17"/>
          <w:color w:val="auto"/>
        </w:rPr>
        <w:t>We have adopted a code of conduct that applies to all of our employees, including without limitation our principal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principal financial officer and principal accounting officer. A copy of the Code of Conduct is included as Exhibit 14.1 to our Annual Report on Form 10-K for the year ended December 31, 2003 filed on March 14, 2004 (File No. 0-21044). The Code of Conduct is also available on our website, </w:t>
      </w:r>
      <w:r>
        <w:rPr>
          <w:rFonts w:ascii="Arial" w:cs="Arial" w:eastAsia="Arial" w:hAnsi="Arial"/>
          <w:sz w:val="17"/>
          <w:szCs w:val="17"/>
          <w:u w:val="single" w:color="auto"/>
          <w:color w:val="auto"/>
        </w:rPr>
        <w:t>www.uei.com</w:t>
      </w:r>
      <w:r>
        <w:rPr>
          <w:rFonts w:ascii="Arial" w:cs="Arial" w:eastAsia="Arial" w:hAnsi="Arial"/>
          <w:sz w:val="17"/>
          <w:szCs w:val="17"/>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Items 407(c)(3), (d)(4) and (d)(5) of Regulation S-K will be contained in and is hereby incorporated by reference to our definitive Proxy Statement for our 2019 Annual Meeting of Stockholders to be filed pursuant to Regulation 14A promulgated by the Securities and Exchange Commission under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Items 402 and 407(e)(4) and (e)(5) of Regulation S-K will be contained in and is hereby incorporated by reference to our definitive Proxy Statement for our 2019 Annual Meeting of Stockholders to be filed pursuant to Regulation 14A promulgated by the Securities and Exchange Commission under the Exchange Act.</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 403 of Regulation S-K will be contained in and is hereby incorporated by reference to our definitive Proxy Statement for our 2019 Annual Meeting of Stockholders to be filed pursuant to Regulation 14A promulgated by the Securities and Exchange Commission under the Exchange 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equity compensation plans at December 31, 2018:</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available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and rights</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596,623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44.27</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969,150</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50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596,623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44.27</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969,150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"ITEM 8. FINANCIAL STATEMENTS AND SUPPLEMENTARY DATA- Notes to Consolidated Financial Statements - Note 16" for a description of each of our stock incentive plans.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18" w:right="2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Items 404 and 407(a) of Regulation S-K will be contained in and is hereby incorporated by reference to our definitive Proxy Statement for our 2019 Annual Meeting of Stockholders to be filed pursuant to Regulation 14A promulgated by the Securities and Exchange Commission under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Information required by this item will be contained in and is hereby incorporated by reference to our definitive Proxy Statement for our 2019 Annual Meeting of Stockholders to be filed pursuant to Regulation 14A promulgated by the Securities and Exchange Commission under the Exchange Act.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9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Financial Statements</w:t>
      </w:r>
    </w:p>
    <w:p>
      <w:pPr>
        <w:spacing w:after="0" w:line="9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include this portion of ITEM 15 under ITEM 8 of this Report on Form 10-K.</w:t>
      </w:r>
    </w:p>
    <w:p>
      <w:pPr>
        <w:spacing w:after="0" w:line="8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p>
    <w:p>
      <w:pPr>
        <w:spacing w:after="0" w:line="94"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94"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Any stockholder who would like a copy of any of the exhibits listed on the Exhibit Index in this Report may obtain one from us upon request at a charge that reflects the reproduction cost of such Exhibits. Requests should be made to the Secretary, 15147 N. Scottsdale Road, Suite H300, Scottsdale, Arizona 85254-2494.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18"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1"/>
        </w:trPr>
        <w:tc>
          <w:tcPr>
            <w:tcW w:w="3340" w:type="dxa"/>
            <w:vAlign w:val="bottom"/>
          </w:tcPr>
          <w:p>
            <w:pPr>
              <w:jc w:val="center"/>
              <w:ind w:right="2048"/>
              <w:spacing w:after="0"/>
              <w:rPr>
                <w:sz w:val="20"/>
                <w:szCs w:val="20"/>
                <w:color w:val="auto"/>
              </w:rPr>
            </w:pPr>
            <w:r>
              <w:rPr>
                <w:rFonts w:ascii="Arial" w:cs="Arial" w:eastAsia="Arial" w:hAnsi="Arial"/>
                <w:sz w:val="14"/>
                <w:szCs w:val="14"/>
                <w:b w:val="1"/>
                <w:bCs w:val="1"/>
                <w:color w:val="auto"/>
                <w:w w:val="98"/>
              </w:rPr>
              <w:t>Exhibit</w:t>
            </w:r>
          </w:p>
        </w:tc>
        <w:tc>
          <w:tcPr>
            <w:tcW w:w="3640" w:type="dxa"/>
            <w:vAlign w:val="bottom"/>
            <w:vMerge w:val="restart"/>
          </w:tcPr>
          <w:p>
            <w:pPr>
              <w:ind w:left="2260"/>
              <w:spacing w:after="0"/>
              <w:rPr>
                <w:sz w:val="20"/>
                <w:szCs w:val="20"/>
                <w:color w:val="auto"/>
              </w:rPr>
            </w:pPr>
            <w:r>
              <w:rPr>
                <w:rFonts w:ascii="Arial" w:cs="Arial" w:eastAsia="Arial" w:hAnsi="Arial"/>
                <w:sz w:val="14"/>
                <w:szCs w:val="14"/>
                <w:b w:val="1"/>
                <w:bCs w:val="1"/>
                <w:u w:val="single" w:color="auto"/>
                <w:color w:val="auto"/>
                <w:w w:val="91"/>
              </w:rPr>
              <w:t>Document Description</w:t>
            </w:r>
          </w:p>
        </w:tc>
        <w:tc>
          <w:tcPr>
            <w:tcW w:w="0" w:type="dxa"/>
            <w:vAlign w:val="bottom"/>
          </w:tcPr>
          <w:p>
            <w:pPr>
              <w:spacing w:after="0"/>
              <w:rPr>
                <w:sz w:val="1"/>
                <w:szCs w:val="1"/>
                <w:color w:val="auto"/>
              </w:rPr>
            </w:pPr>
          </w:p>
        </w:tc>
      </w:tr>
      <w:tr>
        <w:trPr>
          <w:trHeight w:val="186"/>
        </w:trPr>
        <w:tc>
          <w:tcPr>
            <w:tcW w:w="3340" w:type="dxa"/>
            <w:vAlign w:val="bottom"/>
          </w:tcPr>
          <w:p>
            <w:pPr>
              <w:jc w:val="center"/>
              <w:ind w:right="2048"/>
              <w:spacing w:after="0"/>
              <w:rPr>
                <w:sz w:val="20"/>
                <w:szCs w:val="20"/>
                <w:color w:val="auto"/>
              </w:rPr>
            </w:pPr>
            <w:r>
              <w:rPr>
                <w:rFonts w:ascii="Arial" w:cs="Arial" w:eastAsia="Arial" w:hAnsi="Arial"/>
                <w:sz w:val="14"/>
                <w:szCs w:val="14"/>
                <w:b w:val="1"/>
                <w:bCs w:val="1"/>
                <w:u w:val="single" w:color="auto"/>
                <w:color w:val="auto"/>
                <w:w w:val="94"/>
              </w:rPr>
              <w:t>Number</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left="1220" w:hanging="591"/>
        <w:spacing w:after="0" w:line="277" w:lineRule="auto"/>
        <w:tabs>
          <w:tab w:leader="none" w:pos="12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Universal Electronics Inc., as amended (incorporated by reference to Exhibit 3.1 to the Company's Form S-1 Registration filed on or about December 24, 1992 (File No. 33-56358)) (paper file)</w:t>
      </w:r>
    </w:p>
    <w:p>
      <w:pPr>
        <w:spacing w:after="0" w:line="130" w:lineRule="exact"/>
        <w:rPr>
          <w:sz w:val="20"/>
          <w:szCs w:val="20"/>
          <w:color w:val="auto"/>
        </w:rPr>
      </w:pPr>
    </w:p>
    <w:p>
      <w:pPr>
        <w:jc w:val="both"/>
        <w:ind w:left="1220" w:hanging="591"/>
        <w:spacing w:after="0" w:line="342" w:lineRule="auto"/>
        <w:tabs>
          <w:tab w:leader="none" w:pos="12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Amendment to Restated Certificate of Incorporation of Universal Electronics Inc. (incorporated by reference to Exhibit 3.3 to the Company's Annual Report on Form 10-K for the year ended December 31, 1995 filed on April 1, 1996 (File No. 0-21044)) (paper file)</w:t>
      </w:r>
    </w:p>
    <w:p>
      <w:pPr>
        <w:spacing w:after="0" w:line="83" w:lineRule="exact"/>
        <w:rPr>
          <w:sz w:val="20"/>
          <w:szCs w:val="20"/>
          <w:color w:val="auto"/>
        </w:rPr>
      </w:pPr>
    </w:p>
    <w:p>
      <w:pPr>
        <w:jc w:val="both"/>
        <w:ind w:left="1220" w:hanging="591"/>
        <w:spacing w:after="0" w:line="308" w:lineRule="auto"/>
        <w:tabs>
          <w:tab w:leader="none" w:pos="1200" w:val="left"/>
        </w:tabs>
        <w:rPr>
          <w:rFonts w:ascii="Arial" w:cs="Arial" w:eastAsia="Arial" w:hAnsi="Arial"/>
          <w:sz w:val="17"/>
          <w:szCs w:val="17"/>
          <w:u w:val="single" w:color="auto"/>
          <w:color w:val="0000FF"/>
        </w:rPr>
      </w:pPr>
      <w:r>
        <w:rPr>
          <w:rFonts w:ascii="Arial" w:cs="Arial" w:eastAsia="Arial" w:hAnsi="Arial"/>
          <w:sz w:val="18"/>
          <w:szCs w:val="18"/>
          <w:color w:val="auto"/>
        </w:rPr>
        <w:t>3.3</w:t>
      </w:r>
      <w:r>
        <w:rPr>
          <w:sz w:val="20"/>
          <w:szCs w:val="20"/>
          <w:color w:val="auto"/>
        </w:rPr>
        <w:tab/>
      </w:r>
      <w:hyperlink r:id="rId36">
        <w:r>
          <w:rPr>
            <w:rFonts w:ascii="Arial" w:cs="Arial" w:eastAsia="Arial" w:hAnsi="Arial"/>
            <w:sz w:val="17"/>
            <w:szCs w:val="17"/>
            <w:u w:val="single" w:color="auto"/>
            <w:color w:val="0000FF"/>
          </w:rPr>
          <w:t>Certificate of Amendment to Restated Certificate of Incorporation of Universal Electronics Inc. (incorporated by reference to Exhibit 3.3 to</w:t>
        </w:r>
      </w:hyperlink>
      <w:r>
        <w:rPr>
          <w:rFonts w:ascii="Arial" w:cs="Arial" w:eastAsia="Arial" w:hAnsi="Arial"/>
          <w:sz w:val="17"/>
          <w:szCs w:val="17"/>
          <w:u w:val="single" w:color="auto"/>
          <w:color w:val="0000FF"/>
        </w:rPr>
        <w:t xml:space="preserve"> </w:t>
      </w:r>
      <w:hyperlink r:id="rId36">
        <w:r>
          <w:rPr>
            <w:rFonts w:ascii="Arial" w:cs="Arial" w:eastAsia="Arial" w:hAnsi="Arial"/>
            <w:sz w:val="17"/>
            <w:szCs w:val="17"/>
            <w:u w:val="single" w:color="auto"/>
            <w:color w:val="0000FF"/>
          </w:rPr>
          <w:t>the Company's Annual Report on Form 10-K for the year ended December 31, 2017 filed on March 13, 2018 (File No. 0-21044))</w:t>
        </w:r>
      </w:hyperlink>
    </w:p>
    <w:p>
      <w:pPr>
        <w:spacing w:after="0" w:line="106" w:lineRule="exact"/>
        <w:rPr>
          <w:sz w:val="20"/>
          <w:szCs w:val="20"/>
          <w:color w:val="auto"/>
        </w:rPr>
      </w:pPr>
    </w:p>
    <w:p>
      <w:pPr>
        <w:jc w:val="both"/>
        <w:ind w:left="1220" w:hanging="591"/>
        <w:spacing w:after="0" w:line="27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37">
        <w:r>
          <w:rPr>
            <w:rFonts w:ascii="Arial" w:cs="Arial" w:eastAsia="Arial" w:hAnsi="Arial"/>
            <w:sz w:val="18"/>
            <w:szCs w:val="18"/>
            <w:u w:val="single" w:color="auto"/>
            <w:color w:val="0000FF"/>
          </w:rPr>
          <w:t>Amended and Restated By-laws of Universal Electronics Inc. (incorporated by reference to Exhibit 3.4 to the Company's Annual Report on</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Form 10-K for the year ended December 31, 2017 filed on March 13, 2018 (File No.0-21044))</w:t>
        </w:r>
      </w:hyperlink>
    </w:p>
    <w:p>
      <w:pPr>
        <w:spacing w:after="0" w:line="130" w:lineRule="exact"/>
        <w:rPr>
          <w:sz w:val="20"/>
          <w:szCs w:val="20"/>
          <w:color w:val="auto"/>
        </w:rPr>
      </w:pPr>
    </w:p>
    <w:p>
      <w:pPr>
        <w:jc w:val="both"/>
        <w:ind w:left="1220" w:hanging="591"/>
        <w:spacing w:after="0" w:line="257" w:lineRule="auto"/>
        <w:tabs>
          <w:tab w:leader="none" w:pos="12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Article Eighth of our Restated Certificate of Incorporation, as amended, contains certain provisions restricting business combinations with interested stockholders under certain circumstances and imposing higher voting requirements for the approval of certain transactions unless the transaction has been approved by two-thirds of the disinterested directors or fair price provisions have been met. (incorporated by reference to Exhibit 3.3 to the Company's Annual Report on Form 10-K for the year ended December 31, 1995 filed on April 1, 1996 (File No. 0-21044)) (paper file)</w:t>
      </w:r>
    </w:p>
    <w:p>
      <w:pPr>
        <w:spacing w:after="0" w:line="148" w:lineRule="exact"/>
        <w:rPr>
          <w:sz w:val="20"/>
          <w:szCs w:val="20"/>
          <w:color w:val="auto"/>
        </w:rPr>
      </w:pPr>
    </w:p>
    <w:p>
      <w:pPr>
        <w:jc w:val="both"/>
        <w:ind w:left="1220" w:hanging="591"/>
        <w:spacing w:after="0" w:line="342" w:lineRule="auto"/>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38">
        <w:r>
          <w:rPr>
            <w:rFonts w:ascii="Arial" w:cs="Arial" w:eastAsia="Arial" w:hAnsi="Arial"/>
            <w:sz w:val="16"/>
            <w:szCs w:val="16"/>
            <w:u w:val="single" w:color="auto"/>
            <w:color w:val="0000FF"/>
          </w:rPr>
          <w:t>Common Stock Purchase Warrant dated March 9, 2016 between Universal Electronics Inc. and Comcast Corporation (incorporated by</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references to Exhibit 4.1 to the Company's Current Report on Form 8-K dated March 9, 2016 filed on March 9, 2016 (File No. 0-21044))</w:t>
        </w:r>
      </w:hyperlink>
    </w:p>
    <w:p>
      <w:pPr>
        <w:spacing w:after="0" w:line="83" w:lineRule="exact"/>
        <w:rPr>
          <w:sz w:val="20"/>
          <w:szCs w:val="20"/>
          <w:color w:val="auto"/>
        </w:rPr>
      </w:pPr>
    </w:p>
    <w:p>
      <w:pPr>
        <w:jc w:val="both"/>
        <w:ind w:left="1220" w:hanging="803"/>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39">
        <w:r>
          <w:rPr>
            <w:rFonts w:ascii="Arial" w:cs="Arial" w:eastAsia="Arial" w:hAnsi="Arial"/>
            <w:sz w:val="18"/>
            <w:szCs w:val="18"/>
            <w:u w:val="single" w:color="auto"/>
            <w:color w:val="0000FF"/>
          </w:rPr>
          <w:t>Form of Salary Continuation Agreement by and between Universal Electronics Inc. and certain employees (incorporated by reference to</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Exhibit 10.25 to the Company's Annual Report on Form 10-K for the year ended December 31, 1997, filed on March 30, 1998 (File No. 0-</w:t>
        </w:r>
      </w:hyperlink>
      <w:hyperlink r:id="rId39">
        <w:r>
          <w:rPr>
            <w:rFonts w:ascii="Arial" w:cs="Arial" w:eastAsia="Arial" w:hAnsi="Arial"/>
            <w:sz w:val="18"/>
            <w:szCs w:val="18"/>
            <w:u w:val="single" w:color="auto"/>
            <w:color w:val="0000FF"/>
          </w:rPr>
          <w:t>21044))</w:t>
        </w:r>
      </w:hyperlink>
    </w:p>
    <w:p>
      <w:pPr>
        <w:spacing w:after="0" w:line="141" w:lineRule="exact"/>
        <w:rPr>
          <w:rFonts w:ascii="Arial" w:cs="Arial" w:eastAsia="Arial" w:hAnsi="Arial"/>
          <w:sz w:val="18"/>
          <w:szCs w:val="18"/>
          <w:u w:val="single" w:color="auto"/>
          <w:color w:val="0000FF"/>
        </w:rPr>
      </w:pPr>
    </w:p>
    <w:p>
      <w:pPr>
        <w:jc w:val="both"/>
        <w:ind w:left="1220" w:hanging="803"/>
        <w:spacing w:after="0" w:line="264" w:lineRule="auto"/>
        <w:tabs>
          <w:tab w:leader="none" w:pos="12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Amendment to Salary Continuation Agreement by and between Universal Electronics Inc. and certain employees (incorporated by reference to Exhibit 10.26 to the Company's Annual Report on Form 10-K for the year ended December 31, 1997, filed on March 30, 1998 (File No. 0-21044)) (paper file)</w:t>
      </w:r>
    </w:p>
    <w:p>
      <w:pPr>
        <w:spacing w:after="0" w:line="141" w:lineRule="exact"/>
        <w:rPr>
          <w:rFonts w:ascii="Arial" w:cs="Arial" w:eastAsia="Arial" w:hAnsi="Arial"/>
          <w:sz w:val="18"/>
          <w:szCs w:val="18"/>
          <w:u w:val="single" w:color="auto"/>
          <w:color w:val="0000FF"/>
        </w:rPr>
      </w:pPr>
    </w:p>
    <w:p>
      <w:pPr>
        <w:jc w:val="both"/>
        <w:ind w:left="1220" w:hanging="803"/>
        <w:spacing w:after="0" w:line="264" w:lineRule="auto"/>
        <w:tabs>
          <w:tab w:leader="none" w:pos="12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Salary Continuation Agreement by and between Universal Electronics Inc. and certain employees (incorporated by reference to Exhibit 10.39 to the Company's Annual Report on Form 10-K for the year ended December 31, 1999 filed on March 30, 2000 (File No. 0-21044)) (paper file)</w:t>
      </w:r>
    </w:p>
    <w:p>
      <w:pPr>
        <w:spacing w:after="0" w:line="141" w:lineRule="exact"/>
        <w:rPr>
          <w:rFonts w:ascii="Arial" w:cs="Arial" w:eastAsia="Arial" w:hAnsi="Arial"/>
          <w:sz w:val="18"/>
          <w:szCs w:val="18"/>
          <w:u w:val="single" w:color="auto"/>
          <w:color w:val="0000FF"/>
        </w:rPr>
      </w:pPr>
    </w:p>
    <w:p>
      <w:pPr>
        <w:jc w:val="both"/>
        <w:ind w:left="1220" w:hanging="803"/>
        <w:spacing w:after="0" w:line="259" w:lineRule="auto"/>
        <w:tabs>
          <w:tab w:leader="none" w:pos="12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Stock Option Agreement by and between Universal Electronics Inc. and certain employees used in connection with options granted to the employees pursuant to the Universal Electronics Inc. 1999A Nonqualified Stock Plan (incorporated by reference to Exhibit 10.43 to the Company's Annual Report on Form 10-K for the year ended December 31, 1999 filed on March 30, 2000 (File No. 0-21044)) (paper file)</w:t>
      </w:r>
    </w:p>
    <w:p>
      <w:pPr>
        <w:spacing w:after="0" w:line="146" w:lineRule="exact"/>
        <w:rPr>
          <w:rFonts w:ascii="Arial" w:cs="Arial" w:eastAsia="Arial" w:hAnsi="Arial"/>
          <w:sz w:val="18"/>
          <w:szCs w:val="18"/>
          <w:u w:val="single" w:color="auto"/>
          <w:color w:val="0000FF"/>
        </w:rPr>
      </w:pPr>
    </w:p>
    <w:p>
      <w:pPr>
        <w:jc w:val="both"/>
        <w:ind w:left="1220" w:hanging="803"/>
        <w:spacing w:after="0" w:line="308" w:lineRule="auto"/>
        <w:tabs>
          <w:tab w:leader="none" w:pos="1200" w:val="left"/>
        </w:tabs>
        <w:rPr>
          <w:rFonts w:ascii="Arial" w:cs="Arial" w:eastAsia="Arial" w:hAnsi="Arial"/>
          <w:sz w:val="17"/>
          <w:szCs w:val="17"/>
          <w:u w:val="single" w:color="auto"/>
          <w:color w:val="0000FF"/>
        </w:rPr>
      </w:pPr>
      <w:r>
        <w:rPr>
          <w:rFonts w:ascii="Arial" w:cs="Arial" w:eastAsia="Arial" w:hAnsi="Arial"/>
          <w:sz w:val="18"/>
          <w:szCs w:val="18"/>
          <w:color w:val="auto"/>
        </w:rPr>
        <w:t>*10.5</w:t>
      </w:r>
      <w:r>
        <w:rPr>
          <w:sz w:val="20"/>
          <w:szCs w:val="20"/>
          <w:color w:val="auto"/>
        </w:rPr>
        <w:tab/>
      </w:r>
      <w:hyperlink r:id="rId40">
        <w:r>
          <w:rPr>
            <w:rFonts w:ascii="Arial" w:cs="Arial" w:eastAsia="Arial" w:hAnsi="Arial"/>
            <w:sz w:val="17"/>
            <w:szCs w:val="17"/>
            <w:u w:val="single" w:color="auto"/>
            <w:color w:val="0000FF"/>
          </w:rPr>
          <w:t>Form of Universal Electronics Inc. 2003 Stock Incentive Plan (incorporated by reference to Appendix B to the Company's Definitive Proxy</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Materials for the 2003 Annual Meeting of Stockholders of Universal Electronics Inc. filed on April 28, 2003 (File No. 0-21044))</w:t>
        </w:r>
      </w:hyperlink>
    </w:p>
    <w:p>
      <w:pPr>
        <w:spacing w:after="0" w:line="106" w:lineRule="exact"/>
        <w:rPr>
          <w:sz w:val="20"/>
          <w:szCs w:val="20"/>
          <w:color w:val="auto"/>
        </w:rPr>
      </w:pPr>
    </w:p>
    <w:p>
      <w:pPr>
        <w:jc w:val="both"/>
        <w:ind w:left="1220" w:hanging="803"/>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41">
        <w:r>
          <w:rPr>
            <w:rFonts w:ascii="Arial" w:cs="Arial" w:eastAsia="Arial" w:hAnsi="Arial"/>
            <w:sz w:val="18"/>
            <w:szCs w:val="18"/>
            <w:u w:val="single" w:color="auto"/>
            <w:color w:val="0000FF"/>
          </w:rPr>
          <w:t>Form of Executive Officer Employment Agreement dated April 23, 2003 by and between Universal Electronics Inc. and Paul D. Arling</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(incorporated by reference to Exhibit 10.42 to the Company's Annual Report on Form 10-K for the year ended December 31, 2003 filed on</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March 14, 2004 (File No. 0-21044))</w:t>
        </w:r>
      </w:hyperlink>
    </w:p>
    <w:p>
      <w:pPr>
        <w:spacing w:after="0" w:line="141" w:lineRule="exact"/>
        <w:rPr>
          <w:rFonts w:ascii="Arial" w:cs="Arial" w:eastAsia="Arial" w:hAnsi="Arial"/>
          <w:sz w:val="18"/>
          <w:szCs w:val="18"/>
          <w:u w:val="single" w:color="auto"/>
          <w:color w:val="0000FF"/>
        </w:rPr>
      </w:pPr>
    </w:p>
    <w:p>
      <w:pPr>
        <w:jc w:val="both"/>
        <w:ind w:left="1220" w:hanging="803"/>
        <w:spacing w:after="0" w:line="264" w:lineRule="auto"/>
        <w:tabs>
          <w:tab w:leader="none" w:pos="12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First Amendment to Executive Officer Employment Agreement dated October 21, 2005 by and between Universal Electronics Inc. and Paul D. Arling (incorporated by reference to Exhibit 10.24 to the Company's Annual Report on Form 10-K for the year ended December 31, 2005 filed on March 16, 2006 (File No. 0-21044)) (paper file)</w:t>
      </w:r>
    </w:p>
    <w:p>
      <w:pPr>
        <w:spacing w:after="0" w:line="141" w:lineRule="exact"/>
        <w:rPr>
          <w:rFonts w:ascii="Arial" w:cs="Arial" w:eastAsia="Arial" w:hAnsi="Arial"/>
          <w:sz w:val="18"/>
          <w:szCs w:val="18"/>
          <w:u w:val="single" w:color="auto"/>
          <w:color w:val="0000FF"/>
        </w:rPr>
      </w:pPr>
    </w:p>
    <w:p>
      <w:pPr>
        <w:jc w:val="both"/>
        <w:ind w:left="1220" w:hanging="803"/>
        <w:spacing w:after="0" w:line="308" w:lineRule="auto"/>
        <w:tabs>
          <w:tab w:leader="none" w:pos="1200" w:val="left"/>
        </w:tabs>
        <w:rPr>
          <w:rFonts w:ascii="Arial" w:cs="Arial" w:eastAsia="Arial" w:hAnsi="Arial"/>
          <w:sz w:val="17"/>
          <w:szCs w:val="17"/>
          <w:u w:val="single" w:color="auto"/>
          <w:color w:val="0000FF"/>
        </w:rPr>
      </w:pPr>
      <w:r>
        <w:rPr>
          <w:rFonts w:ascii="Arial" w:cs="Arial" w:eastAsia="Arial" w:hAnsi="Arial"/>
          <w:sz w:val="18"/>
          <w:szCs w:val="18"/>
          <w:color w:val="auto"/>
        </w:rPr>
        <w:t>*10.8</w:t>
      </w:r>
      <w:r>
        <w:rPr>
          <w:sz w:val="20"/>
          <w:szCs w:val="20"/>
          <w:color w:val="auto"/>
        </w:rPr>
        <w:tab/>
      </w:r>
      <w:hyperlink r:id="rId42">
        <w:r>
          <w:rPr>
            <w:rFonts w:ascii="Arial" w:cs="Arial" w:eastAsia="Arial" w:hAnsi="Arial"/>
            <w:sz w:val="17"/>
            <w:szCs w:val="17"/>
            <w:u w:val="single" w:color="auto"/>
            <w:color w:val="0000FF"/>
          </w:rPr>
          <w:t>Form of Universal Electronics Inc. 2006 Stock Incentive Plan (incorporated by reference to Appendix C to the Company's Definitive Proxy</w:t>
        </w:r>
      </w:hyperlink>
      <w:r>
        <w:rPr>
          <w:rFonts w:ascii="Arial" w:cs="Arial" w:eastAsia="Arial" w:hAnsi="Arial"/>
          <w:sz w:val="17"/>
          <w:szCs w:val="17"/>
          <w:u w:val="single" w:color="auto"/>
          <w:color w:val="0000FF"/>
        </w:rPr>
        <w:t xml:space="preserve"> </w:t>
      </w:r>
      <w:hyperlink r:id="rId42">
        <w:r>
          <w:rPr>
            <w:rFonts w:ascii="Arial" w:cs="Arial" w:eastAsia="Arial" w:hAnsi="Arial"/>
            <w:sz w:val="17"/>
            <w:szCs w:val="17"/>
            <w:u w:val="single" w:color="auto"/>
            <w:color w:val="0000FF"/>
          </w:rPr>
          <w:t>Materials for the 2006 Annual Meeting of Stockholders of Universal Electronics Inc. filed on April 26, 2006 (File No. 0-21044))</w:t>
        </w:r>
      </w:hyperlink>
    </w:p>
    <w:p>
      <w:pPr>
        <w:spacing w:after="0" w:line="106" w:lineRule="exact"/>
        <w:rPr>
          <w:sz w:val="20"/>
          <w:szCs w:val="20"/>
          <w:color w:val="auto"/>
        </w:rPr>
      </w:pPr>
    </w:p>
    <w:p>
      <w:pPr>
        <w:jc w:val="both"/>
        <w:ind w:left="1220" w:hanging="757"/>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43">
        <w:r>
          <w:rPr>
            <w:rFonts w:ascii="Arial" w:cs="Arial" w:eastAsia="Arial" w:hAnsi="Arial"/>
            <w:sz w:val="18"/>
            <w:szCs w:val="18"/>
            <w:u w:val="single" w:color="auto"/>
            <w:color w:val="0000FF"/>
          </w:rPr>
          <w:t>Form of Lease dated January 31, 2007 between FirstCal Industrial 2 Acquisition, LLC and Universal Electronics Inc. (incorporated by</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reference to Exhibit 10.26 to the Company's Annual Report on Form 10-K for the year ended December 31, 2006 filed on March 16, 2007</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(File No. 0-21044))</w:t>
        </w:r>
      </w:hyperlink>
    </w:p>
    <w:p>
      <w:pPr>
        <w:spacing w:after="0" w:line="141" w:lineRule="exact"/>
        <w:rPr>
          <w:rFonts w:ascii="Arial" w:cs="Arial" w:eastAsia="Arial" w:hAnsi="Arial"/>
          <w:sz w:val="18"/>
          <w:szCs w:val="18"/>
          <w:u w:val="single" w:color="auto"/>
          <w:color w:val="0000FF"/>
        </w:rPr>
      </w:pPr>
    </w:p>
    <w:p>
      <w:pPr>
        <w:jc w:val="both"/>
        <w:ind w:left="1220" w:hanging="848"/>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44">
        <w:r>
          <w:rPr>
            <w:rFonts w:ascii="Arial" w:cs="Arial" w:eastAsia="Arial" w:hAnsi="Arial"/>
            <w:sz w:val="18"/>
            <w:szCs w:val="18"/>
            <w:u w:val="single" w:color="auto"/>
            <w:color w:val="0000FF"/>
          </w:rPr>
          <w:t>Form of Indemnification Agreements, dated as of January 2, 2007 between the Company and each director and certain officers of the</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Company (incorporated by reference to Exhibit 10.28 to the Company's Annual Report on Form 10-K for the year ended December 31, 2006</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filed on March 16, 2007 (File No. 0-21044))</w:t>
        </w:r>
      </w:hyperlink>
    </w:p>
    <w:p>
      <w:pPr>
        <w:sectPr>
          <w:pgSz w:w="11900" w:h="16838" w:orient="portrait"/>
          <w:cols w:equalWidth="0" w:num="1">
            <w:col w:w="11360"/>
          </w:cols>
          <w:pgMar w:left="240" w:top="118" w:right="299" w:bottom="1440" w:gutter="0" w:footer="0" w:header="0"/>
        </w:sectPr>
      </w:pPr>
    </w:p>
    <w:p>
      <w:pPr>
        <w:spacing w:after="0" w:line="235"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360"/>
          </w:cols>
          <w:pgMar w:left="240" w:top="118" w:right="29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1"/>
        </w:trPr>
        <w:tc>
          <w:tcPr>
            <w:tcW w:w="3340" w:type="dxa"/>
            <w:vAlign w:val="bottom"/>
          </w:tcPr>
          <w:p>
            <w:pPr>
              <w:jc w:val="center"/>
              <w:ind w:right="2048"/>
              <w:spacing w:after="0"/>
              <w:rPr>
                <w:sz w:val="20"/>
                <w:szCs w:val="20"/>
                <w:color w:val="auto"/>
              </w:rPr>
            </w:pPr>
            <w:r>
              <w:rPr>
                <w:rFonts w:ascii="Arial" w:cs="Arial" w:eastAsia="Arial" w:hAnsi="Arial"/>
                <w:sz w:val="14"/>
                <w:szCs w:val="14"/>
                <w:b w:val="1"/>
                <w:bCs w:val="1"/>
                <w:color w:val="auto"/>
                <w:w w:val="98"/>
              </w:rPr>
              <w:t>Exhibit</w:t>
            </w:r>
          </w:p>
        </w:tc>
        <w:tc>
          <w:tcPr>
            <w:tcW w:w="3640" w:type="dxa"/>
            <w:vAlign w:val="bottom"/>
            <w:vMerge w:val="restart"/>
          </w:tcPr>
          <w:p>
            <w:pPr>
              <w:ind w:left="2260"/>
              <w:spacing w:after="0"/>
              <w:rPr>
                <w:sz w:val="20"/>
                <w:szCs w:val="20"/>
                <w:color w:val="auto"/>
              </w:rPr>
            </w:pPr>
            <w:r>
              <w:rPr>
                <w:rFonts w:ascii="Arial" w:cs="Arial" w:eastAsia="Arial" w:hAnsi="Arial"/>
                <w:sz w:val="14"/>
                <w:szCs w:val="14"/>
                <w:b w:val="1"/>
                <w:bCs w:val="1"/>
                <w:u w:val="single" w:color="auto"/>
                <w:color w:val="auto"/>
                <w:w w:val="91"/>
              </w:rPr>
              <w:t>Document Description</w:t>
            </w:r>
          </w:p>
        </w:tc>
        <w:tc>
          <w:tcPr>
            <w:tcW w:w="0" w:type="dxa"/>
            <w:vAlign w:val="bottom"/>
          </w:tcPr>
          <w:p>
            <w:pPr>
              <w:spacing w:after="0"/>
              <w:rPr>
                <w:sz w:val="1"/>
                <w:szCs w:val="1"/>
                <w:color w:val="auto"/>
              </w:rPr>
            </w:pPr>
          </w:p>
        </w:tc>
      </w:tr>
      <w:tr>
        <w:trPr>
          <w:trHeight w:val="186"/>
        </w:trPr>
        <w:tc>
          <w:tcPr>
            <w:tcW w:w="3340" w:type="dxa"/>
            <w:vAlign w:val="bottom"/>
          </w:tcPr>
          <w:p>
            <w:pPr>
              <w:jc w:val="center"/>
              <w:ind w:right="2048"/>
              <w:spacing w:after="0"/>
              <w:rPr>
                <w:sz w:val="20"/>
                <w:szCs w:val="20"/>
                <w:color w:val="auto"/>
              </w:rPr>
            </w:pPr>
            <w:r>
              <w:rPr>
                <w:rFonts w:ascii="Arial" w:cs="Arial" w:eastAsia="Arial" w:hAnsi="Arial"/>
                <w:sz w:val="14"/>
                <w:szCs w:val="14"/>
                <w:b w:val="1"/>
                <w:bCs w:val="1"/>
                <w:u w:val="single" w:color="auto"/>
                <w:color w:val="auto"/>
                <w:w w:val="94"/>
              </w:rPr>
              <w:t>Number</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220" w:hanging="844"/>
        <w:spacing w:after="0" w:line="27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45">
        <w:r>
          <w:rPr>
            <w:rFonts w:ascii="Arial" w:cs="Arial" w:eastAsia="Arial" w:hAnsi="Arial"/>
            <w:sz w:val="18"/>
            <w:szCs w:val="18"/>
            <w:u w:val="single" w:color="auto"/>
            <w:color w:val="0000FF"/>
          </w:rPr>
          <w:t>Form of Restricted Stock Unit Agreement (incorporated herein by reference to Exhibit 4.5 to the Company's Form S-8 Registration</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Statement filed on March 27, 2008 (File No. 333-149926))</w:t>
        </w:r>
      </w:hyperlink>
    </w:p>
    <w:p>
      <w:pPr>
        <w:spacing w:after="0" w:line="130" w:lineRule="exact"/>
        <w:rPr>
          <w:sz w:val="20"/>
          <w:szCs w:val="20"/>
          <w:color w:val="auto"/>
        </w:rPr>
      </w:pPr>
    </w:p>
    <w:p>
      <w:pPr>
        <w:jc w:val="both"/>
        <w:ind w:left="1220" w:hanging="803"/>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46">
        <w:r>
          <w:rPr>
            <w:rFonts w:ascii="Arial" w:cs="Arial" w:eastAsia="Arial" w:hAnsi="Arial"/>
            <w:sz w:val="18"/>
            <w:szCs w:val="18"/>
            <w:u w:val="single" w:color="auto"/>
            <w:color w:val="0000FF"/>
          </w:rPr>
          <w:t>Pledge Agreement dated November 1, 2010 between UEI Hong Kong Private Limited and Enson Assets Limited to U.S. Bank National</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Association (incorporated by reference to Exhibit 10.30 to the Company's Annual Report on Form 10-K for the year ended December 31,</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2010 filed on March 16, 2011 (File No. 0-21044))</w:t>
        </w:r>
      </w:hyperlink>
    </w:p>
    <w:p>
      <w:pPr>
        <w:spacing w:after="0" w:line="141" w:lineRule="exact"/>
        <w:rPr>
          <w:rFonts w:ascii="Arial" w:cs="Arial" w:eastAsia="Arial" w:hAnsi="Arial"/>
          <w:sz w:val="18"/>
          <w:szCs w:val="18"/>
          <w:u w:val="single" w:color="auto"/>
          <w:color w:val="0000FF"/>
        </w:rPr>
      </w:pPr>
    </w:p>
    <w:p>
      <w:pPr>
        <w:jc w:val="both"/>
        <w:ind w:left="1220" w:hanging="803"/>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47">
        <w:r>
          <w:rPr>
            <w:rFonts w:ascii="Arial" w:cs="Arial" w:eastAsia="Arial" w:hAnsi="Arial"/>
            <w:sz w:val="18"/>
            <w:szCs w:val="18"/>
            <w:u w:val="single" w:color="auto"/>
            <w:color w:val="0000FF"/>
          </w:rPr>
          <w:t>Security Agreement dated November 1, 2010 from Universal Electronics Inc. to U.S. Bank National Association (incorporated by reference</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to Exhibit 10.31 to the Company's Annual Report on Form 10-K for the year ended December 31, 2010 filed on March 16, 2011 (File No. 0-</w:t>
        </w:r>
      </w:hyperlink>
      <w:hyperlink r:id="rId47">
        <w:r>
          <w:rPr>
            <w:rFonts w:ascii="Arial" w:cs="Arial" w:eastAsia="Arial" w:hAnsi="Arial"/>
            <w:sz w:val="18"/>
            <w:szCs w:val="18"/>
            <w:u w:val="single" w:color="auto"/>
            <w:color w:val="0000FF"/>
          </w:rPr>
          <w:t>21044))</w:t>
        </w:r>
      </w:hyperlink>
    </w:p>
    <w:p>
      <w:pPr>
        <w:spacing w:after="0" w:line="141" w:lineRule="exact"/>
        <w:rPr>
          <w:rFonts w:ascii="Arial" w:cs="Arial" w:eastAsia="Arial" w:hAnsi="Arial"/>
          <w:sz w:val="18"/>
          <w:szCs w:val="18"/>
          <w:u w:val="single" w:color="auto"/>
          <w:color w:val="0000FF"/>
        </w:rPr>
      </w:pPr>
    </w:p>
    <w:p>
      <w:pPr>
        <w:ind w:left="36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48">
        <w:r>
          <w:rPr>
            <w:rFonts w:ascii="Arial" w:cs="Arial" w:eastAsia="Arial" w:hAnsi="Arial"/>
            <w:sz w:val="16"/>
            <w:szCs w:val="16"/>
            <w:u w:val="single" w:color="auto"/>
            <w:color w:val="0000FF"/>
          </w:rPr>
          <w:t>Universal Electronics Inc. 2010 Stock Incentive Plan (incorporated by reference to Appendix C to the Company's Proxy Statement for its</w:t>
        </w:r>
      </w:hyperlink>
    </w:p>
    <w:p>
      <w:pPr>
        <w:spacing w:after="0" w:line="23" w:lineRule="exact"/>
        <w:rPr>
          <w:rFonts w:ascii="Arial" w:cs="Arial" w:eastAsia="Arial" w:hAnsi="Arial"/>
          <w:sz w:val="18"/>
          <w:szCs w:val="18"/>
          <w:u w:val="single" w:color="auto"/>
          <w:color w:val="0000FF"/>
        </w:rPr>
      </w:pPr>
    </w:p>
    <w:p>
      <w:pPr>
        <w:ind w:left="1220"/>
        <w:spacing w:after="0"/>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2010 Annual Meeting of Stockholders filed on April 30, 2010 (File No. 0-21044))</w:t>
        </w:r>
      </w:hyperlink>
    </w:p>
    <w:p>
      <w:pPr>
        <w:spacing w:after="0" w:line="170" w:lineRule="exact"/>
        <w:rPr>
          <w:rFonts w:ascii="Arial" w:cs="Arial" w:eastAsia="Arial" w:hAnsi="Arial"/>
          <w:sz w:val="18"/>
          <w:szCs w:val="18"/>
          <w:u w:val="single" w:color="auto"/>
          <w:color w:val="0000FF"/>
        </w:rPr>
      </w:pPr>
    </w:p>
    <w:p>
      <w:pPr>
        <w:jc w:val="both"/>
        <w:ind w:left="1220" w:hanging="848"/>
        <w:spacing w:after="0" w:line="27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49">
        <w:r>
          <w:rPr>
            <w:rFonts w:ascii="Arial" w:cs="Arial" w:eastAsia="Arial" w:hAnsi="Arial"/>
            <w:sz w:val="18"/>
            <w:szCs w:val="18"/>
            <w:u w:val="single" w:color="auto"/>
            <w:color w:val="0000FF"/>
          </w:rPr>
          <w:t>Form of Option Agreement used in connection with the Universal Electronics Inc. 2010 Stock Incentive Plan (incorporated by reference to</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Exhibit 4.6 to the Company's Registration Statement on Form S-8 filed on July 5, 2011 (File No. 333-175345))</w:t>
        </w:r>
      </w:hyperlink>
    </w:p>
    <w:p>
      <w:pPr>
        <w:spacing w:after="0" w:line="130" w:lineRule="exact"/>
        <w:rPr>
          <w:sz w:val="20"/>
          <w:szCs w:val="20"/>
          <w:color w:val="auto"/>
        </w:rPr>
      </w:pPr>
    </w:p>
    <w:p>
      <w:pPr>
        <w:jc w:val="both"/>
        <w:ind w:left="1220" w:hanging="848"/>
        <w:spacing w:after="0" w:line="342" w:lineRule="auto"/>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r:id="rId50">
        <w:r>
          <w:rPr>
            <w:rFonts w:ascii="Arial" w:cs="Arial" w:eastAsia="Arial" w:hAnsi="Arial"/>
            <w:sz w:val="16"/>
            <w:szCs w:val="16"/>
            <w:u w:val="single" w:color="auto"/>
            <w:color w:val="0000FF"/>
          </w:rPr>
          <w:t>Form of Restricted Stock Unit Agreement used in connection with the Universal Electronics Inc. 2010 Stock Incentive Plan (incorporated by</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reference to Exhibit 4.7 to the Company's Registration Statement on Form S-8 filed on July 5, 2011 (File No. 333-175345))</w:t>
        </w:r>
      </w:hyperlink>
    </w:p>
    <w:p>
      <w:pPr>
        <w:spacing w:after="0" w:line="97" w:lineRule="exact"/>
        <w:rPr>
          <w:sz w:val="20"/>
          <w:szCs w:val="20"/>
          <w:color w:val="auto"/>
        </w:rPr>
      </w:pPr>
    </w:p>
    <w:p>
      <w:pPr>
        <w:jc w:val="both"/>
        <w:ind w:left="1220" w:hanging="848"/>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51">
        <w:r>
          <w:rPr>
            <w:rFonts w:ascii="Arial" w:cs="Arial" w:eastAsia="Arial" w:hAnsi="Arial"/>
            <w:sz w:val="18"/>
            <w:szCs w:val="18"/>
            <w:u w:val="single" w:color="auto"/>
            <w:color w:val="0000FF"/>
          </w:rPr>
          <w:t>Form of Second Amendment to Executive Officer Employment Agreement dated February 29, 2008 by and between Universal Electronics</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Inc. and Paul D. Arling (incorporated by reference to Exhibit 10.31 to the Company's Annual Report on Form 10-K for the year ended</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December 31, 2012 filed on March 14, 2013 (File No. 0-21044))</w:t>
        </w:r>
      </w:hyperlink>
    </w:p>
    <w:p>
      <w:pPr>
        <w:spacing w:after="0" w:line="141" w:lineRule="exact"/>
        <w:rPr>
          <w:rFonts w:ascii="Arial" w:cs="Arial" w:eastAsia="Arial" w:hAnsi="Arial"/>
          <w:sz w:val="18"/>
          <w:szCs w:val="18"/>
          <w:u w:val="single" w:color="auto"/>
          <w:color w:val="0000FF"/>
        </w:rPr>
      </w:pPr>
    </w:p>
    <w:p>
      <w:pPr>
        <w:jc w:val="both"/>
        <w:ind w:left="1220" w:hanging="803"/>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52">
        <w:r>
          <w:rPr>
            <w:rFonts w:ascii="Arial" w:cs="Arial" w:eastAsia="Arial" w:hAnsi="Arial"/>
            <w:sz w:val="18"/>
            <w:szCs w:val="18"/>
            <w:u w:val="single" w:color="auto"/>
            <w:color w:val="0000FF"/>
          </w:rPr>
          <w:t>Acknowledgment and Agreement of Pledgor dated October 26, 2011 from UEI Hong Kong Private Limited (incorporated by reference to</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Exhibit 10.36 to the Company's Annual Report on Form 10-K for the year ended December 31, 2011 filed on March 14, 2012 (File No. 0-</w:t>
        </w:r>
      </w:hyperlink>
      <w:hyperlink r:id="rId52">
        <w:r>
          <w:rPr>
            <w:rFonts w:ascii="Arial" w:cs="Arial" w:eastAsia="Arial" w:hAnsi="Arial"/>
            <w:sz w:val="18"/>
            <w:szCs w:val="18"/>
            <w:u w:val="single" w:color="auto"/>
            <w:color w:val="0000FF"/>
          </w:rPr>
          <w:t>21044))</w:t>
        </w:r>
      </w:hyperlink>
    </w:p>
    <w:p>
      <w:pPr>
        <w:spacing w:after="0" w:line="141" w:lineRule="exact"/>
        <w:rPr>
          <w:rFonts w:ascii="Arial" w:cs="Arial" w:eastAsia="Arial" w:hAnsi="Arial"/>
          <w:sz w:val="18"/>
          <w:szCs w:val="18"/>
          <w:u w:val="single" w:color="auto"/>
          <w:color w:val="0000FF"/>
        </w:rPr>
      </w:pPr>
    </w:p>
    <w:p>
      <w:pPr>
        <w:jc w:val="both"/>
        <w:ind w:left="1220" w:hanging="803"/>
        <w:spacing w:after="0" w:line="342" w:lineRule="auto"/>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53">
        <w:r>
          <w:rPr>
            <w:rFonts w:ascii="Arial" w:cs="Arial" w:eastAsia="Arial" w:hAnsi="Arial"/>
            <w:sz w:val="16"/>
            <w:szCs w:val="16"/>
            <w:u w:val="single" w:color="auto"/>
            <w:color w:val="0000FF"/>
          </w:rPr>
          <w:t>Standard Office Lease between Universal Electronics Inc. and The Realty Associates Fund VIII, L.P., dated May 11, 2012 (incorporated by</w:t>
        </w:r>
      </w:hyperlink>
      <w:r>
        <w:rPr>
          <w:rFonts w:ascii="Arial" w:cs="Arial" w:eastAsia="Arial" w:hAnsi="Arial"/>
          <w:sz w:val="16"/>
          <w:szCs w:val="16"/>
          <w:u w:val="single" w:color="auto"/>
          <w:color w:val="0000FF"/>
        </w:rPr>
        <w:t xml:space="preserve"> </w:t>
      </w:r>
      <w:hyperlink r:id="rId53">
        <w:r>
          <w:rPr>
            <w:rFonts w:ascii="Arial" w:cs="Arial" w:eastAsia="Arial" w:hAnsi="Arial"/>
            <w:sz w:val="16"/>
            <w:szCs w:val="16"/>
            <w:u w:val="single" w:color="auto"/>
            <w:color w:val="0000FF"/>
          </w:rPr>
          <w:t>references to Exhibit 10.1 to the Company's Current Report on Form 8-K dated May 11, 2012 filed on May 18, 2012 (File No. 0-21044))</w:t>
        </w:r>
      </w:hyperlink>
    </w:p>
    <w:p>
      <w:pPr>
        <w:spacing w:after="0" w:line="83" w:lineRule="exact"/>
        <w:rPr>
          <w:sz w:val="20"/>
          <w:szCs w:val="20"/>
          <w:color w:val="auto"/>
        </w:rPr>
      </w:pPr>
    </w:p>
    <w:p>
      <w:pPr>
        <w:jc w:val="both"/>
        <w:ind w:left="1220" w:hanging="848"/>
        <w:spacing w:after="0" w:line="27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54">
        <w:r>
          <w:rPr>
            <w:rFonts w:ascii="Arial" w:cs="Arial" w:eastAsia="Arial" w:hAnsi="Arial"/>
            <w:sz w:val="18"/>
            <w:szCs w:val="18"/>
            <w:u w:val="single" w:color="auto"/>
            <w:color w:val="0000FF"/>
          </w:rPr>
          <w:t>Summary of Universal Electronics Inc. 2013 Director Compensation (incorporated by reference to Exhibit 10.34 to the Company's Annual</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Report on 10-K for the year ended December 31, 2013 filed on March 12, 2014 (File No. 0-21044))</w:t>
        </w:r>
      </w:hyperlink>
    </w:p>
    <w:p>
      <w:pPr>
        <w:spacing w:after="0" w:line="130" w:lineRule="exact"/>
        <w:rPr>
          <w:sz w:val="20"/>
          <w:szCs w:val="20"/>
          <w:color w:val="auto"/>
        </w:rPr>
      </w:pPr>
    </w:p>
    <w:p>
      <w:pPr>
        <w:jc w:val="both"/>
        <w:ind w:left="1220" w:hanging="848"/>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55">
        <w:r>
          <w:rPr>
            <w:rFonts w:ascii="Arial" w:cs="Arial" w:eastAsia="Arial" w:hAnsi="Arial"/>
            <w:sz w:val="18"/>
            <w:szCs w:val="18"/>
            <w:u w:val="single" w:color="auto"/>
            <w:color w:val="0000FF"/>
          </w:rPr>
          <w:t>Universal Electronics Inc. 2003 Stock Incentive Plan, Universal Electronics Inc. Compensation Plan for Outside Members of the Board of</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Directors (2001), and Universal Electronics Inc. 2004 Directors' Compensation Plan (incorporated by reference to the Company's</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Registration Statement on Form S-8 filed on March 12, 2014 (File No. 333-194511))</w:t>
        </w:r>
      </w:hyperlink>
    </w:p>
    <w:p>
      <w:pPr>
        <w:spacing w:after="0" w:line="141" w:lineRule="exact"/>
        <w:rPr>
          <w:rFonts w:ascii="Arial" w:cs="Arial" w:eastAsia="Arial" w:hAnsi="Arial"/>
          <w:sz w:val="18"/>
          <w:szCs w:val="18"/>
          <w:u w:val="single" w:color="auto"/>
          <w:color w:val="0000FF"/>
        </w:rPr>
      </w:pPr>
    </w:p>
    <w:p>
      <w:pPr>
        <w:jc w:val="both"/>
        <w:ind w:left="1220" w:hanging="848"/>
        <w:spacing w:after="0" w:line="27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56">
        <w:r>
          <w:rPr>
            <w:rFonts w:ascii="Arial" w:cs="Arial" w:eastAsia="Arial" w:hAnsi="Arial"/>
            <w:sz w:val="18"/>
            <w:szCs w:val="18"/>
            <w:u w:val="single" w:color="auto"/>
            <w:color w:val="0000FF"/>
          </w:rPr>
          <w:t>Universal Electronics Inc. 2014 Stock Incentive Plan (incorporated by reference to Exhibit 4.5 to the Company's Registration Statement on</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Form S-8 filed on August 12, 2014 (File No. 333-198083))</w:t>
        </w:r>
      </w:hyperlink>
    </w:p>
    <w:p>
      <w:pPr>
        <w:spacing w:after="0" w:line="130" w:lineRule="exact"/>
        <w:rPr>
          <w:sz w:val="20"/>
          <w:szCs w:val="20"/>
          <w:color w:val="auto"/>
        </w:rPr>
      </w:pPr>
    </w:p>
    <w:p>
      <w:pPr>
        <w:jc w:val="both"/>
        <w:ind w:left="1220" w:hanging="848"/>
        <w:spacing w:after="0" w:line="27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57">
        <w:r>
          <w:rPr>
            <w:rFonts w:ascii="Arial" w:cs="Arial" w:eastAsia="Arial" w:hAnsi="Arial"/>
            <w:sz w:val="18"/>
            <w:szCs w:val="18"/>
            <w:u w:val="single" w:color="auto"/>
            <w:color w:val="0000FF"/>
          </w:rPr>
          <w:t>Form of Option Agreement used in connection with the Universal Electronics Inc. 2014 Stock Incentive Plan (incorporated by reference to</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Exhibit 4.6 to the Company's Registration Statement on Form S-8 filed on August 12, 2014 (File No. 333-198083))</w:t>
        </w:r>
      </w:hyperlink>
    </w:p>
    <w:p>
      <w:pPr>
        <w:spacing w:after="0" w:line="130" w:lineRule="exact"/>
        <w:rPr>
          <w:sz w:val="20"/>
          <w:szCs w:val="20"/>
          <w:color w:val="auto"/>
        </w:rPr>
      </w:pPr>
    </w:p>
    <w:p>
      <w:pPr>
        <w:jc w:val="both"/>
        <w:ind w:left="1220" w:hanging="848"/>
        <w:spacing w:after="0" w:line="342" w:lineRule="auto"/>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*10.24</w:t>
      </w:r>
      <w:r>
        <w:rPr>
          <w:sz w:val="20"/>
          <w:szCs w:val="20"/>
          <w:color w:val="auto"/>
        </w:rPr>
        <w:tab/>
      </w:r>
      <w:hyperlink r:id="rId58">
        <w:r>
          <w:rPr>
            <w:rFonts w:ascii="Arial" w:cs="Arial" w:eastAsia="Arial" w:hAnsi="Arial"/>
            <w:sz w:val="16"/>
            <w:szCs w:val="16"/>
            <w:u w:val="single" w:color="auto"/>
            <w:color w:val="0000FF"/>
          </w:rPr>
          <w:t>Form of Restricted Stock Unit Agreement used in connection with the Universal Electronics Inc. 2014 Stock Incentive Plan (incorporated by</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reference to Exhibit 4.7 to the Company's Registration Statement on Form S-8 filed on August 12, 2014 (File No. 333-198083))</w:t>
        </w:r>
      </w:hyperlink>
    </w:p>
    <w:p>
      <w:pPr>
        <w:spacing w:after="0" w:line="83" w:lineRule="exact"/>
        <w:rPr>
          <w:sz w:val="20"/>
          <w:szCs w:val="20"/>
          <w:color w:val="auto"/>
        </w:rPr>
      </w:pPr>
    </w:p>
    <w:p>
      <w:pPr>
        <w:ind w:left="1220" w:hanging="803"/>
        <w:spacing w:after="0" w:line="342" w:lineRule="auto"/>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10.25</w:t>
      </w:r>
      <w:r>
        <w:rPr>
          <w:sz w:val="20"/>
          <w:szCs w:val="20"/>
          <w:color w:val="auto"/>
        </w:rPr>
        <w:tab/>
      </w:r>
      <w:hyperlink r:id="rId59">
        <w:r>
          <w:rPr>
            <w:rFonts w:ascii="Arial" w:cs="Arial" w:eastAsia="Arial" w:hAnsi="Arial"/>
            <w:sz w:val="16"/>
            <w:szCs w:val="16"/>
            <w:u w:val="single" w:color="auto"/>
            <w:color w:val="0000FF"/>
          </w:rPr>
          <w:t>Registration Rights Agreement dated March 9, 2016 between Universal Electronics Inc. and Comcast Corporation (incorporated by</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references to Exhibit 10.1 to the Company's Current Report on Form 8-K dated March 9, 2016 filed on March 9, 2016 (File No. 0-21044))</w:t>
        </w:r>
      </w:hyperlink>
    </w:p>
    <w:p>
      <w:pPr>
        <w:spacing w:after="0" w:line="83" w:lineRule="exact"/>
        <w:rPr>
          <w:sz w:val="20"/>
          <w:szCs w:val="20"/>
          <w:color w:val="auto"/>
        </w:rPr>
      </w:pPr>
    </w:p>
    <w:p>
      <w:pPr>
        <w:ind w:left="1220" w:hanging="803"/>
        <w:spacing w:after="0" w:line="27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60">
        <w:r>
          <w:rPr>
            <w:rFonts w:ascii="Arial" w:cs="Arial" w:eastAsia="Arial" w:hAnsi="Arial"/>
            <w:sz w:val="18"/>
            <w:szCs w:val="18"/>
            <w:u w:val="single" w:color="auto"/>
            <w:color w:val="0000FF"/>
          </w:rPr>
          <w:t>Equity Transfer Agreement with Respect to Panyu Gemstar Project (incorporated by reference to Exhibit 10.2 to the Company's Quarterly</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Report on Form 10-Q for the quarter ended September 30, 2016 filed on November 8, 2016 (File No. 0-21044))</w:t>
        </w:r>
      </w:hyperlink>
    </w:p>
    <w:p>
      <w:pPr>
        <w:spacing w:after="0" w:line="130" w:lineRule="exact"/>
        <w:rPr>
          <w:sz w:val="20"/>
          <w:szCs w:val="20"/>
          <w:color w:val="auto"/>
        </w:rPr>
      </w:pPr>
    </w:p>
    <w:p>
      <w:pPr>
        <w:jc w:val="both"/>
        <w:ind w:left="1220" w:hanging="848"/>
        <w:spacing w:after="0" w:line="26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61">
        <w:r>
          <w:rPr>
            <w:rFonts w:ascii="Arial" w:cs="Arial" w:eastAsia="Arial" w:hAnsi="Arial"/>
            <w:sz w:val="18"/>
            <w:szCs w:val="18"/>
            <w:u w:val="single" w:color="auto"/>
            <w:color w:val="0000FF"/>
          </w:rPr>
          <w:t>Employment and Separation Agreement and General Release made and entered into on October 26, 2016 between Universal Electronics BV</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and Paul J.M. Bennett (incorporated by reference to Exhibit 10.34 to the Company's Annual Report on Form 10-K for the year ended</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December 31, 2016 filed on March 9, 2017 (File No. 0-21044))</w:t>
        </w:r>
      </w:hyperlink>
    </w:p>
    <w:p>
      <w:pPr>
        <w:spacing w:after="0" w:line="235"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118" w:right="29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gridSpan w:val="3"/>
          </w:tcPr>
          <w:p>
            <w:pPr>
              <w:spacing w:after="0"/>
              <w:rPr>
                <w:rFonts w:ascii="Arial" w:cs="Arial" w:eastAsia="Arial" w:hAnsi="Arial"/>
                <w:sz w:val="14"/>
                <w:szCs w:val="14"/>
                <w:b w:val="1"/>
                <w:bCs w:val="1"/>
                <w:color w:val="0000EE"/>
                <w:w w:val="91"/>
              </w:rPr>
            </w:pPr>
            <w:hyperlink w:anchor="page3">
              <w:r>
                <w:rPr>
                  <w:rFonts w:ascii="Arial" w:cs="Arial" w:eastAsia="Arial" w:hAnsi="Arial"/>
                  <w:sz w:val="14"/>
                  <w:szCs w:val="14"/>
                  <w:b w:val="1"/>
                  <w:bCs w:val="1"/>
                  <w:color w:val="0000EE"/>
                  <w:w w:val="91"/>
                </w:rPr>
                <w:t>Table of Contents</w:t>
              </w:r>
            </w:hyperlink>
          </w:p>
        </w:tc>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9"/>
        </w:trPr>
        <w:tc>
          <w:tcPr>
            <w:tcW w:w="360" w:type="dxa"/>
            <w:vAlign w:val="bottom"/>
          </w:tcPr>
          <w:p>
            <w:pPr>
              <w:spacing w:after="0"/>
              <w:rPr>
                <w:sz w:val="24"/>
                <w:szCs w:val="24"/>
                <w:color w:val="auto"/>
              </w:rPr>
            </w:pPr>
          </w:p>
        </w:tc>
        <w:tc>
          <w:tcPr>
            <w:tcW w:w="8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Exhibit</w:t>
            </w:r>
          </w:p>
        </w:tc>
        <w:tc>
          <w:tcPr>
            <w:tcW w:w="2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40" w:type="dxa"/>
            <w:vAlign w:val="bottom"/>
            <w:gridSpan w:val="14"/>
            <w:vMerge w:val="restart"/>
          </w:tcPr>
          <w:p>
            <w:pPr>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58"/>
        </w:trPr>
        <w:tc>
          <w:tcPr>
            <w:tcW w:w="1220" w:type="dxa"/>
            <w:vAlign w:val="bottom"/>
            <w:gridSpan w:val="4"/>
          </w:tcPr>
          <w:p>
            <w:pPr>
              <w:jc w:val="center"/>
              <w:spacing w:after="0" w:line="158" w:lineRule="exact"/>
              <w:rPr>
                <w:sz w:val="20"/>
                <w:szCs w:val="20"/>
                <w:color w:val="auto"/>
              </w:rPr>
            </w:pPr>
            <w:r>
              <w:rPr>
                <w:rFonts w:ascii="Arial" w:cs="Arial" w:eastAsia="Arial" w:hAnsi="Arial"/>
                <w:sz w:val="14"/>
                <w:szCs w:val="14"/>
                <w:b w:val="1"/>
                <w:bCs w:val="1"/>
                <w:color w:val="auto"/>
                <w:w w:val="94"/>
              </w:rPr>
              <w:t>Number</w:t>
            </w:r>
          </w:p>
        </w:tc>
        <w:tc>
          <w:tcPr>
            <w:tcW w:w="2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740" w:type="dxa"/>
            <w:vAlign w:val="bottom"/>
            <w:gridSpan w:val="1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3"/>
              </w:rPr>
              <w:t>10.28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8"/>
          </w:tcPr>
          <w:p>
            <w:pPr>
              <w:spacing w:after="0"/>
              <w:rPr>
                <w:rFonts w:ascii="Arial" w:cs="Arial" w:eastAsia="Arial" w:hAnsi="Arial"/>
                <w:sz w:val="18"/>
                <w:szCs w:val="18"/>
                <w:color w:val="0000FF"/>
                <w:w w:val="94"/>
              </w:rPr>
            </w:pPr>
            <w:hyperlink r:id="rId62">
              <w:r>
                <w:rPr>
                  <w:rFonts w:ascii="Arial" w:cs="Arial" w:eastAsia="Arial" w:hAnsi="Arial"/>
                  <w:sz w:val="18"/>
                  <w:szCs w:val="18"/>
                  <w:color w:val="0000FF"/>
                  <w:w w:val="94"/>
                </w:rPr>
                <w:t>Second Amended and Restated Credit Agreement dated October 27, 2017 between Universal Electronics Inc. and U.S. Bank National</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FF"/>
            </w:tcBorders>
            <w:gridSpan w:val="18"/>
          </w:tcPr>
          <w:p>
            <w:pPr>
              <w:spacing w:after="0" w:line="196" w:lineRule="exact"/>
              <w:rPr>
                <w:rFonts w:ascii="Arial" w:cs="Arial" w:eastAsia="Arial" w:hAnsi="Arial"/>
                <w:sz w:val="18"/>
                <w:szCs w:val="18"/>
                <w:color w:val="0000FF"/>
                <w:w w:val="93"/>
              </w:rPr>
            </w:pPr>
            <w:hyperlink r:id="rId62">
              <w:r>
                <w:rPr>
                  <w:rFonts w:ascii="Arial" w:cs="Arial" w:eastAsia="Arial" w:hAnsi="Arial"/>
                  <w:sz w:val="18"/>
                  <w:szCs w:val="18"/>
                  <w:color w:val="0000FF"/>
                  <w:w w:val="93"/>
                </w:rPr>
                <w:t>Association and Wells Fargo Bank, National Association (incorporated by reference to Exhibit 10.39 to the Company's Annual Report on</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form 10-K for the year ended December 31, 2017 filed on March 13, 2018 (File No. 0-21044))</w:t>
              </w:r>
            </w:hyperlink>
          </w:p>
        </w:tc>
        <w:tc>
          <w:tcPr>
            <w:tcW w:w="3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3"/>
              </w:rPr>
              <w:t>10.29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8"/>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First Amendment to Second Amended and Restated Credit Agreement dated as of May 4, 2018 between Universal Electronics Inc. and U.S.</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Bank National Association and Wells Fargo Bank, National Association (incorporated in reference to Exhibit 10.1 to the Company's Annual</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Report on Form 10-K for the quarter ended June 30, 2018 filed on August 8, 2018 (File No. 0-21044))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3"/>
              </w:rPr>
              <w:t>10.30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8"/>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Termination of Equity Transfer Agreement dated April 17, 2018 between CG Development Limited and Guangzhou Junhao Investment Co.,</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Ltd. and Gemstar Technology (China) Co., Limited (incorporated by reference to Exhibit 10.2 to the Company's Annual Report on form 10-</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K for the quarter ended June 30, 2018 filed on August 8, 2018 (File No. 0-21044)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3"/>
              </w:rPr>
              <w:t>10.31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8"/>
          </w:tcPr>
          <w:p>
            <w:pPr>
              <w:spacing w:after="0"/>
              <w:rPr>
                <w:rFonts w:ascii="Arial" w:cs="Arial" w:eastAsia="Arial" w:hAnsi="Arial"/>
                <w:sz w:val="18"/>
                <w:szCs w:val="18"/>
                <w:color w:val="0000FF"/>
                <w:w w:val="93"/>
              </w:rPr>
            </w:pPr>
            <w:hyperlink r:id="rId65">
              <w:r>
                <w:rPr>
                  <w:rFonts w:ascii="Arial" w:cs="Arial" w:eastAsia="Arial" w:hAnsi="Arial"/>
                  <w:sz w:val="18"/>
                  <w:szCs w:val="18"/>
                  <w:color w:val="0000FF"/>
                  <w:w w:val="93"/>
                </w:rPr>
                <w:t>Share Transfer Agreement dated April 23, 2018 between C.G. Development Limited and Guangzhou MuXia Hotel Management Co. Ltd.</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and Gemstar Technology (China) Co., Ltd. (incorporated by reference to Exhibit 10.3 to the Company's Annual Report on form 10-Q for the</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quarter ended June 30, 2018 filed on March 13, 2018 (File No. 0-21044))</w:t>
              </w:r>
            </w:hyperlink>
          </w:p>
        </w:tc>
        <w:tc>
          <w:tcPr>
            <w:tcW w:w="48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3"/>
              </w:rPr>
              <w:t>10.32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8"/>
          </w:tcPr>
          <w:p>
            <w:pPr>
              <w:spacing w:after="0"/>
              <w:rPr>
                <w:rFonts w:ascii="Arial" w:cs="Arial" w:eastAsia="Arial" w:hAnsi="Arial"/>
                <w:sz w:val="18"/>
                <w:szCs w:val="18"/>
                <w:color w:val="0000FF"/>
                <w:w w:val="93"/>
              </w:rPr>
            </w:pPr>
            <w:hyperlink r:id="rId66">
              <w:r>
                <w:rPr>
                  <w:rFonts w:ascii="Arial" w:cs="Arial" w:eastAsia="Arial" w:hAnsi="Arial"/>
                  <w:sz w:val="18"/>
                  <w:szCs w:val="18"/>
                  <w:color w:val="0000FF"/>
                  <w:w w:val="93"/>
                </w:rPr>
                <w:t>Universal Electronics Inc. 2018 Equity and Incentive and Compensation Plan (incorporated by reference to Exhibit 4.5 to the Company's</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Registration Statement on form S-8 filed on September 26, 2018 (File No. 333-227594))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3"/>
              </w:rPr>
              <w:t>10.33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8"/>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Form of Restricted Stock Agreement under the 2018 Equity and Incentive Compensation Plan (incorporated by reference to Exhibit 10.5 to</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the Company's Annual Report on form 10-Q for the quarter ended June 30, 2018 filed on March 13, 2018 (File No. 0-21044)</w:t>
              </w:r>
            </w:hyperlink>
          </w:p>
        </w:tc>
        <w:tc>
          <w:tcPr>
            <w:tcW w:w="1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3"/>
              </w:rPr>
              <w:t>10.34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8"/>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Form of Stock Option Agreement under the 2018 Equity and Incentive Compensation Plan (incorporated by reference to Exhibit 10.6 to the</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Company's Current Report on Form 10-Q dated June 30, 2018 filed on March 13, 2019 (File No. 0-21044))</w:t>
              </w:r>
            </w:hyperlink>
          </w:p>
        </w:tc>
        <w:tc>
          <w:tcPr>
            <w:tcW w:w="24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3"/>
              </w:rPr>
              <w:t>10.35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8"/>
          </w:tcPr>
          <w:p>
            <w:pPr>
              <w:spacing w:after="0"/>
              <w:rPr>
                <w:rFonts w:ascii="Arial" w:cs="Arial" w:eastAsia="Arial" w:hAnsi="Arial"/>
                <w:sz w:val="18"/>
                <w:szCs w:val="18"/>
                <w:color w:val="0000FF"/>
                <w:w w:val="94"/>
              </w:rPr>
            </w:pPr>
            <w:hyperlink r:id="rId69">
              <w:r>
                <w:rPr>
                  <w:rFonts w:ascii="Arial" w:cs="Arial" w:eastAsia="Arial" w:hAnsi="Arial"/>
                  <w:sz w:val="18"/>
                  <w:szCs w:val="18"/>
                  <w:color w:val="0000FF"/>
                  <w:w w:val="94"/>
                </w:rPr>
                <w:t>Second Amendment to Second Amended and Restated Credit Agreement (incorporated by reference to Exhibit 10.1 to the Company's</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Current Report on form 8-K dated December 27, 2018 filed on January 3, 2019 (File No. 0-21044))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tcBorders>
              <w:left w:val="single" w:sz="8" w:color="0000FF"/>
            </w:tcBorders>
            <w:gridSpan w:val="4"/>
            <w:shd w:val="clear" w:color="auto" w:fill="0000FF"/>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95"/>
              </w:rPr>
              <w:t>*10.36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8"/>
          </w:tcPr>
          <w:p>
            <w:pPr>
              <w:spacing w:after="0"/>
              <w:rPr>
                <w:rFonts w:ascii="Arial" w:cs="Arial" w:eastAsia="Arial" w:hAnsi="Arial"/>
                <w:sz w:val="18"/>
                <w:szCs w:val="18"/>
                <w:color w:val="0000FF"/>
                <w:w w:val="91"/>
              </w:rPr>
            </w:pPr>
            <w:hyperlink w:anchor="page90">
              <w:r>
                <w:rPr>
                  <w:rFonts w:ascii="Arial" w:cs="Arial" w:eastAsia="Arial" w:hAnsi="Arial"/>
                  <w:sz w:val="18"/>
                  <w:szCs w:val="18"/>
                  <w:color w:val="0000FF"/>
                  <w:w w:val="91"/>
                </w:rPr>
                <w:t>Transition and Separation Agreement and General Release made and entered into on January 18, 2019 between Universal Electronics Inc.</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90">
              <w:r>
                <w:rPr>
                  <w:rFonts w:ascii="Arial" w:cs="Arial" w:eastAsia="Arial" w:hAnsi="Arial"/>
                  <w:sz w:val="18"/>
                  <w:szCs w:val="18"/>
                  <w:color w:val="0000FF"/>
                  <w:w w:val="90"/>
                </w:rPr>
                <w:t>and Louis S. Hughes (filed herewith)</w:t>
              </w:r>
            </w:hyperlink>
          </w:p>
        </w:tc>
        <w:tc>
          <w:tcPr>
            <w:tcW w:w="74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85"/>
              </w:rPr>
              <w:t>14.1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FF"/>
            </w:tcBorders>
            <w:gridSpan w:val="18"/>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Code of Conduct (incorporated by reference to Exhibit 14.1 to the Company's Annual Report on Form 10-K for the year ended December</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31, 2003 filed on March 14, 2004 (File No. 0-21044))</w:t>
              </w:r>
            </w:hyperlink>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85"/>
              </w:rPr>
              <w:t>21.1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Borders>
              <w:top w:val="single" w:sz="8" w:color="0000FF"/>
            </w:tcBorders>
            <w:gridSpan w:val="3"/>
          </w:tcPr>
          <w:p>
            <w:pPr>
              <w:spacing w:after="0"/>
              <w:rPr>
                <w:rFonts w:ascii="Arial" w:cs="Arial" w:eastAsia="Arial" w:hAnsi="Arial"/>
                <w:sz w:val="18"/>
                <w:szCs w:val="18"/>
                <w:color w:val="0000FF"/>
                <w:w w:val="93"/>
              </w:rPr>
            </w:pPr>
            <w:hyperlink w:anchor="page106">
              <w:r>
                <w:rPr>
                  <w:rFonts w:ascii="Arial" w:cs="Arial" w:eastAsia="Arial" w:hAnsi="Arial"/>
                  <w:sz w:val="18"/>
                  <w:szCs w:val="18"/>
                  <w:color w:val="0000FF"/>
                  <w:w w:val="93"/>
                </w:rPr>
                <w:t>List of Subsidiaries of the Registrant (filed herewith)</w:t>
              </w:r>
            </w:hyperlink>
          </w:p>
        </w:tc>
        <w:tc>
          <w:tcPr>
            <w:tcW w:w="62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85"/>
              </w:rPr>
              <w:t>23.1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107">
              <w:r>
                <w:rPr>
                  <w:rFonts w:ascii="Arial" w:cs="Arial" w:eastAsia="Arial" w:hAnsi="Arial"/>
                  <w:sz w:val="18"/>
                  <w:szCs w:val="18"/>
                  <w:color w:val="0000FF"/>
                  <w:w w:val="91"/>
                </w:rPr>
                <w:t>Consent of Independent Registered Public Accounting Firm (filed herewith)</w:t>
              </w:r>
            </w:hyperlink>
          </w:p>
        </w:tc>
        <w:tc>
          <w:tcPr>
            <w:tcW w:w="46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85"/>
              </w:rPr>
              <w:t>24.1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Power of Attorney (filed as part of the signature page hereto)</w:t>
              </w:r>
            </w:hyperlink>
          </w:p>
        </w:tc>
        <w:tc>
          <w:tcPr>
            <w:tcW w:w="57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85"/>
              </w:rPr>
              <w:t>31.1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108">
              <w:r>
                <w:rPr>
                  <w:rFonts w:ascii="Arial" w:cs="Arial" w:eastAsia="Arial" w:hAnsi="Arial"/>
                  <w:sz w:val="18"/>
                  <w:szCs w:val="18"/>
                  <w:color w:val="0000FF"/>
                  <w:w w:val="92"/>
                </w:rPr>
                <w:t>Rule 13a-14(a) Certifications of the Chief Executive Officer (filed herewith)</w:t>
              </w:r>
            </w:hyperlink>
          </w:p>
        </w:tc>
        <w:tc>
          <w:tcPr>
            <w:tcW w:w="46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85"/>
              </w:rPr>
              <w:t>31.2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tcBorders>
              <w:bottom w:val="single" w:sz="8" w:color="0000FF"/>
            </w:tcBorders>
            <w:gridSpan w:val="16"/>
          </w:tcPr>
          <w:p>
            <w:pPr>
              <w:spacing w:after="0"/>
              <w:rPr>
                <w:rFonts w:ascii="Arial" w:cs="Arial" w:eastAsia="Arial" w:hAnsi="Arial"/>
                <w:sz w:val="18"/>
                <w:szCs w:val="18"/>
                <w:color w:val="0000FF"/>
                <w:w w:val="93"/>
              </w:rPr>
            </w:pPr>
            <w:hyperlink w:anchor="page109">
              <w:r>
                <w:rPr>
                  <w:rFonts w:ascii="Arial" w:cs="Arial" w:eastAsia="Arial" w:hAnsi="Arial"/>
                  <w:sz w:val="18"/>
                  <w:szCs w:val="18"/>
                  <w:color w:val="0000FF"/>
                  <w:w w:val="93"/>
                </w:rPr>
                <w:t>Rule 13a-14(a) Certifications of the Chief Financial Officer (principal financial officer and principal accounting officer) (filed herewith)</w:t>
              </w:r>
            </w:hyperlink>
          </w:p>
        </w:tc>
        <w:tc>
          <w:tcPr>
            <w:tcW w:w="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85"/>
              </w:rPr>
              <w:t>32.1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gridSpan w:val="18"/>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Section 1350 Certifications of the Chief Executive Officer (furnished herewith)</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gridSpan w:val="8"/>
            <w:shd w:val="clear" w:color="auto" w:fill="0000FF"/>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gridSpan w:val="2"/>
          </w:tcPr>
          <w:p>
            <w:pPr>
              <w:jc w:val="center"/>
              <w:ind w:left="271"/>
              <w:spacing w:after="0"/>
              <w:rPr>
                <w:sz w:val="20"/>
                <w:szCs w:val="20"/>
                <w:color w:val="auto"/>
              </w:rPr>
            </w:pPr>
            <w:r>
              <w:rPr>
                <w:rFonts w:ascii="Arial" w:cs="Arial" w:eastAsia="Arial" w:hAnsi="Arial"/>
                <w:sz w:val="18"/>
                <w:szCs w:val="18"/>
                <w:color w:val="auto"/>
                <w:w w:val="85"/>
              </w:rPr>
              <w:t>32.2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gridSpan w:val="18"/>
          </w:tcPr>
          <w:p>
            <w:pPr>
              <w:spacing w:after="0"/>
              <w:rPr>
                <w:rFonts w:ascii="Arial" w:cs="Arial" w:eastAsia="Arial" w:hAnsi="Arial"/>
                <w:sz w:val="18"/>
                <w:szCs w:val="18"/>
                <w:color w:val="0000FF"/>
                <w:w w:val="94"/>
              </w:rPr>
            </w:pPr>
            <w:hyperlink w:anchor="page111">
              <w:r>
                <w:rPr>
                  <w:rFonts w:ascii="Arial" w:cs="Arial" w:eastAsia="Arial" w:hAnsi="Arial"/>
                  <w:sz w:val="18"/>
                  <w:szCs w:val="18"/>
                  <w:color w:val="0000FF"/>
                  <w:w w:val="94"/>
                </w:rPr>
                <w:t>Section 1350 Certifications of the Chief Financial Officer (principal financial officer and principal accounting officer) (furnished herewith)</w:t>
              </w:r>
            </w:hyperlink>
          </w:p>
        </w:tc>
        <w:tc>
          <w:tcPr>
            <w:tcW w:w="0" w:type="dxa"/>
            <w:vAlign w:val="bottom"/>
          </w:tcPr>
          <w:p>
            <w:pPr>
              <w:spacing w:after="0"/>
              <w:rPr>
                <w:sz w:val="1"/>
                <w:szCs w:val="1"/>
                <w:color w:val="auto"/>
              </w:rPr>
            </w:pPr>
          </w:p>
        </w:tc>
      </w:tr>
      <w:tr>
        <w:trPr>
          <w:trHeight w:val="412"/>
        </w:trPr>
        <w:tc>
          <w:tcPr>
            <w:tcW w:w="1220" w:type="dxa"/>
            <w:vAlign w:val="bottom"/>
            <w:gridSpan w:val="4"/>
          </w:tcPr>
          <w:p>
            <w:pPr>
              <w:jc w:val="center"/>
              <w:spacing w:after="0"/>
              <w:rPr>
                <w:sz w:val="20"/>
                <w:szCs w:val="20"/>
                <w:color w:val="auto"/>
              </w:rPr>
            </w:pPr>
            <w:r>
              <w:rPr>
                <w:rFonts w:ascii="Arial" w:cs="Arial" w:eastAsia="Arial" w:hAnsi="Arial"/>
                <w:sz w:val="18"/>
                <w:szCs w:val="18"/>
                <w:color w:val="auto"/>
                <w:w w:val="95"/>
              </w:rPr>
              <w:t>101.INS</w:t>
            </w:r>
          </w:p>
        </w:tc>
        <w:tc>
          <w:tcPr>
            <w:tcW w:w="1000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auto"/>
              </w:rPr>
              <w:t>XBRL Instance Document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gridSpan w:val="4"/>
          </w:tcPr>
          <w:p>
            <w:pPr>
              <w:jc w:val="center"/>
              <w:spacing w:after="0"/>
              <w:rPr>
                <w:sz w:val="20"/>
                <w:szCs w:val="20"/>
                <w:color w:val="auto"/>
              </w:rPr>
            </w:pPr>
            <w:r>
              <w:rPr>
                <w:rFonts w:ascii="Arial" w:cs="Arial" w:eastAsia="Arial" w:hAnsi="Arial"/>
                <w:sz w:val="18"/>
                <w:szCs w:val="18"/>
                <w:color w:val="auto"/>
                <w:w w:val="90"/>
              </w:rPr>
              <w:t>101.SCH</w:t>
            </w:r>
          </w:p>
        </w:tc>
        <w:tc>
          <w:tcPr>
            <w:tcW w:w="1014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220" w:type="dxa"/>
            <w:vAlign w:val="bottom"/>
            <w:gridSpan w:val="4"/>
          </w:tcPr>
          <w:p>
            <w:pPr>
              <w:jc w:val="center"/>
              <w:spacing w:after="0"/>
              <w:rPr>
                <w:sz w:val="20"/>
                <w:szCs w:val="20"/>
                <w:color w:val="auto"/>
              </w:rPr>
            </w:pPr>
            <w:r>
              <w:rPr>
                <w:rFonts w:ascii="Arial" w:cs="Arial" w:eastAsia="Arial" w:hAnsi="Arial"/>
                <w:sz w:val="18"/>
                <w:szCs w:val="18"/>
                <w:color w:val="auto"/>
                <w:w w:val="94"/>
              </w:rPr>
              <w:t>101.CAL</w:t>
            </w:r>
          </w:p>
        </w:tc>
        <w:tc>
          <w:tcPr>
            <w:tcW w:w="1014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220" w:type="dxa"/>
            <w:vAlign w:val="bottom"/>
            <w:gridSpan w:val="4"/>
          </w:tcPr>
          <w:p>
            <w:pPr>
              <w:jc w:val="center"/>
              <w:spacing w:after="0"/>
              <w:rPr>
                <w:sz w:val="20"/>
                <w:szCs w:val="20"/>
                <w:color w:val="auto"/>
              </w:rPr>
            </w:pPr>
            <w:r>
              <w:rPr>
                <w:rFonts w:ascii="Arial" w:cs="Arial" w:eastAsia="Arial" w:hAnsi="Arial"/>
                <w:sz w:val="18"/>
                <w:szCs w:val="18"/>
                <w:color w:val="auto"/>
                <w:w w:val="92"/>
              </w:rPr>
              <w:t>101.DEF</w:t>
            </w:r>
          </w:p>
        </w:tc>
        <w:tc>
          <w:tcPr>
            <w:tcW w:w="10140" w:type="dxa"/>
            <w:vAlign w:val="bottom"/>
            <w:gridSpan w:val="18"/>
          </w:tcPr>
          <w:p>
            <w:pPr>
              <w:spacing w:after="0"/>
              <w:rPr>
                <w:sz w:val="20"/>
                <w:szCs w:val="20"/>
                <w:color w:val="auto"/>
              </w:rPr>
            </w:pPr>
            <w:r>
              <w:rPr>
                <w:rFonts w:ascii="Arial" w:cs="Arial" w:eastAsia="Arial" w:hAnsi="Arial"/>
                <w:sz w:val="18"/>
                <w:szCs w:val="18"/>
                <w:color w:val="auto"/>
              </w:rPr>
              <w:t>XBRL Taxonomy Extension Linkbase Document</w:t>
            </w:r>
          </w:p>
        </w:tc>
        <w:tc>
          <w:tcPr>
            <w:tcW w:w="0" w:type="dxa"/>
            <w:vAlign w:val="bottom"/>
          </w:tcPr>
          <w:p>
            <w:pPr>
              <w:spacing w:after="0"/>
              <w:rPr>
                <w:sz w:val="1"/>
                <w:szCs w:val="1"/>
                <w:color w:val="auto"/>
              </w:rPr>
            </w:pPr>
          </w:p>
        </w:tc>
      </w:tr>
      <w:tr>
        <w:trPr>
          <w:trHeight w:val="392"/>
        </w:trPr>
        <w:tc>
          <w:tcPr>
            <w:tcW w:w="1220" w:type="dxa"/>
            <w:vAlign w:val="bottom"/>
            <w:gridSpan w:val="4"/>
          </w:tcPr>
          <w:p>
            <w:pPr>
              <w:jc w:val="center"/>
              <w:spacing w:after="0"/>
              <w:rPr>
                <w:sz w:val="20"/>
                <w:szCs w:val="20"/>
                <w:color w:val="auto"/>
              </w:rPr>
            </w:pPr>
            <w:r>
              <w:rPr>
                <w:rFonts w:ascii="Arial" w:cs="Arial" w:eastAsia="Arial" w:hAnsi="Arial"/>
                <w:sz w:val="18"/>
                <w:szCs w:val="18"/>
                <w:color w:val="auto"/>
                <w:w w:val="95"/>
              </w:rPr>
              <w:t>101.LAB</w:t>
            </w:r>
          </w:p>
        </w:tc>
        <w:tc>
          <w:tcPr>
            <w:tcW w:w="1014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220" w:type="dxa"/>
            <w:vAlign w:val="bottom"/>
            <w:gridSpan w:val="4"/>
          </w:tcPr>
          <w:p>
            <w:pPr>
              <w:jc w:val="center"/>
              <w:spacing w:after="0"/>
              <w:rPr>
                <w:sz w:val="20"/>
                <w:szCs w:val="20"/>
                <w:color w:val="auto"/>
              </w:rPr>
            </w:pPr>
            <w:r>
              <w:rPr>
                <w:rFonts w:ascii="Arial" w:cs="Arial" w:eastAsia="Arial" w:hAnsi="Arial"/>
                <w:sz w:val="18"/>
                <w:szCs w:val="18"/>
                <w:color w:val="auto"/>
                <w:w w:val="91"/>
              </w:rPr>
              <w:t>101.PRE</w:t>
            </w:r>
          </w:p>
        </w:tc>
        <w:tc>
          <w:tcPr>
            <w:tcW w:w="1014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 Management contract or compensation plan or arrangement identified pursuant to Items 15(a)(3) and 15(c) of Form 10-K.</w:t>
      </w:r>
    </w:p>
    <w:p>
      <w:pPr>
        <w:sectPr>
          <w:pgSz w:w="11900" w:h="16838" w:orient="portrait"/>
          <w:cols w:equalWidth="0" w:num="1">
            <w:col w:w="11360"/>
          </w:cols>
          <w:pgMar w:left="240" w:top="114" w:right="299" w:bottom="1440" w:gutter="0" w:footer="0" w:header="0"/>
        </w:sect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360"/>
          </w:cols>
          <w:pgMar w:left="240" w:top="114" w:right="299" w:bottom="1440" w:gutter="0" w:footer="0" w:header="0"/>
          <w:type w:val="continuous"/>
        </w:sectPr>
      </w:pPr>
    </w:p>
    <w:bookmarkStart w:id="87" w:name="page88"/>
    <w:bookmarkEnd w:id="8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219"/>
          </w:cols>
          <w:pgMar w:left="240" w:top="118" w:right="1440"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Scottsdale, State of Arizona.</w:t>
      </w:r>
    </w:p>
    <w:p>
      <w:pPr>
        <w:spacing w:after="0" w:line="30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UNIVERSAL ELECTRONICS INC.</w:t>
      </w:r>
    </w:p>
    <w:p>
      <w:pPr>
        <w:spacing w:after="0" w:line="189" w:lineRule="exact"/>
        <w:rPr>
          <w:sz w:val="20"/>
          <w:szCs w:val="20"/>
          <w:color w:val="auto"/>
        </w:rPr>
      </w:pPr>
    </w:p>
    <w:p>
      <w:pPr>
        <w:ind w:left="532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52" w:lineRule="exact"/>
        <w:rPr>
          <w:sz w:val="20"/>
          <w:szCs w:val="20"/>
          <w:color w:val="auto"/>
        </w:rPr>
      </w:pPr>
    </w:p>
    <w:p>
      <w:pPr>
        <w:ind w:left="5320"/>
        <w:spacing w:after="0"/>
        <w:tabs>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14, 2019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940" w:type="dxa"/>
            <w:vAlign w:val="bottom"/>
          </w:tcPr>
          <w:p>
            <w:pPr>
              <w:spacing w:after="0"/>
              <w:rPr>
                <w:sz w:val="20"/>
                <w:szCs w:val="20"/>
                <w:color w:val="auto"/>
              </w:rPr>
            </w:pPr>
            <w:r>
              <w:rPr>
                <w:rFonts w:ascii="Arial" w:cs="Arial" w:eastAsia="Arial" w:hAnsi="Arial"/>
                <w:sz w:val="14"/>
                <w:szCs w:val="14"/>
                <w:b w:val="1"/>
                <w:bCs w:val="1"/>
                <w:color w:val="auto"/>
              </w:rPr>
              <w:t>NAME &amp; TITLE</w:t>
            </w:r>
          </w:p>
        </w:tc>
        <w:tc>
          <w:tcPr>
            <w:tcW w:w="1320" w:type="dxa"/>
            <w:vAlign w:val="bottom"/>
          </w:tcPr>
          <w:p>
            <w:pPr>
              <w:spacing w:after="0"/>
              <w:rPr>
                <w:sz w:val="16"/>
                <w:szCs w:val="16"/>
                <w:color w:val="auto"/>
              </w:rPr>
            </w:pPr>
          </w:p>
        </w:tc>
        <w:tc>
          <w:tcPr>
            <w:tcW w:w="2860" w:type="dxa"/>
            <w:vAlign w:val="bottom"/>
          </w:tcPr>
          <w:p>
            <w:pPr>
              <w:ind w:left="1000"/>
              <w:spacing w:after="0"/>
              <w:rPr>
                <w:sz w:val="20"/>
                <w:szCs w:val="20"/>
                <w:color w:val="auto"/>
              </w:rPr>
            </w:pPr>
            <w:r>
              <w:rPr>
                <w:rFonts w:ascii="Arial" w:cs="Arial" w:eastAsia="Arial" w:hAnsi="Arial"/>
                <w:sz w:val="14"/>
                <w:szCs w:val="14"/>
                <w:b w:val="1"/>
                <w:bCs w:val="1"/>
                <w:color w:val="auto"/>
              </w:rPr>
              <w:t>SIGNATURE</w:t>
            </w:r>
          </w:p>
        </w:tc>
        <w:tc>
          <w:tcPr>
            <w:tcW w:w="1760" w:type="dxa"/>
            <w:vAlign w:val="bottom"/>
          </w:tcPr>
          <w:p>
            <w:pPr>
              <w:jc w:val="center"/>
              <w:ind w:left="51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62"/>
        </w:trPr>
        <w:tc>
          <w:tcPr>
            <w:tcW w:w="4940" w:type="dxa"/>
            <w:vAlign w:val="bottom"/>
          </w:tcPr>
          <w:p>
            <w:pPr>
              <w:spacing w:after="0"/>
              <w:rPr>
                <w:sz w:val="20"/>
                <w:szCs w:val="20"/>
                <w:color w:val="auto"/>
              </w:rPr>
            </w:pPr>
            <w:r>
              <w:rPr>
                <w:rFonts w:ascii="Arial" w:cs="Arial" w:eastAsia="Arial" w:hAnsi="Arial"/>
                <w:sz w:val="18"/>
                <w:szCs w:val="18"/>
                <w:color w:val="auto"/>
              </w:rPr>
              <w:t>Paul D. Arling</w:t>
            </w: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1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Paul D. Arling</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14, 2019</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Bryan M. Hackworth</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1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Bryan M. Hackworth</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14, 2019</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Satjiv S. Chahil</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Satjiv S. Chahil</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14, 2019</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William C. Mulligan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William C. Mulligan</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14, 2019</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J. C. Sparkman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J.C. Sparkman</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14, 2019</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Gregory P. Stapleton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Gregory P. Stapleton</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14, 2019</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Carl E. Vogel</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Carl E. Vogel</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14, 2019</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Edward K. Zinser</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Edward K. Zinser</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14, 2019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320" w:type="dxa"/>
            <w:vAlign w:val="bottom"/>
            <w:vMerge w:val="restart"/>
          </w:tcPr>
          <w:p>
            <w:pPr>
              <w:jc w:val="right"/>
              <w:ind w:right="410"/>
              <w:spacing w:after="0"/>
              <w:rPr>
                <w:sz w:val="20"/>
                <w:szCs w:val="20"/>
                <w:color w:val="auto"/>
              </w:rPr>
            </w:pPr>
            <w:r>
              <w:rPr>
                <w:rFonts w:ascii="Arial" w:cs="Arial" w:eastAsia="Arial" w:hAnsi="Arial"/>
                <w:sz w:val="18"/>
                <w:szCs w:val="18"/>
                <w:color w:val="auto"/>
              </w:rPr>
              <w:t>88</w:t>
            </w: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49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u w:val="single" w:color="auto"/>
          <w:color w:val="auto"/>
        </w:rPr>
        <w:t>Exhibit 10.36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TRANSITION AND SEPARATION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GENERAL RELEASE</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THIS TRANSITION AND SEPARATION AGREEMENT AND GENERAL RELEASE </w:t>
      </w:r>
      <w:r>
        <w:rPr>
          <w:rFonts w:ascii="Arial" w:cs="Arial" w:eastAsia="Arial" w:hAnsi="Arial"/>
          <w:sz w:val="18"/>
          <w:szCs w:val="18"/>
          <w:color w:val="auto"/>
        </w:rPr>
        <w:t>(the “Agreement”) is made and entered into this 18th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2019 (the “Effective Date”) by and between Universal Electronics Inc., a Delaware Corporation, with its headquarters located at 15147 N. Scottsdale Road, Suite H300, Scottsdale, Arizona 85254-2494 (the “UEI Headquarters”), on behalf of itself and all of its affiliates (herein singularly and collectively called “UEI”), and Louis S. Hughes, with his principal offices located at the UEI Headquarters, on behalf of himself and all of his heirs, executors, guardians, administrators, successors, and assigns (collectively, “Executive”).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currently employed by UEI in the position of Chief Operating Officer;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has been on assignment for UEI and residing principally in Hong Kong since September 2017; and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and UEI have agreed to enter into this Agreement to effectuate Executive’s transition out of UEI on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has indicated his willingness to work in his present capacity through January 31, 2019 and thereafter to work in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determined from time to time by UEI’s Chief Executive Officer (the “CEO”) until February 1, 2020 (the “Term End Date”), except as otherwise provided herein; and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effective on the Term End Date or as otherwise provided herein, Executive’s employment with UEI shall be terminated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terms and conditions of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promises of the parties to this Agreement, the receipt and sufficiency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hereby acknowledged, Executive and UEI agree as follows:</w:t>
      </w:r>
    </w:p>
    <w:p>
      <w:pPr>
        <w:spacing w:after="0" w:line="189" w:lineRule="exact"/>
        <w:rPr>
          <w:sz w:val="20"/>
          <w:szCs w:val="20"/>
          <w:color w:val="auto"/>
        </w:rPr>
      </w:pPr>
    </w:p>
    <w:p>
      <w:pPr>
        <w:ind w:left="1440" w:hanging="784"/>
        <w:spacing w:after="0"/>
        <w:tabs>
          <w:tab w:leader="none" w:pos="1440"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w:t>
      </w:r>
      <w:r>
        <w:rPr>
          <w:rFonts w:ascii="Arial" w:cs="Arial" w:eastAsia="Arial" w:hAnsi="Arial"/>
          <w:sz w:val="18"/>
          <w:szCs w:val="18"/>
          <w:b w:val="1"/>
          <w:bCs w:val="1"/>
          <w:color w:val="auto"/>
        </w:rPr>
        <w:t>.</w:t>
      </w:r>
    </w:p>
    <w:p>
      <w:pPr>
        <w:spacing w:after="0" w:line="269" w:lineRule="exact"/>
        <w:rPr>
          <w:rFonts w:ascii="Arial" w:cs="Arial" w:eastAsia="Arial" w:hAnsi="Arial"/>
          <w:sz w:val="18"/>
          <w:szCs w:val="18"/>
          <w:color w:val="auto"/>
        </w:rPr>
      </w:pPr>
    </w:p>
    <w:p>
      <w:pPr>
        <w:jc w:val="both"/>
        <w:ind w:left="660" w:firstLine="645"/>
        <w:spacing w:after="0" w:line="304" w:lineRule="auto"/>
        <w:tabs>
          <w:tab w:leader="none" w:pos="2156" w:val="left"/>
        </w:tabs>
        <w:numPr>
          <w:ilvl w:val="1"/>
          <w:numId w:val="36"/>
        </w:numPr>
        <w:rPr>
          <w:rFonts w:ascii="Arial" w:cs="Arial" w:eastAsia="Arial" w:hAnsi="Arial"/>
          <w:sz w:val="18"/>
          <w:szCs w:val="18"/>
          <w:color w:val="auto"/>
        </w:rPr>
      </w:pPr>
      <w:r>
        <w:rPr>
          <w:rFonts w:ascii="Arial" w:cs="Arial" w:eastAsia="Arial" w:hAnsi="Arial"/>
          <w:sz w:val="18"/>
          <w:szCs w:val="18"/>
          <w:color w:val="auto"/>
        </w:rPr>
        <w:t>From the Effective Date until the end of business (Arizona time) on January 31, 2019, Executive will continue to be employed in the position of and shall have the title of Chief Operating Officer, and shall continue to serve UEI as an employee; shall serve UEI faithfully, loyally, diligently, competently, and to the best of his ability; shall devote his full business time, energy and attention to the business of UEI and to the promotion of its interests; and, if and as directed by the CEO, shall begin transitioning his knowledge and responsibilities to other UEI personnel and assisting in the training of such individuals.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1" w:right="239" w:bottom="1440" w:gutter="0" w:footer="0" w:header="0"/>
        </w:sectPr>
      </w:pPr>
    </w:p>
    <w:bookmarkStart w:id="90" w:name="page91"/>
    <w:bookmarkEnd w:id="90"/>
    <w:p>
      <w:pPr>
        <w:jc w:val="both"/>
        <w:ind w:left="-540" w:firstLine="645"/>
        <w:spacing w:after="0" w:line="318" w:lineRule="auto"/>
        <w:tabs>
          <w:tab w:leader="none" w:pos="966"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Commencing on February 1, 2019 and continuing until the Separation Date (as defined below) (the “Continuation Period”), Executive will continue to be employed in the sole position and title of Strategic Advisor to the CEO. During the Continuation Period, Executive shall continue to be a UEI employee; shall work on a part-time basis as mutually agreed by Executive and the CEO; and shall serve UEI faithfully, loyally, diligently, competently, and to the best of his ability, although it is understood and agreed to by the parties that commencing on February 1, 2019, perform only those functions as so directed by the CEO in writing (which, for avoidance of doubt, may include the transitioning of knowledge and responsibilities to other UEI personnel and the training of such individuals), and (iii) shall, if so directed by the CEO, refrain from entering UEI’s premises and/or communicating with UEI’s employees, officers, directors, customers, vendors, and/or counterparties. For avoidance of doubt, nothing in this Agreement, Executive’s transition to the role of Strategic Advisor to the CEO, or the changes to Executive’s role or responsibilities shall constitute a “Constructive Termination” under any of the Equity Awards or the Plan (each as defined below). For the avoidance of doubt, the parties intend that Executive shall continue to provide bona fide services to UEI at a level above 20% of the average level of bona fide services he performed over the immediately preceding 36-month period and, as such, neither party intends to treat Executive as if he experienced a “separation from service” under Code Section 409A (as defined below). Executive agrees to keep records showing the amount of services he performs over the Continuation Period.</w:t>
      </w:r>
    </w:p>
    <w:p>
      <w:pPr>
        <w:spacing w:after="0" w:line="184" w:lineRule="exact"/>
        <w:rPr>
          <w:rFonts w:ascii="Arial" w:cs="Arial" w:eastAsia="Arial" w:hAnsi="Arial"/>
          <w:sz w:val="17"/>
          <w:szCs w:val="17"/>
          <w:color w:val="auto"/>
        </w:rPr>
      </w:pPr>
    </w:p>
    <w:p>
      <w:pPr>
        <w:ind w:left="-540" w:firstLine="645"/>
        <w:spacing w:after="0" w:line="324" w:lineRule="auto"/>
        <w:tabs>
          <w:tab w:leader="none" w:pos="9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UEI will pay Executive any accrued but unused vacation no later than the first regularly scheduled pay period following the Separation Date, in accordance with UEI’s standard payroll practices, policies and procedures.</w:t>
      </w:r>
    </w:p>
    <w:p>
      <w:pPr>
        <w:spacing w:after="0" w:line="170" w:lineRule="exact"/>
        <w:rPr>
          <w:rFonts w:ascii="Arial" w:cs="Arial" w:eastAsia="Arial" w:hAnsi="Arial"/>
          <w:sz w:val="18"/>
          <w:szCs w:val="18"/>
          <w:color w:val="auto"/>
        </w:rPr>
      </w:pPr>
    </w:p>
    <w:p>
      <w:pPr>
        <w:jc w:val="both"/>
        <w:ind w:left="-540" w:firstLine="645"/>
        <w:spacing w:after="0" w:line="306" w:lineRule="auto"/>
        <w:tabs>
          <w:tab w:leader="none" w:pos="9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Executive’s execution (and non-revocation) of this Agreement, his not being terminated for Cause (as defined in the Equity Awards) or resigning prior to Term End Date, and his continued compliance with all of the terms and conditions of this Agreement, and particularly the restrictive covenants contained in Section 13, and the Surviving Agreements (as defined below), UEI will provide Executive with the following:</w:t>
      </w:r>
    </w:p>
    <w:p>
      <w:pPr>
        <w:spacing w:after="0" w:line="186" w:lineRule="exact"/>
        <w:rPr>
          <w:rFonts w:ascii="Arial" w:cs="Arial" w:eastAsia="Arial" w:hAnsi="Arial"/>
          <w:sz w:val="18"/>
          <w:szCs w:val="18"/>
          <w:color w:val="auto"/>
        </w:rPr>
      </w:pPr>
    </w:p>
    <w:p>
      <w:pPr>
        <w:jc w:val="both"/>
        <w:ind w:left="100" w:firstLine="653"/>
        <w:spacing w:after="0" w:line="311" w:lineRule="auto"/>
        <w:tabs>
          <w:tab w:leader="none" w:pos="1566" w:val="left"/>
        </w:tabs>
        <w:numPr>
          <w:ilvl w:val="1"/>
          <w:numId w:val="37"/>
        </w:numPr>
        <w:rPr>
          <w:rFonts w:ascii="Arial" w:cs="Arial" w:eastAsia="Arial" w:hAnsi="Arial"/>
          <w:sz w:val="18"/>
          <w:szCs w:val="18"/>
          <w:color w:val="auto"/>
        </w:rPr>
      </w:pPr>
      <w:r>
        <w:rPr>
          <w:rFonts w:ascii="Arial" w:cs="Arial" w:eastAsia="Arial" w:hAnsi="Arial"/>
          <w:sz w:val="18"/>
          <w:szCs w:val="18"/>
          <w:color w:val="auto"/>
        </w:rPr>
        <w:t>From the Effective Date through the end of business (Arizona time) on January 31, 2019, Executive will continue to receive pay at the per annum rate of Executive’s current base salary, minus applicable deductions and withholdings, to be paid in accordance with UEI’s standard payroll practices and procedures.</w:t>
      </w:r>
    </w:p>
    <w:p>
      <w:pPr>
        <w:spacing w:after="0" w:line="181" w:lineRule="exact"/>
        <w:rPr>
          <w:rFonts w:ascii="Arial" w:cs="Arial" w:eastAsia="Arial" w:hAnsi="Arial"/>
          <w:sz w:val="18"/>
          <w:szCs w:val="18"/>
          <w:color w:val="auto"/>
        </w:rPr>
      </w:pPr>
    </w:p>
    <w:p>
      <w:pPr>
        <w:jc w:val="both"/>
        <w:ind w:left="100" w:firstLine="653"/>
        <w:spacing w:after="0" w:line="336" w:lineRule="auto"/>
        <w:tabs>
          <w:tab w:leader="none" w:pos="1616" w:val="left"/>
        </w:tabs>
        <w:numPr>
          <w:ilvl w:val="1"/>
          <w:numId w:val="37"/>
        </w:numPr>
        <w:rPr>
          <w:rFonts w:ascii="Arial" w:cs="Arial" w:eastAsia="Arial" w:hAnsi="Arial"/>
          <w:sz w:val="17"/>
          <w:szCs w:val="17"/>
          <w:color w:val="auto"/>
        </w:rPr>
      </w:pPr>
      <w:r>
        <w:rPr>
          <w:rFonts w:ascii="Arial" w:cs="Arial" w:eastAsia="Arial" w:hAnsi="Arial"/>
          <w:sz w:val="17"/>
          <w:szCs w:val="17"/>
          <w:color w:val="auto"/>
        </w:rPr>
        <w:t>Commencing on February 1, 2019 and continuing until the end of business (Arizona time) on the Term End Date, Executive shall receive compensation at the per annum rate of Five Hundred Thousand Dollars ($500,000), minus applicable deductions and withholdings, to be paid biweekly in accordance with UEI’s standard payroll practices, policies and procedures.</w:t>
      </w:r>
    </w:p>
    <w:p>
      <w:pPr>
        <w:spacing w:after="0" w:line="164" w:lineRule="exact"/>
        <w:rPr>
          <w:rFonts w:ascii="Arial" w:cs="Arial" w:eastAsia="Arial" w:hAnsi="Arial"/>
          <w:sz w:val="17"/>
          <w:szCs w:val="17"/>
          <w:color w:val="auto"/>
        </w:rPr>
      </w:pPr>
    </w:p>
    <w:p>
      <w:pPr>
        <w:jc w:val="both"/>
        <w:ind w:left="100" w:firstLine="653"/>
        <w:spacing w:after="0" w:line="311" w:lineRule="auto"/>
        <w:tabs>
          <w:tab w:leader="none" w:pos="1666"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Executive shall continue vesting in all Equity Awards, as set forth in Section 4 hereof, in accordance with the terms and conditions of such awards and the Universal Electronics Inc. 2014 Stock Incentive Plan (the “Plan”), with all such Equity Awards fully vesting on the Term End Date except as otherwise provided herein.</w:t>
      </w:r>
    </w:p>
    <w:p>
      <w:pPr>
        <w:spacing w:after="0" w:line="18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20"/>
          </w:cols>
          <w:pgMar w:left="1440" w:top="868" w:right="239" w:bottom="1440" w:gutter="0" w:footer="0" w:header="0"/>
        </w:sectPr>
      </w:pPr>
    </w:p>
    <w:bookmarkStart w:id="91" w:name="page92"/>
    <w:bookmarkEnd w:id="91"/>
    <w:p>
      <w:pPr>
        <w:jc w:val="both"/>
        <w:ind w:left="1300" w:firstLine="653"/>
        <w:spacing w:after="0" w:line="322" w:lineRule="auto"/>
        <w:tabs>
          <w:tab w:leader="none" w:pos="2856" w:val="left"/>
        </w:tabs>
        <w:numPr>
          <w:ilvl w:val="2"/>
          <w:numId w:val="38"/>
        </w:numPr>
        <w:rPr>
          <w:rFonts w:ascii="Arial" w:cs="Arial" w:eastAsia="Arial" w:hAnsi="Arial"/>
          <w:sz w:val="17"/>
          <w:szCs w:val="17"/>
          <w:color w:val="auto"/>
        </w:rPr>
      </w:pPr>
      <w:r>
        <w:rPr>
          <w:rFonts w:ascii="Arial" w:cs="Arial" w:eastAsia="Arial" w:hAnsi="Arial"/>
          <w:sz w:val="17"/>
          <w:szCs w:val="17"/>
          <w:color w:val="auto"/>
        </w:rPr>
        <w:t>From the Effective Date through January 31, 2019, Executive and his eligible dependents will continue receiving all UEI employee benefits that were in place and provided to him immediately prior to the Effective Date, including without limitation life, health and disability insurances, and participation in UEI’s 401k plan and the 2018 bonus plan ratified and approved by the Board of Directors at its meeting held on February 7-8, 2018, subject in each case to the terms of this Agreement and the applicable plan documents. Executive further acknowledges and agrees that, except for the possible payment of a bonus in accordance with the 2018 bonus plan as referenced in this subsection, he shall not receive any other bonuses, stock options, restricted stock grants or issuances, or other awards, compensation, benefits, or interests that are not explicitly provided for in this Agreement.</w:t>
      </w:r>
    </w:p>
    <w:p>
      <w:pPr>
        <w:spacing w:after="0" w:line="176" w:lineRule="exact"/>
        <w:rPr>
          <w:rFonts w:ascii="Arial" w:cs="Arial" w:eastAsia="Arial" w:hAnsi="Arial"/>
          <w:sz w:val="17"/>
          <w:szCs w:val="17"/>
          <w:color w:val="auto"/>
        </w:rPr>
      </w:pPr>
    </w:p>
    <w:p>
      <w:pPr>
        <w:jc w:val="both"/>
        <w:ind w:left="660" w:firstLine="645"/>
        <w:spacing w:after="0" w:line="311" w:lineRule="auto"/>
        <w:tabs>
          <w:tab w:leader="none" w:pos="215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As a material term hereunder, Executive agrees that within twenty-one (21) days after the Separation Date, Executive will execute (and then will not timely revoke) the Post-Employment Agreement &amp; Release attached hereto as Exhibit 1 (“Post-Employment Release”) in accordance with its terms.</w:t>
      </w:r>
    </w:p>
    <w:p>
      <w:pPr>
        <w:spacing w:after="0" w:line="154" w:lineRule="exact"/>
        <w:rPr>
          <w:rFonts w:ascii="Arial" w:cs="Arial" w:eastAsia="Arial" w:hAnsi="Arial"/>
          <w:sz w:val="18"/>
          <w:szCs w:val="18"/>
          <w:color w:val="auto"/>
        </w:rPr>
      </w:pPr>
    </w:p>
    <w:p>
      <w:pPr>
        <w:jc w:val="both"/>
        <w:ind w:left="660" w:firstLine="645"/>
        <w:spacing w:after="0" w:line="270" w:lineRule="auto"/>
        <w:tabs>
          <w:tab w:leader="none" w:pos="1745" w:val="left"/>
        </w:tabs>
        <w:numPr>
          <w:ilvl w:val="1"/>
          <w:numId w:val="39"/>
        </w:numPr>
        <w:rPr>
          <w:rFonts w:ascii="Arial" w:cs="Arial" w:eastAsia="Arial" w:hAnsi="Arial"/>
          <w:sz w:val="17"/>
          <w:szCs w:val="17"/>
          <w:color w:val="auto"/>
        </w:rPr>
      </w:pPr>
      <w:r>
        <w:rPr>
          <w:rFonts w:ascii="Arial" w:cs="Arial" w:eastAsia="Arial" w:hAnsi="Arial"/>
          <w:sz w:val="17"/>
          <w:szCs w:val="17"/>
          <w:color w:val="auto"/>
        </w:rPr>
        <w:t>Notwithstanding anything contained in this Agreement to the contrary, at any time prior to the Term End Date, (i) Executive may voluntarily resign his employment with UEI, or (ii) UEI may terminate Executive for Cause, in each case subject to the terms and conditions of the Award Agreements. If Executive’s employment is terminated for either of the reasons set forth in this Section 1(f), then (A) Executive shall not be entitled to any additional or continued pay or consideration under this Section 1 of this Agreement after the date of such termination except any earned but unpaid salary set forth is Section 1(d)(ii) through the Separation Date, payment for accrued but unused vacation determined in accordance with UEI’s policies and procedures, and reimbursement for any outstanding business expenses as set forth in Section 7, (B) Sections 1(a)-1(e) of this Agreement shall be null and void and of no further force or effect, and (C) the parties’ remaining obligations under this Agreement shall remain in full force and effect. Employee’s last date of employment, whether at the Term End Date or at such earlier time as provided in this Section 1(f), shall be the “Separation Date.”</w:t>
      </w:r>
    </w:p>
    <w:p>
      <w:pPr>
        <w:spacing w:after="0" w:line="204" w:lineRule="exact"/>
        <w:rPr>
          <w:rFonts w:ascii="Arial" w:cs="Arial" w:eastAsia="Arial" w:hAnsi="Arial"/>
          <w:sz w:val="17"/>
          <w:szCs w:val="17"/>
          <w:color w:val="auto"/>
        </w:rPr>
      </w:pPr>
    </w:p>
    <w:p>
      <w:pPr>
        <w:ind w:firstLine="656"/>
        <w:spacing w:after="0" w:line="329" w:lineRule="auto"/>
        <w:tabs>
          <w:tab w:leader="none" w:pos="1431"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AS AN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on the Separation Date, Executive’s employment with UEI shall be terminated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action by UEI or Executive. On such date, Executive shall be deemed to have resigned from all offices and positions with UEI.</w:t>
      </w:r>
    </w:p>
    <w:p>
      <w:pPr>
        <w:spacing w:after="0" w:line="161" w:lineRule="exact"/>
        <w:rPr>
          <w:rFonts w:ascii="Arial" w:cs="Arial" w:eastAsia="Arial" w:hAnsi="Arial"/>
          <w:sz w:val="18"/>
          <w:szCs w:val="18"/>
          <w:color w:val="auto"/>
        </w:rPr>
      </w:pPr>
    </w:p>
    <w:p>
      <w:pPr>
        <w:jc w:val="both"/>
        <w:ind w:firstLine="656"/>
        <w:spacing w:after="0" w:line="303" w:lineRule="auto"/>
        <w:tabs>
          <w:tab w:leader="none" w:pos="1431"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ON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On or around the Separation Date, UEI will provide Executive with his final compensation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as set forth in Section 1(d)(ii), minus applicable deductions and withholdings, in accordance with its payroll practices and procedures, payment for any accrued but unused vacation determined in accordance with UEI’s policies and procedures, and payment for any outstanding business expenses as set forth in Section 7. Executive acknowledges and agrees that such payments, along with the other payments and consideration provided herein, represent all compensation, salary, bonuses, commissions, grants, awards, or other payments, benefits, interests, or compensation of any kind to which Executive is or may become entitled.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084" w:right="239" w:bottom="1440" w:gutter="0" w:footer="0" w:header="0"/>
        </w:sectPr>
      </w:pPr>
    </w:p>
    <w:bookmarkStart w:id="92" w:name="page93"/>
    <w:bookmarkEnd w:id="92"/>
    <w:p>
      <w:pPr>
        <w:jc w:val="both"/>
        <w:ind w:right="20" w:firstLine="656"/>
        <w:spacing w:after="0" w:line="344" w:lineRule="auto"/>
        <w:tabs>
          <w:tab w:leader="none" w:pos="1431" w:val="left"/>
        </w:tabs>
        <w:numPr>
          <w:ilvl w:val="0"/>
          <w:numId w:val="41"/>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OPTIONS AND OTHER STOCK AWARDS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agrees that as of the Effective Date, all currently existing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stock options and other stock awards granted to Executive and/or to which Executive is entitled are as listed below (collectively, the “Equity Awards”). Executive acknowledges, represents, warrants and agrees that (i) this Section 4 accurately lists all stock options and other stock awards granted to Executive which are currently existing and outstanding, and which have not either expired or been fully exercised, (ii) there are no other stock options or other stock awards which have been granted to Executive and which have not either expired or been fully exercised, (iii) except as otherwise set forth herein, Executive has not exercised any of the stock options as listed herein, (iv) no other stock options, stock awards, or any other stock-based compensation have been promised to Executive, and (v) Executive is not entitled to any other stock options, stock awards, or stock-based compensation other than as listed below, nor shall he be entitled to any other stock options, stock awards, or stock-based compensation during the term of this Agreement or thereafter.</w:t>
      </w:r>
    </w:p>
    <w:p>
      <w:pPr>
        <w:spacing w:after="0" w:line="163" w:lineRule="exact"/>
        <w:rPr>
          <w:rFonts w:ascii="Arial" w:cs="Arial" w:eastAsia="Arial" w:hAnsi="Arial"/>
          <w:sz w:val="16"/>
          <w:szCs w:val="16"/>
          <w:color w:val="auto"/>
        </w:rPr>
      </w:pPr>
    </w:p>
    <w:p>
      <w:pPr>
        <w:ind w:left="2160" w:hanging="855"/>
        <w:spacing w:after="0"/>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36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080" w:type="dxa"/>
            <w:vAlign w:val="bottom"/>
            <w:tcBorders>
              <w:top w:val="single" w:sz="8" w:color="auto"/>
              <w:left w:val="single" w:sz="8" w:color="auto"/>
            </w:tcBorders>
            <w:shd w:val="clear" w:color="auto" w:fill="B4C6E7"/>
          </w:tcPr>
          <w:p>
            <w:pPr>
              <w:spacing w:after="0"/>
              <w:rPr>
                <w:sz w:val="20"/>
                <w:szCs w:val="20"/>
                <w:color w:val="auto"/>
              </w:rPr>
            </w:pPr>
          </w:p>
        </w:tc>
        <w:tc>
          <w:tcPr>
            <w:tcW w:w="580" w:type="dxa"/>
            <w:vAlign w:val="bottom"/>
            <w:tcBorders>
              <w:top w:val="single" w:sz="8" w:color="auto"/>
            </w:tcBorders>
            <w:shd w:val="clear" w:color="auto" w:fill="B4C6E7"/>
          </w:tcPr>
          <w:p>
            <w:pPr>
              <w:spacing w:after="0"/>
              <w:rPr>
                <w:sz w:val="20"/>
                <w:szCs w:val="20"/>
                <w:color w:val="auto"/>
              </w:rPr>
            </w:pPr>
          </w:p>
        </w:tc>
        <w:tc>
          <w:tcPr>
            <w:tcW w:w="1520" w:type="dxa"/>
            <w:vAlign w:val="bottom"/>
            <w:tcBorders>
              <w:top w:val="single" w:sz="8" w:color="auto"/>
            </w:tcBorders>
            <w:shd w:val="clear" w:color="auto" w:fill="B4C6E7"/>
          </w:tcPr>
          <w:p>
            <w:pPr>
              <w:spacing w:after="0"/>
              <w:rPr>
                <w:sz w:val="20"/>
                <w:szCs w:val="20"/>
                <w:color w:val="auto"/>
              </w:rPr>
            </w:pPr>
          </w:p>
        </w:tc>
        <w:tc>
          <w:tcPr>
            <w:tcW w:w="1220" w:type="dxa"/>
            <w:vAlign w:val="bottom"/>
            <w:tcBorders>
              <w:top w:val="single" w:sz="8" w:color="auto"/>
            </w:tcBorders>
            <w:shd w:val="clear" w:color="auto" w:fill="B4C6E7"/>
          </w:tcPr>
          <w:p>
            <w:pPr>
              <w:spacing w:after="0"/>
              <w:rPr>
                <w:sz w:val="20"/>
                <w:szCs w:val="20"/>
                <w:color w:val="auto"/>
              </w:rPr>
            </w:pPr>
          </w:p>
        </w:tc>
        <w:tc>
          <w:tcPr>
            <w:tcW w:w="1260" w:type="dxa"/>
            <w:vAlign w:val="bottom"/>
            <w:tcBorders>
              <w:top w:val="single" w:sz="8" w:color="auto"/>
            </w:tcBorders>
            <w:shd w:val="clear" w:color="auto" w:fill="B4C6E7"/>
          </w:tcPr>
          <w:p>
            <w:pPr>
              <w:spacing w:after="0"/>
              <w:rPr>
                <w:sz w:val="20"/>
                <w:szCs w:val="20"/>
                <w:color w:val="auto"/>
              </w:rPr>
            </w:pPr>
          </w:p>
        </w:tc>
        <w:tc>
          <w:tcPr>
            <w:tcW w:w="1200" w:type="dxa"/>
            <w:vAlign w:val="bottom"/>
            <w:tcBorders>
              <w:top w:val="single" w:sz="8" w:color="auto"/>
            </w:tcBorders>
            <w:shd w:val="clear" w:color="auto" w:fill="B4C6E7"/>
          </w:tcPr>
          <w:p>
            <w:pPr>
              <w:spacing w:after="0"/>
              <w:rPr>
                <w:sz w:val="20"/>
                <w:szCs w:val="20"/>
                <w:color w:val="auto"/>
              </w:rPr>
            </w:pPr>
          </w:p>
        </w:tc>
        <w:tc>
          <w:tcPr>
            <w:tcW w:w="1600" w:type="dxa"/>
            <w:vAlign w:val="bottom"/>
            <w:tcBorders>
              <w:top w:val="single" w:sz="8" w:color="auto"/>
            </w:tcBorders>
            <w:shd w:val="clear" w:color="auto" w:fill="B4C6E7"/>
          </w:tcPr>
          <w:p>
            <w:pPr>
              <w:jc w:val="center"/>
              <w:ind w:left="50"/>
              <w:spacing w:after="0"/>
              <w:rPr>
                <w:sz w:val="20"/>
                <w:szCs w:val="20"/>
                <w:color w:val="auto"/>
              </w:rPr>
            </w:pPr>
            <w:r>
              <w:rPr>
                <w:rFonts w:ascii="Arial" w:cs="Arial" w:eastAsia="Arial" w:hAnsi="Arial"/>
                <w:sz w:val="18"/>
                <w:szCs w:val="18"/>
                <w:b w:val="1"/>
                <w:bCs w:val="1"/>
                <w:color w:val="auto"/>
                <w:w w:val="91"/>
              </w:rPr>
              <w:t>Total Options</w:t>
            </w:r>
          </w:p>
        </w:tc>
        <w:tc>
          <w:tcPr>
            <w:tcW w:w="1520" w:type="dxa"/>
            <w:vAlign w:val="bottom"/>
            <w:tcBorders>
              <w:top w:val="single" w:sz="8" w:color="auto"/>
            </w:tcBorders>
            <w:shd w:val="clear" w:color="auto" w:fill="B4C6E7"/>
          </w:tcPr>
          <w:p>
            <w:pPr>
              <w:jc w:val="center"/>
              <w:spacing w:after="0"/>
              <w:rPr>
                <w:sz w:val="20"/>
                <w:szCs w:val="20"/>
                <w:color w:val="auto"/>
              </w:rPr>
            </w:pPr>
            <w:r>
              <w:rPr>
                <w:rFonts w:ascii="Arial" w:cs="Arial" w:eastAsia="Arial" w:hAnsi="Arial"/>
                <w:sz w:val="18"/>
                <w:szCs w:val="18"/>
                <w:b w:val="1"/>
                <w:bCs w:val="1"/>
                <w:color w:val="auto"/>
                <w:w w:val="87"/>
              </w:rPr>
              <w:t>Vested Options</w:t>
            </w:r>
          </w:p>
        </w:tc>
        <w:tc>
          <w:tcPr>
            <w:tcW w:w="1460" w:type="dxa"/>
            <w:vAlign w:val="bottom"/>
            <w:tcBorders>
              <w:top w:val="single" w:sz="8" w:color="auto"/>
              <w:right w:val="single" w:sz="8" w:color="auto"/>
            </w:tcBorders>
            <w:shd w:val="clear" w:color="auto" w:fill="B4C6E7"/>
          </w:tcPr>
          <w:p>
            <w:pPr>
              <w:spacing w:after="0"/>
              <w:rPr>
                <w:sz w:val="20"/>
                <w:szCs w:val="20"/>
                <w:color w:val="auto"/>
              </w:rPr>
            </w:pPr>
          </w:p>
        </w:tc>
      </w:tr>
      <w:tr>
        <w:trPr>
          <w:trHeight w:val="216"/>
        </w:trPr>
        <w:tc>
          <w:tcPr>
            <w:tcW w:w="1080" w:type="dxa"/>
            <w:vAlign w:val="bottom"/>
            <w:tcBorders>
              <w:left w:val="single" w:sz="8" w:color="auto"/>
            </w:tcBorders>
            <w:shd w:val="clear" w:color="auto" w:fill="B4C6E7"/>
          </w:tcPr>
          <w:p>
            <w:pPr>
              <w:spacing w:after="0"/>
              <w:rPr>
                <w:sz w:val="18"/>
                <w:szCs w:val="18"/>
                <w:color w:val="auto"/>
              </w:rPr>
            </w:pPr>
          </w:p>
        </w:tc>
        <w:tc>
          <w:tcPr>
            <w:tcW w:w="580" w:type="dxa"/>
            <w:vAlign w:val="bottom"/>
            <w:shd w:val="clear" w:color="auto" w:fill="B4C6E7"/>
          </w:tcPr>
          <w:p>
            <w:pPr>
              <w:spacing w:after="0"/>
              <w:rPr>
                <w:sz w:val="18"/>
                <w:szCs w:val="18"/>
                <w:color w:val="auto"/>
              </w:rPr>
            </w:pPr>
          </w:p>
        </w:tc>
        <w:tc>
          <w:tcPr>
            <w:tcW w:w="1520" w:type="dxa"/>
            <w:vAlign w:val="bottom"/>
            <w:shd w:val="clear" w:color="auto" w:fill="B4C6E7"/>
          </w:tcPr>
          <w:p>
            <w:pPr>
              <w:spacing w:after="0"/>
              <w:rPr>
                <w:sz w:val="18"/>
                <w:szCs w:val="18"/>
                <w:color w:val="auto"/>
              </w:rPr>
            </w:pPr>
          </w:p>
        </w:tc>
        <w:tc>
          <w:tcPr>
            <w:tcW w:w="1220" w:type="dxa"/>
            <w:vAlign w:val="bottom"/>
            <w:shd w:val="clear" w:color="auto" w:fill="B4C6E7"/>
          </w:tcPr>
          <w:p>
            <w:pPr>
              <w:spacing w:after="0"/>
              <w:rPr>
                <w:sz w:val="18"/>
                <w:szCs w:val="18"/>
                <w:color w:val="auto"/>
              </w:rPr>
            </w:pPr>
          </w:p>
        </w:tc>
        <w:tc>
          <w:tcPr>
            <w:tcW w:w="1260" w:type="dxa"/>
            <w:vAlign w:val="bottom"/>
            <w:shd w:val="clear" w:color="auto" w:fill="B4C6E7"/>
          </w:tcPr>
          <w:p>
            <w:pPr>
              <w:spacing w:after="0"/>
              <w:rPr>
                <w:sz w:val="18"/>
                <w:szCs w:val="18"/>
                <w:color w:val="auto"/>
              </w:rPr>
            </w:pPr>
          </w:p>
        </w:tc>
        <w:tc>
          <w:tcPr>
            <w:tcW w:w="1200" w:type="dxa"/>
            <w:vAlign w:val="bottom"/>
            <w:shd w:val="clear" w:color="auto" w:fill="B4C6E7"/>
          </w:tcPr>
          <w:p>
            <w:pPr>
              <w:spacing w:after="0"/>
              <w:rPr>
                <w:sz w:val="18"/>
                <w:szCs w:val="18"/>
                <w:color w:val="auto"/>
              </w:rPr>
            </w:pPr>
          </w:p>
        </w:tc>
        <w:tc>
          <w:tcPr>
            <w:tcW w:w="1600" w:type="dxa"/>
            <w:vAlign w:val="bottom"/>
            <w:shd w:val="clear" w:color="auto" w:fill="B4C6E7"/>
          </w:tcPr>
          <w:p>
            <w:pPr>
              <w:jc w:val="center"/>
              <w:ind w:left="70"/>
              <w:spacing w:after="0"/>
              <w:rPr>
                <w:sz w:val="20"/>
                <w:szCs w:val="20"/>
                <w:color w:val="auto"/>
              </w:rPr>
            </w:pPr>
            <w:r>
              <w:rPr>
                <w:rFonts w:ascii="Arial" w:cs="Arial" w:eastAsia="Arial" w:hAnsi="Arial"/>
                <w:sz w:val="18"/>
                <w:szCs w:val="18"/>
                <w:b w:val="1"/>
                <w:bCs w:val="1"/>
                <w:color w:val="auto"/>
                <w:w w:val="90"/>
              </w:rPr>
              <w:t>Outstanding</w:t>
            </w:r>
          </w:p>
        </w:tc>
        <w:tc>
          <w:tcPr>
            <w:tcW w:w="1520" w:type="dxa"/>
            <w:vAlign w:val="bottom"/>
            <w:shd w:val="clear" w:color="auto" w:fill="B4C6E7"/>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460" w:type="dxa"/>
            <w:vAlign w:val="bottom"/>
            <w:tcBorders>
              <w:right w:val="single" w:sz="8" w:color="auto"/>
            </w:tcBorders>
            <w:shd w:val="clear" w:color="auto" w:fill="B4C6E7"/>
          </w:tcPr>
          <w:p>
            <w:pPr>
              <w:spacing w:after="0"/>
              <w:rPr>
                <w:sz w:val="18"/>
                <w:szCs w:val="18"/>
                <w:color w:val="auto"/>
              </w:rPr>
            </w:pPr>
          </w:p>
        </w:tc>
      </w:tr>
      <w:tr>
        <w:trPr>
          <w:trHeight w:val="216"/>
        </w:trPr>
        <w:tc>
          <w:tcPr>
            <w:tcW w:w="1080" w:type="dxa"/>
            <w:vAlign w:val="bottom"/>
            <w:tcBorders>
              <w:left w:val="single" w:sz="8" w:color="auto"/>
            </w:tcBorders>
            <w:shd w:val="clear" w:color="auto" w:fill="B4C6E7"/>
          </w:tcPr>
          <w:p>
            <w:pPr>
              <w:jc w:val="center"/>
              <w:spacing w:after="0"/>
              <w:rPr>
                <w:sz w:val="20"/>
                <w:szCs w:val="20"/>
                <w:color w:val="auto"/>
              </w:rPr>
            </w:pPr>
            <w:r>
              <w:rPr>
                <w:rFonts w:ascii="Arial" w:cs="Arial" w:eastAsia="Arial" w:hAnsi="Arial"/>
                <w:sz w:val="18"/>
                <w:szCs w:val="18"/>
                <w:b w:val="1"/>
                <w:bCs w:val="1"/>
                <w:color w:val="auto"/>
                <w:w w:val="93"/>
              </w:rPr>
              <w:t>Certificate</w:t>
            </w:r>
          </w:p>
        </w:tc>
        <w:tc>
          <w:tcPr>
            <w:tcW w:w="580" w:type="dxa"/>
            <w:vAlign w:val="bottom"/>
            <w:shd w:val="clear" w:color="auto" w:fill="B4C6E7"/>
          </w:tcPr>
          <w:p>
            <w:pPr>
              <w:spacing w:after="0"/>
              <w:rPr>
                <w:sz w:val="18"/>
                <w:szCs w:val="18"/>
                <w:color w:val="auto"/>
              </w:rPr>
            </w:pPr>
          </w:p>
        </w:tc>
        <w:tc>
          <w:tcPr>
            <w:tcW w:w="1520" w:type="dxa"/>
            <w:vAlign w:val="bottom"/>
            <w:shd w:val="clear" w:color="auto" w:fill="B4C6E7"/>
          </w:tcPr>
          <w:p>
            <w:pPr>
              <w:ind w:left="340"/>
              <w:spacing w:after="0"/>
              <w:rPr>
                <w:sz w:val="20"/>
                <w:szCs w:val="20"/>
                <w:color w:val="auto"/>
              </w:rPr>
            </w:pPr>
            <w:r>
              <w:rPr>
                <w:rFonts w:ascii="Arial" w:cs="Arial" w:eastAsia="Arial" w:hAnsi="Arial"/>
                <w:sz w:val="18"/>
                <w:szCs w:val="18"/>
                <w:b w:val="1"/>
                <w:bCs w:val="1"/>
                <w:color w:val="auto"/>
              </w:rPr>
              <w:t>OPTIONEE</w:t>
            </w:r>
          </w:p>
        </w:tc>
        <w:tc>
          <w:tcPr>
            <w:tcW w:w="1220" w:type="dxa"/>
            <w:vAlign w:val="bottom"/>
            <w:shd w:val="clear" w:color="auto" w:fill="B4C6E7"/>
          </w:tcPr>
          <w:p>
            <w:pPr>
              <w:spacing w:after="0"/>
              <w:rPr>
                <w:sz w:val="18"/>
                <w:szCs w:val="18"/>
                <w:color w:val="auto"/>
              </w:rPr>
            </w:pPr>
          </w:p>
        </w:tc>
        <w:tc>
          <w:tcPr>
            <w:tcW w:w="1260" w:type="dxa"/>
            <w:vAlign w:val="bottom"/>
            <w:shd w:val="clear" w:color="auto" w:fill="B4C6E7"/>
          </w:tcPr>
          <w:p>
            <w:pPr>
              <w:spacing w:after="0"/>
              <w:rPr>
                <w:sz w:val="18"/>
                <w:szCs w:val="18"/>
                <w:color w:val="auto"/>
              </w:rPr>
            </w:pPr>
          </w:p>
        </w:tc>
        <w:tc>
          <w:tcPr>
            <w:tcW w:w="1200" w:type="dxa"/>
            <w:vAlign w:val="bottom"/>
            <w:shd w:val="clear" w:color="auto" w:fill="B4C6E7"/>
          </w:tcPr>
          <w:p>
            <w:pPr>
              <w:jc w:val="right"/>
              <w:ind w:right="110"/>
              <w:spacing w:after="0"/>
              <w:rPr>
                <w:sz w:val="20"/>
                <w:szCs w:val="20"/>
                <w:color w:val="auto"/>
              </w:rPr>
            </w:pPr>
            <w:r>
              <w:rPr>
                <w:rFonts w:ascii="Arial" w:cs="Arial" w:eastAsia="Arial" w:hAnsi="Arial"/>
                <w:sz w:val="18"/>
                <w:szCs w:val="18"/>
                <w:b w:val="1"/>
                <w:bCs w:val="1"/>
                <w:color w:val="auto"/>
              </w:rPr>
              <w:t>Options</w:t>
            </w:r>
          </w:p>
        </w:tc>
        <w:tc>
          <w:tcPr>
            <w:tcW w:w="1600" w:type="dxa"/>
            <w:vAlign w:val="bottom"/>
            <w:shd w:val="clear" w:color="auto" w:fill="B4C6E7"/>
          </w:tcPr>
          <w:p>
            <w:pPr>
              <w:jc w:val="center"/>
              <w:ind w:left="70"/>
              <w:spacing w:after="0"/>
              <w:rPr>
                <w:sz w:val="20"/>
                <w:szCs w:val="20"/>
                <w:color w:val="auto"/>
              </w:rPr>
            </w:pPr>
            <w:r>
              <w:rPr>
                <w:rFonts w:ascii="Arial" w:cs="Arial" w:eastAsia="Arial" w:hAnsi="Arial"/>
                <w:sz w:val="18"/>
                <w:szCs w:val="18"/>
                <w:b w:val="1"/>
                <w:bCs w:val="1"/>
                <w:color w:val="auto"/>
                <w:w w:val="88"/>
              </w:rPr>
              <w:t>as of the Effective</w:t>
            </w:r>
          </w:p>
        </w:tc>
        <w:tc>
          <w:tcPr>
            <w:tcW w:w="1520" w:type="dxa"/>
            <w:vAlign w:val="bottom"/>
            <w:shd w:val="clear" w:color="auto" w:fill="B4C6E7"/>
          </w:tcPr>
          <w:p>
            <w:pPr>
              <w:jc w:val="center"/>
              <w:spacing w:after="0"/>
              <w:rPr>
                <w:sz w:val="20"/>
                <w:szCs w:val="20"/>
                <w:color w:val="auto"/>
              </w:rPr>
            </w:pPr>
            <w:r>
              <w:rPr>
                <w:rFonts w:ascii="Arial" w:cs="Arial" w:eastAsia="Arial" w:hAnsi="Arial"/>
                <w:sz w:val="18"/>
                <w:szCs w:val="18"/>
                <w:b w:val="1"/>
                <w:bCs w:val="1"/>
                <w:color w:val="auto"/>
                <w:w w:val="89"/>
              </w:rPr>
              <w:t>as of the Effective</w:t>
            </w:r>
          </w:p>
        </w:tc>
        <w:tc>
          <w:tcPr>
            <w:tcW w:w="1460" w:type="dxa"/>
            <w:vAlign w:val="bottom"/>
            <w:tcBorders>
              <w:right w:val="single" w:sz="8" w:color="auto"/>
            </w:tcBorders>
            <w:shd w:val="clear" w:color="auto" w:fill="B4C6E7"/>
          </w:tcPr>
          <w:p>
            <w:pPr>
              <w:spacing w:after="0"/>
              <w:rPr>
                <w:sz w:val="18"/>
                <w:szCs w:val="18"/>
                <w:color w:val="auto"/>
              </w:rPr>
            </w:pPr>
          </w:p>
        </w:tc>
      </w:tr>
      <w:tr>
        <w:trPr>
          <w:trHeight w:val="266"/>
        </w:trPr>
        <w:tc>
          <w:tcPr>
            <w:tcW w:w="1080" w:type="dxa"/>
            <w:vAlign w:val="bottom"/>
            <w:tcBorders>
              <w:left w:val="single" w:sz="8" w:color="auto"/>
              <w:bottom w:val="single" w:sz="8" w:color="B4C6E7"/>
            </w:tcBorders>
            <w:shd w:val="clear" w:color="auto" w:fill="B4C6E7"/>
          </w:tcPr>
          <w:p>
            <w:pPr>
              <w:jc w:val="center"/>
              <w:spacing w:after="0"/>
              <w:rPr>
                <w:sz w:val="20"/>
                <w:szCs w:val="20"/>
                <w:color w:val="auto"/>
              </w:rPr>
            </w:pPr>
            <w:r>
              <w:rPr>
                <w:rFonts w:ascii="Arial" w:cs="Arial" w:eastAsia="Arial" w:hAnsi="Arial"/>
                <w:sz w:val="18"/>
                <w:szCs w:val="18"/>
                <w:b w:val="1"/>
                <w:bCs w:val="1"/>
                <w:color w:val="auto"/>
                <w:w w:val="89"/>
              </w:rPr>
              <w:t>No.</w:t>
            </w:r>
          </w:p>
        </w:tc>
        <w:tc>
          <w:tcPr>
            <w:tcW w:w="580" w:type="dxa"/>
            <w:vAlign w:val="bottom"/>
            <w:tcBorders>
              <w:bottom w:val="single" w:sz="8" w:color="B4C6E7"/>
            </w:tcBorders>
            <w:shd w:val="clear" w:color="auto" w:fill="B4C6E7"/>
          </w:tcPr>
          <w:p>
            <w:pPr>
              <w:ind w:left="140"/>
              <w:spacing w:after="0"/>
              <w:rPr>
                <w:sz w:val="20"/>
                <w:szCs w:val="20"/>
                <w:color w:val="auto"/>
              </w:rPr>
            </w:pPr>
            <w:r>
              <w:rPr>
                <w:rFonts w:ascii="Arial" w:cs="Arial" w:eastAsia="Arial" w:hAnsi="Arial"/>
                <w:sz w:val="18"/>
                <w:szCs w:val="18"/>
                <w:b w:val="1"/>
                <w:bCs w:val="1"/>
                <w:color w:val="auto"/>
              </w:rPr>
              <w:t>Plan</w:t>
            </w:r>
          </w:p>
        </w:tc>
        <w:tc>
          <w:tcPr>
            <w:tcW w:w="1520" w:type="dxa"/>
            <w:vAlign w:val="bottom"/>
            <w:tcBorders>
              <w:bottom w:val="single" w:sz="8" w:color="B4C6E7"/>
            </w:tcBorders>
            <w:shd w:val="clear" w:color="auto" w:fill="B4C6E7"/>
          </w:tcPr>
          <w:p>
            <w:pPr>
              <w:ind w:left="540"/>
              <w:spacing w:after="0"/>
              <w:rPr>
                <w:sz w:val="20"/>
                <w:szCs w:val="20"/>
                <w:color w:val="auto"/>
              </w:rPr>
            </w:pPr>
            <w:r>
              <w:rPr>
                <w:rFonts w:ascii="Arial" w:cs="Arial" w:eastAsia="Arial" w:hAnsi="Arial"/>
                <w:sz w:val="18"/>
                <w:szCs w:val="18"/>
                <w:b w:val="1"/>
                <w:bCs w:val="1"/>
                <w:color w:val="auto"/>
              </w:rPr>
              <w:t>NAME</w:t>
            </w:r>
          </w:p>
        </w:tc>
        <w:tc>
          <w:tcPr>
            <w:tcW w:w="1220" w:type="dxa"/>
            <w:vAlign w:val="bottom"/>
            <w:tcBorders>
              <w:bottom w:val="single" w:sz="8" w:color="B4C6E7"/>
            </w:tcBorders>
            <w:shd w:val="clear" w:color="auto" w:fill="B4C6E7"/>
          </w:tcPr>
          <w:p>
            <w:pPr>
              <w:ind w:left="240"/>
              <w:spacing w:after="0"/>
              <w:rPr>
                <w:sz w:val="20"/>
                <w:szCs w:val="20"/>
                <w:color w:val="auto"/>
              </w:rPr>
            </w:pPr>
            <w:r>
              <w:rPr>
                <w:rFonts w:ascii="Arial" w:cs="Arial" w:eastAsia="Arial" w:hAnsi="Arial"/>
                <w:sz w:val="18"/>
                <w:szCs w:val="18"/>
                <w:b w:val="1"/>
                <w:bCs w:val="1"/>
                <w:color w:val="auto"/>
              </w:rPr>
              <w:t>Grant Date</w:t>
            </w:r>
          </w:p>
        </w:tc>
        <w:tc>
          <w:tcPr>
            <w:tcW w:w="1260" w:type="dxa"/>
            <w:vAlign w:val="bottom"/>
            <w:tcBorders>
              <w:bottom w:val="single" w:sz="8" w:color="B4C6E7"/>
            </w:tcBorders>
            <w:shd w:val="clear" w:color="auto" w:fill="B4C6E7"/>
          </w:tcPr>
          <w:p>
            <w:pPr>
              <w:jc w:val="right"/>
              <w:ind w:right="10"/>
              <w:spacing w:after="0"/>
              <w:rPr>
                <w:sz w:val="20"/>
                <w:szCs w:val="20"/>
                <w:color w:val="auto"/>
              </w:rPr>
            </w:pPr>
            <w:r>
              <w:rPr>
                <w:rFonts w:ascii="Arial" w:cs="Arial" w:eastAsia="Arial" w:hAnsi="Arial"/>
                <w:sz w:val="18"/>
                <w:szCs w:val="18"/>
                <w:b w:val="1"/>
                <w:bCs w:val="1"/>
                <w:color w:val="auto"/>
              </w:rPr>
              <w:t>Grant Price</w:t>
            </w:r>
          </w:p>
        </w:tc>
        <w:tc>
          <w:tcPr>
            <w:tcW w:w="1200" w:type="dxa"/>
            <w:vAlign w:val="bottom"/>
            <w:tcBorders>
              <w:bottom w:val="single" w:sz="8" w:color="B4C6E7"/>
            </w:tcBorders>
            <w:shd w:val="clear" w:color="auto" w:fill="B4C6E7"/>
          </w:tcPr>
          <w:p>
            <w:pPr>
              <w:jc w:val="right"/>
              <w:ind w:right="90"/>
              <w:spacing w:after="0"/>
              <w:rPr>
                <w:sz w:val="20"/>
                <w:szCs w:val="20"/>
                <w:color w:val="auto"/>
              </w:rPr>
            </w:pPr>
            <w:r>
              <w:rPr>
                <w:rFonts w:ascii="Arial" w:cs="Arial" w:eastAsia="Arial" w:hAnsi="Arial"/>
                <w:sz w:val="18"/>
                <w:szCs w:val="18"/>
                <w:b w:val="1"/>
                <w:bCs w:val="1"/>
                <w:color w:val="auto"/>
              </w:rPr>
              <w:t>Granted</w:t>
            </w:r>
          </w:p>
        </w:tc>
        <w:tc>
          <w:tcPr>
            <w:tcW w:w="1600" w:type="dxa"/>
            <w:vAlign w:val="bottom"/>
            <w:tcBorders>
              <w:bottom w:val="single" w:sz="8" w:color="B4C6E7"/>
            </w:tcBorders>
            <w:shd w:val="clear" w:color="auto" w:fill="B4C6E7"/>
          </w:tcPr>
          <w:p>
            <w:pPr>
              <w:jc w:val="center"/>
              <w:ind w:left="70"/>
              <w:spacing w:after="0"/>
              <w:rPr>
                <w:sz w:val="20"/>
                <w:szCs w:val="20"/>
                <w:color w:val="auto"/>
              </w:rPr>
            </w:pPr>
            <w:r>
              <w:rPr>
                <w:rFonts w:ascii="Arial" w:cs="Arial" w:eastAsia="Arial" w:hAnsi="Arial"/>
                <w:sz w:val="18"/>
                <w:szCs w:val="18"/>
                <w:b w:val="1"/>
                <w:bCs w:val="1"/>
                <w:color w:val="auto"/>
                <w:w w:val="92"/>
              </w:rPr>
              <w:t>Date</w:t>
            </w:r>
          </w:p>
        </w:tc>
        <w:tc>
          <w:tcPr>
            <w:tcW w:w="1520" w:type="dxa"/>
            <w:vAlign w:val="bottom"/>
            <w:tcBorders>
              <w:bottom w:val="single" w:sz="8" w:color="B4C6E7"/>
            </w:tcBorders>
            <w:shd w:val="clear" w:color="auto" w:fill="B4C6E7"/>
          </w:tcPr>
          <w:p>
            <w:pPr>
              <w:jc w:val="center"/>
              <w:spacing w:after="0"/>
              <w:rPr>
                <w:sz w:val="20"/>
                <w:szCs w:val="20"/>
                <w:color w:val="auto"/>
              </w:rPr>
            </w:pPr>
            <w:r>
              <w:rPr>
                <w:rFonts w:ascii="Arial" w:cs="Arial" w:eastAsia="Arial" w:hAnsi="Arial"/>
                <w:sz w:val="18"/>
                <w:szCs w:val="18"/>
                <w:b w:val="1"/>
                <w:bCs w:val="1"/>
                <w:color w:val="auto"/>
                <w:w w:val="92"/>
              </w:rPr>
              <w:t>Date</w:t>
            </w:r>
          </w:p>
        </w:tc>
        <w:tc>
          <w:tcPr>
            <w:tcW w:w="1460" w:type="dxa"/>
            <w:vAlign w:val="bottom"/>
            <w:tcBorders>
              <w:bottom w:val="single" w:sz="8" w:color="B4C6E7"/>
              <w:right w:val="single" w:sz="8" w:color="auto"/>
            </w:tcBorders>
            <w:shd w:val="clear" w:color="auto" w:fill="B4C6E7"/>
          </w:tcPr>
          <w:p>
            <w:pPr>
              <w:ind w:left="80"/>
              <w:spacing w:after="0"/>
              <w:rPr>
                <w:sz w:val="20"/>
                <w:szCs w:val="20"/>
                <w:color w:val="auto"/>
              </w:rPr>
            </w:pPr>
            <w:r>
              <w:rPr>
                <w:rFonts w:ascii="Arial" w:cs="Arial" w:eastAsia="Arial" w:hAnsi="Arial"/>
                <w:sz w:val="18"/>
                <w:szCs w:val="18"/>
                <w:b w:val="1"/>
                <w:bCs w:val="1"/>
                <w:color w:val="auto"/>
              </w:rPr>
              <w:t>Expiration Date</w:t>
            </w:r>
          </w:p>
        </w:tc>
      </w:tr>
      <w:tr>
        <w:trPr>
          <w:trHeight w:val="237"/>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5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15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Hughes, Louis</w:t>
            </w:r>
          </w:p>
        </w:tc>
        <w:tc>
          <w:tcPr>
            <w:tcW w:w="122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92"/>
              </w:rPr>
              <w:t>2/12/2015</w:t>
            </w:r>
          </w:p>
        </w:tc>
        <w:tc>
          <w:tcPr>
            <w:tcW w:w="12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$65.5400</w:t>
            </w:r>
          </w:p>
        </w:tc>
        <w:tc>
          <w:tcPr>
            <w:tcW w:w="12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10,095</w:t>
            </w:r>
          </w:p>
        </w:tc>
        <w:tc>
          <w:tcPr>
            <w:tcW w:w="160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rPr>
              <w:t>10,095</w:t>
            </w:r>
          </w:p>
        </w:tc>
        <w:tc>
          <w:tcPr>
            <w:tcW w:w="1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10,095</w:t>
            </w: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2/12/2022</w:t>
            </w: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580" w:type="dxa"/>
            <w:vAlign w:val="bottom"/>
          </w:tcPr>
          <w:p>
            <w:pPr>
              <w:ind w:left="140"/>
              <w:spacing w:after="0"/>
              <w:rPr>
                <w:sz w:val="20"/>
                <w:szCs w:val="20"/>
                <w:color w:val="auto"/>
              </w:rPr>
            </w:pPr>
            <w:r>
              <w:rPr>
                <w:rFonts w:ascii="Arial" w:cs="Arial" w:eastAsia="Arial" w:hAnsi="Arial"/>
                <w:sz w:val="18"/>
                <w:szCs w:val="18"/>
                <w:color w:val="auto"/>
              </w:rPr>
              <w:t>2014</w:t>
            </w:r>
          </w:p>
        </w:tc>
        <w:tc>
          <w:tcPr>
            <w:tcW w:w="1520" w:type="dxa"/>
            <w:vAlign w:val="bottom"/>
          </w:tcPr>
          <w:p>
            <w:pPr>
              <w:ind w:left="100"/>
              <w:spacing w:after="0"/>
              <w:rPr>
                <w:sz w:val="20"/>
                <w:szCs w:val="20"/>
                <w:color w:val="auto"/>
              </w:rPr>
            </w:pPr>
            <w:r>
              <w:rPr>
                <w:rFonts w:ascii="Arial" w:cs="Arial" w:eastAsia="Arial" w:hAnsi="Arial"/>
                <w:sz w:val="18"/>
                <w:szCs w:val="18"/>
                <w:color w:val="auto"/>
              </w:rPr>
              <w:t>Hughes, Louis</w:t>
            </w: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1/1/2016</w:t>
            </w: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$51.3850</w:t>
            </w: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15,965</w:t>
            </w:r>
          </w:p>
        </w:tc>
        <w:tc>
          <w:tcPr>
            <w:tcW w:w="1600" w:type="dxa"/>
            <w:vAlign w:val="bottom"/>
          </w:tcPr>
          <w:p>
            <w:pPr>
              <w:jc w:val="right"/>
              <w:ind w:right="850"/>
              <w:spacing w:after="0"/>
              <w:rPr>
                <w:sz w:val="20"/>
                <w:szCs w:val="20"/>
                <w:color w:val="auto"/>
              </w:rPr>
            </w:pPr>
            <w:r>
              <w:rPr>
                <w:rFonts w:ascii="Arial" w:cs="Arial" w:eastAsia="Arial" w:hAnsi="Arial"/>
                <w:sz w:val="18"/>
                <w:szCs w:val="18"/>
                <w:color w:val="auto"/>
              </w:rPr>
              <w:t>15,965</w:t>
            </w:r>
          </w:p>
        </w:tc>
        <w:tc>
          <w:tcPr>
            <w:tcW w:w="1520" w:type="dxa"/>
            <w:vAlign w:val="bottom"/>
          </w:tcPr>
          <w:p>
            <w:pPr>
              <w:ind w:left="40"/>
              <w:spacing w:after="0"/>
              <w:rPr>
                <w:sz w:val="20"/>
                <w:szCs w:val="20"/>
                <w:color w:val="auto"/>
              </w:rPr>
            </w:pPr>
            <w:r>
              <w:rPr>
                <w:rFonts w:ascii="Arial" w:cs="Arial" w:eastAsia="Arial" w:hAnsi="Arial"/>
                <w:sz w:val="18"/>
                <w:szCs w:val="18"/>
                <w:color w:val="auto"/>
              </w:rPr>
              <w:t>14,635</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1/1/2023</w:t>
            </w: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580" w:type="dxa"/>
            <w:vAlign w:val="bottom"/>
          </w:tcPr>
          <w:p>
            <w:pPr>
              <w:ind w:left="140"/>
              <w:spacing w:after="0"/>
              <w:rPr>
                <w:sz w:val="20"/>
                <w:szCs w:val="20"/>
                <w:color w:val="auto"/>
              </w:rPr>
            </w:pPr>
            <w:r>
              <w:rPr>
                <w:rFonts w:ascii="Arial" w:cs="Arial" w:eastAsia="Arial" w:hAnsi="Arial"/>
                <w:sz w:val="18"/>
                <w:szCs w:val="18"/>
                <w:color w:val="auto"/>
              </w:rPr>
              <w:t>2014</w:t>
            </w:r>
          </w:p>
        </w:tc>
        <w:tc>
          <w:tcPr>
            <w:tcW w:w="1520" w:type="dxa"/>
            <w:vAlign w:val="bottom"/>
          </w:tcPr>
          <w:p>
            <w:pPr>
              <w:ind w:left="100"/>
              <w:spacing w:after="0"/>
              <w:rPr>
                <w:sz w:val="20"/>
                <w:szCs w:val="20"/>
                <w:color w:val="auto"/>
              </w:rPr>
            </w:pPr>
            <w:r>
              <w:rPr>
                <w:rFonts w:ascii="Arial" w:cs="Arial" w:eastAsia="Arial" w:hAnsi="Arial"/>
                <w:sz w:val="18"/>
                <w:szCs w:val="18"/>
                <w:color w:val="auto"/>
              </w:rPr>
              <w:t>Hughes, Louis</w:t>
            </w: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2/8/2017</w:t>
            </w: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$62.7000</w:t>
            </w: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15,300</w:t>
            </w:r>
          </w:p>
        </w:tc>
        <w:tc>
          <w:tcPr>
            <w:tcW w:w="1600" w:type="dxa"/>
            <w:vAlign w:val="bottom"/>
          </w:tcPr>
          <w:p>
            <w:pPr>
              <w:jc w:val="right"/>
              <w:ind w:right="850"/>
              <w:spacing w:after="0"/>
              <w:rPr>
                <w:sz w:val="20"/>
                <w:szCs w:val="20"/>
                <w:color w:val="auto"/>
              </w:rPr>
            </w:pPr>
            <w:r>
              <w:rPr>
                <w:rFonts w:ascii="Arial" w:cs="Arial" w:eastAsia="Arial" w:hAnsi="Arial"/>
                <w:sz w:val="18"/>
                <w:szCs w:val="18"/>
                <w:color w:val="auto"/>
              </w:rPr>
              <w:t>15,300</w:t>
            </w:r>
          </w:p>
        </w:tc>
        <w:tc>
          <w:tcPr>
            <w:tcW w:w="1520" w:type="dxa"/>
            <w:vAlign w:val="bottom"/>
          </w:tcPr>
          <w:p>
            <w:pPr>
              <w:ind w:left="40"/>
              <w:spacing w:after="0"/>
              <w:rPr>
                <w:sz w:val="20"/>
                <w:szCs w:val="20"/>
                <w:color w:val="auto"/>
              </w:rPr>
            </w:pPr>
            <w:r>
              <w:rPr>
                <w:rFonts w:ascii="Arial" w:cs="Arial" w:eastAsia="Arial" w:hAnsi="Arial"/>
                <w:sz w:val="18"/>
                <w:szCs w:val="18"/>
                <w:color w:val="auto"/>
              </w:rPr>
              <w:t>8,925</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2/8/2024</w:t>
            </w: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580" w:type="dxa"/>
            <w:vAlign w:val="bottom"/>
          </w:tcPr>
          <w:p>
            <w:pPr>
              <w:ind w:left="140"/>
              <w:spacing w:after="0"/>
              <w:rPr>
                <w:sz w:val="20"/>
                <w:szCs w:val="20"/>
                <w:color w:val="auto"/>
              </w:rPr>
            </w:pPr>
            <w:r>
              <w:rPr>
                <w:rFonts w:ascii="Arial" w:cs="Arial" w:eastAsia="Arial" w:hAnsi="Arial"/>
                <w:sz w:val="18"/>
                <w:szCs w:val="18"/>
                <w:color w:val="auto"/>
              </w:rPr>
              <w:t>2014</w:t>
            </w:r>
          </w:p>
        </w:tc>
        <w:tc>
          <w:tcPr>
            <w:tcW w:w="1520" w:type="dxa"/>
            <w:vAlign w:val="bottom"/>
          </w:tcPr>
          <w:p>
            <w:pPr>
              <w:ind w:left="100"/>
              <w:spacing w:after="0"/>
              <w:rPr>
                <w:sz w:val="20"/>
                <w:szCs w:val="20"/>
                <w:color w:val="auto"/>
              </w:rPr>
            </w:pPr>
            <w:r>
              <w:rPr>
                <w:rFonts w:ascii="Arial" w:cs="Arial" w:eastAsia="Arial" w:hAnsi="Arial"/>
                <w:sz w:val="18"/>
                <w:szCs w:val="18"/>
                <w:color w:val="auto"/>
              </w:rPr>
              <w:t>Hughes, Lou</w:t>
            </w: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1"/>
              </w:rPr>
              <w:t>2/8/2018</w:t>
            </w: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$44.9500</w:t>
            </w: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21,040</w:t>
            </w:r>
          </w:p>
        </w:tc>
        <w:tc>
          <w:tcPr>
            <w:tcW w:w="1600" w:type="dxa"/>
            <w:vAlign w:val="bottom"/>
          </w:tcPr>
          <w:p>
            <w:pPr>
              <w:jc w:val="right"/>
              <w:ind w:right="850"/>
              <w:spacing w:after="0"/>
              <w:rPr>
                <w:sz w:val="20"/>
                <w:szCs w:val="20"/>
                <w:color w:val="auto"/>
              </w:rPr>
            </w:pPr>
            <w:r>
              <w:rPr>
                <w:rFonts w:ascii="Arial" w:cs="Arial" w:eastAsia="Arial" w:hAnsi="Arial"/>
                <w:sz w:val="18"/>
                <w:szCs w:val="18"/>
                <w:color w:val="auto"/>
              </w:rPr>
              <w:t>21,040</w:t>
            </w:r>
          </w:p>
        </w:tc>
        <w:tc>
          <w:tcPr>
            <w:tcW w:w="152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2/8/2025</w:t>
            </w:r>
          </w:p>
        </w:tc>
      </w:tr>
    </w:tbl>
    <w:p>
      <w:pPr>
        <w:spacing w:after="0" w:line="22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So long as Executive remains employed through the Term End Date and otherwise satisfies the terms and conditions hereof and of the relevant Equity Awards and Plan document (as modified by subsection 4(c) of this Agreement), Executive will become fully vested in all of the outstanding and unexercised options listed above, all vested options (both previously vested and those that vest pursuant to the Equity Awards and Plan document) shall be exercisable through their respective expiration dates, and a new listing shall be provided to Executive as of the Separation Date depicting the options outstanding on that date.</w:t>
      </w:r>
    </w:p>
    <w:p>
      <w:pPr>
        <w:spacing w:after="0" w:line="206" w:lineRule="exact"/>
        <w:rPr>
          <w:sz w:val="20"/>
          <w:szCs w:val="20"/>
          <w:color w:val="auto"/>
        </w:rPr>
      </w:pPr>
    </w:p>
    <w:p>
      <w:pPr>
        <w:ind w:left="1720" w:hanging="415"/>
        <w:spacing w:after="0"/>
        <w:tabs>
          <w:tab w:leader="none" w:pos="1720" w:val="left"/>
        </w:tabs>
        <w:numPr>
          <w:ilvl w:val="0"/>
          <w:numId w:val="42"/>
        </w:numPr>
        <w:rPr>
          <w:rFonts w:ascii="Arial" w:cs="Arial" w:eastAsia="Arial" w:hAnsi="Arial"/>
          <w:sz w:val="22"/>
          <w:szCs w:val="22"/>
          <w:color w:val="auto"/>
        </w:rPr>
      </w:pPr>
      <w:r>
        <w:rPr>
          <w:rFonts w:ascii="Arial" w:cs="Arial" w:eastAsia="Arial" w:hAnsi="Arial"/>
          <w:sz w:val="18"/>
          <w:szCs w:val="18"/>
          <w:color w:val="auto"/>
        </w:rPr>
        <w:t>Restricted Stock Unit Grants.</w:t>
      </w:r>
    </w:p>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060" w:type="dxa"/>
            <w:vAlign w:val="bottom"/>
            <w:tcBorders>
              <w:top w:val="single" w:sz="8" w:color="auto"/>
              <w:left w:val="single" w:sz="8" w:color="auto"/>
            </w:tcBorders>
            <w:shd w:val="clear" w:color="auto" w:fill="B4C6E7"/>
          </w:tcPr>
          <w:p>
            <w:pPr>
              <w:spacing w:after="0"/>
              <w:rPr>
                <w:sz w:val="20"/>
                <w:szCs w:val="20"/>
                <w:color w:val="auto"/>
              </w:rPr>
            </w:pPr>
          </w:p>
        </w:tc>
        <w:tc>
          <w:tcPr>
            <w:tcW w:w="520" w:type="dxa"/>
            <w:vAlign w:val="bottom"/>
            <w:tcBorders>
              <w:top w:val="single" w:sz="8" w:color="auto"/>
            </w:tcBorders>
            <w:shd w:val="clear" w:color="auto" w:fill="B4C6E7"/>
          </w:tcPr>
          <w:p>
            <w:pPr>
              <w:spacing w:after="0"/>
              <w:rPr>
                <w:sz w:val="20"/>
                <w:szCs w:val="20"/>
                <w:color w:val="auto"/>
              </w:rPr>
            </w:pPr>
          </w:p>
        </w:tc>
        <w:tc>
          <w:tcPr>
            <w:tcW w:w="1200" w:type="dxa"/>
            <w:vAlign w:val="bottom"/>
            <w:tcBorders>
              <w:top w:val="single" w:sz="8" w:color="auto"/>
            </w:tcBorders>
            <w:shd w:val="clear" w:color="auto" w:fill="B4C6E7"/>
          </w:tcPr>
          <w:p>
            <w:pPr>
              <w:spacing w:after="0"/>
              <w:rPr>
                <w:sz w:val="20"/>
                <w:szCs w:val="20"/>
                <w:color w:val="auto"/>
              </w:rPr>
            </w:pPr>
          </w:p>
        </w:tc>
        <w:tc>
          <w:tcPr>
            <w:tcW w:w="1000" w:type="dxa"/>
            <w:vAlign w:val="bottom"/>
            <w:tcBorders>
              <w:top w:val="single" w:sz="8" w:color="auto"/>
            </w:tcBorders>
            <w:shd w:val="clear" w:color="auto" w:fill="B4C6E7"/>
          </w:tcPr>
          <w:p>
            <w:pPr>
              <w:spacing w:after="0"/>
              <w:rPr>
                <w:sz w:val="20"/>
                <w:szCs w:val="20"/>
                <w:color w:val="auto"/>
              </w:rPr>
            </w:pPr>
          </w:p>
        </w:tc>
        <w:tc>
          <w:tcPr>
            <w:tcW w:w="1100" w:type="dxa"/>
            <w:vAlign w:val="bottom"/>
            <w:tcBorders>
              <w:top w:val="single" w:sz="8" w:color="auto"/>
            </w:tcBorders>
            <w:shd w:val="clear" w:color="auto" w:fill="B4C6E7"/>
          </w:tcPr>
          <w:p>
            <w:pPr>
              <w:spacing w:after="0"/>
              <w:rPr>
                <w:sz w:val="20"/>
                <w:szCs w:val="20"/>
                <w:color w:val="auto"/>
              </w:rPr>
            </w:pPr>
          </w:p>
        </w:tc>
        <w:tc>
          <w:tcPr>
            <w:tcW w:w="1060" w:type="dxa"/>
            <w:vAlign w:val="bottom"/>
            <w:tcBorders>
              <w:top w:val="single" w:sz="8" w:color="auto"/>
            </w:tcBorders>
            <w:shd w:val="clear" w:color="auto" w:fill="B4C6E7"/>
          </w:tcPr>
          <w:p>
            <w:pPr>
              <w:spacing w:after="0"/>
              <w:rPr>
                <w:sz w:val="20"/>
                <w:szCs w:val="20"/>
                <w:color w:val="auto"/>
              </w:rPr>
            </w:pPr>
          </w:p>
        </w:tc>
        <w:tc>
          <w:tcPr>
            <w:tcW w:w="1080" w:type="dxa"/>
            <w:vAlign w:val="bottom"/>
            <w:tcBorders>
              <w:top w:val="single" w:sz="8" w:color="auto"/>
            </w:tcBorders>
            <w:shd w:val="clear" w:color="auto" w:fill="B4C6E7"/>
          </w:tcPr>
          <w:p>
            <w:pPr>
              <w:spacing w:after="0"/>
              <w:rPr>
                <w:sz w:val="20"/>
                <w:szCs w:val="20"/>
                <w:color w:val="auto"/>
              </w:rPr>
            </w:pPr>
          </w:p>
        </w:tc>
        <w:tc>
          <w:tcPr>
            <w:tcW w:w="1100" w:type="dxa"/>
            <w:vAlign w:val="bottom"/>
            <w:tcBorders>
              <w:top w:val="single" w:sz="8" w:color="auto"/>
            </w:tcBorders>
            <w:shd w:val="clear" w:color="auto" w:fill="B4C6E7"/>
          </w:tcPr>
          <w:p>
            <w:pPr>
              <w:spacing w:after="0"/>
              <w:rPr>
                <w:sz w:val="20"/>
                <w:szCs w:val="20"/>
                <w:color w:val="auto"/>
              </w:rPr>
            </w:pPr>
          </w:p>
        </w:tc>
        <w:tc>
          <w:tcPr>
            <w:tcW w:w="1240" w:type="dxa"/>
            <w:vAlign w:val="bottom"/>
            <w:tcBorders>
              <w:top w:val="single" w:sz="8" w:color="auto"/>
            </w:tcBorders>
            <w:shd w:val="clear" w:color="auto" w:fill="B4C6E7"/>
          </w:tcPr>
          <w:p>
            <w:pPr>
              <w:jc w:val="center"/>
              <w:spacing w:after="0"/>
              <w:rPr>
                <w:sz w:val="20"/>
                <w:szCs w:val="20"/>
                <w:color w:val="auto"/>
              </w:rPr>
            </w:pPr>
            <w:r>
              <w:rPr>
                <w:rFonts w:ascii="Arial" w:cs="Arial" w:eastAsia="Arial" w:hAnsi="Arial"/>
                <w:sz w:val="18"/>
                <w:szCs w:val="18"/>
                <w:b w:val="1"/>
                <w:bCs w:val="1"/>
                <w:color w:val="auto"/>
                <w:w w:val="88"/>
              </w:rPr>
              <w:t>Restricted</w:t>
            </w:r>
          </w:p>
        </w:tc>
        <w:tc>
          <w:tcPr>
            <w:tcW w:w="100" w:type="dxa"/>
            <w:vAlign w:val="bottom"/>
            <w:tcBorders>
              <w:top w:val="single" w:sz="8" w:color="auto"/>
            </w:tcBorders>
            <w:shd w:val="clear" w:color="auto" w:fill="B4C6E7"/>
          </w:tcPr>
          <w:p>
            <w:pPr>
              <w:spacing w:after="0"/>
              <w:rPr>
                <w:sz w:val="20"/>
                <w:szCs w:val="20"/>
                <w:color w:val="auto"/>
              </w:rPr>
            </w:pPr>
          </w:p>
        </w:tc>
        <w:tc>
          <w:tcPr>
            <w:tcW w:w="880" w:type="dxa"/>
            <w:vAlign w:val="bottom"/>
            <w:tcBorders>
              <w:top w:val="single" w:sz="8" w:color="auto"/>
            </w:tcBorders>
            <w:shd w:val="clear" w:color="auto" w:fill="B4C6E7"/>
          </w:tcPr>
          <w:p>
            <w:pPr>
              <w:spacing w:after="0"/>
              <w:rPr>
                <w:sz w:val="20"/>
                <w:szCs w:val="20"/>
                <w:color w:val="auto"/>
              </w:rPr>
            </w:pPr>
          </w:p>
        </w:tc>
        <w:tc>
          <w:tcPr>
            <w:tcW w:w="1100" w:type="dxa"/>
            <w:vAlign w:val="bottom"/>
            <w:tcBorders>
              <w:top w:val="single" w:sz="8" w:color="auto"/>
              <w:right w:val="single" w:sz="8" w:color="auto"/>
            </w:tcBorders>
            <w:shd w:val="clear" w:color="auto" w:fill="B4C6E7"/>
          </w:tcPr>
          <w:p>
            <w:pPr>
              <w:jc w:val="center"/>
              <w:spacing w:after="0"/>
              <w:rPr>
                <w:sz w:val="20"/>
                <w:szCs w:val="20"/>
                <w:color w:val="auto"/>
              </w:rPr>
            </w:pPr>
            <w:r>
              <w:rPr>
                <w:rFonts w:ascii="Arial" w:cs="Arial" w:eastAsia="Arial" w:hAnsi="Arial"/>
                <w:sz w:val="18"/>
                <w:szCs w:val="18"/>
                <w:b w:val="1"/>
                <w:bCs w:val="1"/>
                <w:color w:val="auto"/>
                <w:w w:val="86"/>
              </w:rPr>
              <w:t>Unvested</w:t>
            </w:r>
          </w:p>
        </w:tc>
      </w:tr>
      <w:tr>
        <w:trPr>
          <w:trHeight w:val="216"/>
        </w:trPr>
        <w:tc>
          <w:tcPr>
            <w:tcW w:w="1060" w:type="dxa"/>
            <w:vAlign w:val="bottom"/>
            <w:tcBorders>
              <w:left w:val="single" w:sz="8" w:color="auto"/>
            </w:tcBorders>
            <w:shd w:val="clear" w:color="auto" w:fill="B4C6E7"/>
          </w:tcPr>
          <w:p>
            <w:pPr>
              <w:spacing w:after="0"/>
              <w:rPr>
                <w:sz w:val="18"/>
                <w:szCs w:val="18"/>
                <w:color w:val="auto"/>
              </w:rPr>
            </w:pPr>
          </w:p>
        </w:tc>
        <w:tc>
          <w:tcPr>
            <w:tcW w:w="520" w:type="dxa"/>
            <w:vAlign w:val="bottom"/>
            <w:shd w:val="clear" w:color="auto" w:fill="B4C6E7"/>
          </w:tcPr>
          <w:p>
            <w:pPr>
              <w:spacing w:after="0"/>
              <w:rPr>
                <w:sz w:val="18"/>
                <w:szCs w:val="18"/>
                <w:color w:val="auto"/>
              </w:rPr>
            </w:pPr>
          </w:p>
        </w:tc>
        <w:tc>
          <w:tcPr>
            <w:tcW w:w="1200" w:type="dxa"/>
            <w:vAlign w:val="bottom"/>
            <w:shd w:val="clear" w:color="auto" w:fill="B4C6E7"/>
          </w:tcPr>
          <w:p>
            <w:pPr>
              <w:spacing w:after="0"/>
              <w:rPr>
                <w:sz w:val="18"/>
                <w:szCs w:val="18"/>
                <w:color w:val="auto"/>
              </w:rPr>
            </w:pPr>
          </w:p>
        </w:tc>
        <w:tc>
          <w:tcPr>
            <w:tcW w:w="1000" w:type="dxa"/>
            <w:vAlign w:val="bottom"/>
            <w:shd w:val="clear" w:color="auto" w:fill="B4C6E7"/>
          </w:tcPr>
          <w:p>
            <w:pPr>
              <w:spacing w:after="0"/>
              <w:rPr>
                <w:sz w:val="18"/>
                <w:szCs w:val="18"/>
                <w:color w:val="auto"/>
              </w:rPr>
            </w:pPr>
          </w:p>
        </w:tc>
        <w:tc>
          <w:tcPr>
            <w:tcW w:w="1100" w:type="dxa"/>
            <w:vAlign w:val="bottom"/>
            <w:shd w:val="clear" w:color="auto" w:fill="B4C6E7"/>
          </w:tcPr>
          <w:p>
            <w:pPr>
              <w:jc w:val="center"/>
              <w:spacing w:after="0"/>
              <w:rPr>
                <w:sz w:val="20"/>
                <w:szCs w:val="20"/>
                <w:color w:val="auto"/>
              </w:rPr>
            </w:pPr>
            <w:r>
              <w:rPr>
                <w:rFonts w:ascii="Arial" w:cs="Arial" w:eastAsia="Arial" w:hAnsi="Arial"/>
                <w:sz w:val="18"/>
                <w:szCs w:val="18"/>
                <w:b w:val="1"/>
                <w:bCs w:val="1"/>
                <w:color w:val="auto"/>
                <w:w w:val="88"/>
              </w:rPr>
              <w:t>Restricted</w:t>
            </w:r>
          </w:p>
        </w:tc>
        <w:tc>
          <w:tcPr>
            <w:tcW w:w="1060" w:type="dxa"/>
            <w:vAlign w:val="bottom"/>
            <w:shd w:val="clear" w:color="auto" w:fill="B4C6E7"/>
          </w:tcPr>
          <w:p>
            <w:pPr>
              <w:spacing w:after="0"/>
              <w:rPr>
                <w:sz w:val="18"/>
                <w:szCs w:val="18"/>
                <w:color w:val="auto"/>
              </w:rPr>
            </w:pPr>
          </w:p>
        </w:tc>
        <w:tc>
          <w:tcPr>
            <w:tcW w:w="1080" w:type="dxa"/>
            <w:vAlign w:val="bottom"/>
            <w:shd w:val="clear" w:color="auto" w:fill="B4C6E7"/>
          </w:tcPr>
          <w:p>
            <w:pPr>
              <w:jc w:val="center"/>
              <w:ind w:left="10"/>
              <w:spacing w:after="0"/>
              <w:rPr>
                <w:sz w:val="20"/>
                <w:szCs w:val="20"/>
                <w:color w:val="auto"/>
              </w:rPr>
            </w:pPr>
            <w:r>
              <w:rPr>
                <w:rFonts w:ascii="Arial" w:cs="Arial" w:eastAsia="Arial" w:hAnsi="Arial"/>
                <w:sz w:val="18"/>
                <w:szCs w:val="18"/>
                <w:b w:val="1"/>
                <w:bCs w:val="1"/>
                <w:color w:val="auto"/>
                <w:w w:val="88"/>
              </w:rPr>
              <w:t>Restricted</w:t>
            </w:r>
          </w:p>
        </w:tc>
        <w:tc>
          <w:tcPr>
            <w:tcW w:w="1100" w:type="dxa"/>
            <w:vAlign w:val="bottom"/>
            <w:shd w:val="clear" w:color="auto" w:fill="B4C6E7"/>
          </w:tcPr>
          <w:p>
            <w:pPr>
              <w:spacing w:after="0"/>
              <w:rPr>
                <w:sz w:val="18"/>
                <w:szCs w:val="18"/>
                <w:color w:val="auto"/>
              </w:rPr>
            </w:pPr>
          </w:p>
        </w:tc>
        <w:tc>
          <w:tcPr>
            <w:tcW w:w="1240" w:type="dxa"/>
            <w:vAlign w:val="bottom"/>
            <w:shd w:val="clear" w:color="auto" w:fill="B4C6E7"/>
          </w:tcPr>
          <w:p>
            <w:pPr>
              <w:jc w:val="center"/>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shd w:val="clear" w:color="auto" w:fill="B4C6E7"/>
          </w:tcPr>
          <w:p>
            <w:pPr>
              <w:spacing w:after="0"/>
              <w:rPr>
                <w:sz w:val="18"/>
                <w:szCs w:val="18"/>
                <w:color w:val="auto"/>
              </w:rPr>
            </w:pPr>
          </w:p>
        </w:tc>
        <w:tc>
          <w:tcPr>
            <w:tcW w:w="880" w:type="dxa"/>
            <w:vAlign w:val="bottom"/>
            <w:shd w:val="clear" w:color="auto" w:fill="B4C6E7"/>
          </w:tcPr>
          <w:p>
            <w:pPr>
              <w:spacing w:after="0"/>
              <w:rPr>
                <w:sz w:val="18"/>
                <w:szCs w:val="18"/>
                <w:color w:val="auto"/>
              </w:rPr>
            </w:pPr>
          </w:p>
        </w:tc>
        <w:tc>
          <w:tcPr>
            <w:tcW w:w="1100" w:type="dxa"/>
            <w:vAlign w:val="bottom"/>
            <w:tcBorders>
              <w:right w:val="single" w:sz="8" w:color="auto"/>
            </w:tcBorders>
            <w:shd w:val="clear" w:color="auto" w:fill="B4C6E7"/>
          </w:tcPr>
          <w:p>
            <w:pPr>
              <w:jc w:val="center"/>
              <w:spacing w:after="0"/>
              <w:rPr>
                <w:sz w:val="20"/>
                <w:szCs w:val="20"/>
                <w:color w:val="auto"/>
              </w:rPr>
            </w:pPr>
            <w:r>
              <w:rPr>
                <w:rFonts w:ascii="Arial" w:cs="Arial" w:eastAsia="Arial" w:hAnsi="Arial"/>
                <w:sz w:val="18"/>
                <w:szCs w:val="18"/>
                <w:b w:val="1"/>
                <w:bCs w:val="1"/>
                <w:color w:val="auto"/>
                <w:w w:val="88"/>
              </w:rPr>
              <w:t>Restricted</w:t>
            </w:r>
          </w:p>
        </w:tc>
      </w:tr>
      <w:tr>
        <w:trPr>
          <w:trHeight w:val="216"/>
        </w:trPr>
        <w:tc>
          <w:tcPr>
            <w:tcW w:w="1060" w:type="dxa"/>
            <w:vAlign w:val="bottom"/>
            <w:tcBorders>
              <w:left w:val="single" w:sz="8" w:color="auto"/>
            </w:tcBorders>
            <w:shd w:val="clear" w:color="auto" w:fill="B4C6E7"/>
          </w:tcPr>
          <w:p>
            <w:pPr>
              <w:spacing w:after="0"/>
              <w:rPr>
                <w:sz w:val="18"/>
                <w:szCs w:val="18"/>
                <w:color w:val="auto"/>
              </w:rPr>
            </w:pPr>
          </w:p>
        </w:tc>
        <w:tc>
          <w:tcPr>
            <w:tcW w:w="520" w:type="dxa"/>
            <w:vAlign w:val="bottom"/>
            <w:shd w:val="clear" w:color="auto" w:fill="B4C6E7"/>
          </w:tcPr>
          <w:p>
            <w:pPr>
              <w:spacing w:after="0"/>
              <w:rPr>
                <w:sz w:val="18"/>
                <w:szCs w:val="18"/>
                <w:color w:val="auto"/>
              </w:rPr>
            </w:pPr>
          </w:p>
        </w:tc>
        <w:tc>
          <w:tcPr>
            <w:tcW w:w="1200" w:type="dxa"/>
            <w:vAlign w:val="bottom"/>
            <w:shd w:val="clear" w:color="auto" w:fill="B4C6E7"/>
          </w:tcPr>
          <w:p>
            <w:pPr>
              <w:spacing w:after="0"/>
              <w:rPr>
                <w:sz w:val="18"/>
                <w:szCs w:val="18"/>
                <w:color w:val="auto"/>
              </w:rPr>
            </w:pPr>
          </w:p>
        </w:tc>
        <w:tc>
          <w:tcPr>
            <w:tcW w:w="1000" w:type="dxa"/>
            <w:vAlign w:val="bottom"/>
            <w:shd w:val="clear" w:color="auto" w:fill="B4C6E7"/>
          </w:tcPr>
          <w:p>
            <w:pPr>
              <w:spacing w:after="0"/>
              <w:rPr>
                <w:sz w:val="18"/>
                <w:szCs w:val="18"/>
                <w:color w:val="auto"/>
              </w:rPr>
            </w:pPr>
          </w:p>
        </w:tc>
        <w:tc>
          <w:tcPr>
            <w:tcW w:w="1100" w:type="dxa"/>
            <w:vAlign w:val="bottom"/>
            <w:shd w:val="clear" w:color="auto" w:fill="B4C6E7"/>
          </w:tcPr>
          <w:p>
            <w:pPr>
              <w:jc w:val="center"/>
              <w:spacing w:after="0"/>
              <w:rPr>
                <w:sz w:val="20"/>
                <w:szCs w:val="20"/>
                <w:color w:val="auto"/>
              </w:rPr>
            </w:pPr>
            <w:r>
              <w:rPr>
                <w:rFonts w:ascii="Arial" w:cs="Arial" w:eastAsia="Arial" w:hAnsi="Arial"/>
                <w:sz w:val="18"/>
                <w:szCs w:val="18"/>
                <w:b w:val="1"/>
                <w:bCs w:val="1"/>
                <w:color w:val="auto"/>
                <w:w w:val="85"/>
              </w:rPr>
              <w:t>Stock</w:t>
            </w:r>
          </w:p>
        </w:tc>
        <w:tc>
          <w:tcPr>
            <w:tcW w:w="1060" w:type="dxa"/>
            <w:vAlign w:val="bottom"/>
            <w:shd w:val="clear" w:color="auto" w:fill="B4C6E7"/>
          </w:tcPr>
          <w:p>
            <w:pPr>
              <w:spacing w:after="0"/>
              <w:rPr>
                <w:sz w:val="18"/>
                <w:szCs w:val="18"/>
                <w:color w:val="auto"/>
              </w:rPr>
            </w:pPr>
          </w:p>
        </w:tc>
        <w:tc>
          <w:tcPr>
            <w:tcW w:w="1080" w:type="dxa"/>
            <w:vAlign w:val="bottom"/>
            <w:shd w:val="clear" w:color="auto" w:fill="B4C6E7"/>
          </w:tcPr>
          <w:p>
            <w:pPr>
              <w:jc w:val="center"/>
              <w:ind w:left="10"/>
              <w:spacing w:after="0"/>
              <w:rPr>
                <w:sz w:val="20"/>
                <w:szCs w:val="20"/>
                <w:color w:val="auto"/>
              </w:rPr>
            </w:pPr>
            <w:r>
              <w:rPr>
                <w:rFonts w:ascii="Arial" w:cs="Arial" w:eastAsia="Arial" w:hAnsi="Arial"/>
                <w:sz w:val="18"/>
                <w:szCs w:val="18"/>
                <w:b w:val="1"/>
                <w:bCs w:val="1"/>
                <w:color w:val="auto"/>
                <w:w w:val="85"/>
              </w:rPr>
              <w:t>Stock</w:t>
            </w:r>
          </w:p>
        </w:tc>
        <w:tc>
          <w:tcPr>
            <w:tcW w:w="1100" w:type="dxa"/>
            <w:vAlign w:val="bottom"/>
            <w:shd w:val="clear" w:color="auto" w:fill="B4C6E7"/>
          </w:tcPr>
          <w:p>
            <w:pPr>
              <w:spacing w:after="0"/>
              <w:rPr>
                <w:sz w:val="18"/>
                <w:szCs w:val="18"/>
                <w:color w:val="auto"/>
              </w:rPr>
            </w:pPr>
          </w:p>
        </w:tc>
        <w:tc>
          <w:tcPr>
            <w:tcW w:w="1240" w:type="dxa"/>
            <w:vAlign w:val="bottom"/>
            <w:shd w:val="clear" w:color="auto" w:fill="B4C6E7"/>
          </w:tcPr>
          <w:p>
            <w:pPr>
              <w:ind w:left="40"/>
              <w:spacing w:after="0"/>
              <w:rPr>
                <w:sz w:val="20"/>
                <w:szCs w:val="20"/>
                <w:color w:val="auto"/>
              </w:rPr>
            </w:pPr>
            <w:r>
              <w:rPr>
                <w:rFonts w:ascii="Arial" w:cs="Arial" w:eastAsia="Arial" w:hAnsi="Arial"/>
                <w:sz w:val="18"/>
                <w:szCs w:val="18"/>
                <w:b w:val="1"/>
                <w:bCs w:val="1"/>
                <w:color w:val="auto"/>
                <w:w w:val="90"/>
              </w:rPr>
              <w:t>Outstanding as</w:t>
            </w:r>
          </w:p>
        </w:tc>
        <w:tc>
          <w:tcPr>
            <w:tcW w:w="100" w:type="dxa"/>
            <w:vAlign w:val="bottom"/>
            <w:shd w:val="clear" w:color="auto" w:fill="B4C6E7"/>
          </w:tcPr>
          <w:p>
            <w:pPr>
              <w:spacing w:after="0"/>
              <w:rPr>
                <w:sz w:val="18"/>
                <w:szCs w:val="18"/>
                <w:color w:val="auto"/>
              </w:rPr>
            </w:pPr>
          </w:p>
        </w:tc>
        <w:tc>
          <w:tcPr>
            <w:tcW w:w="880" w:type="dxa"/>
            <w:vAlign w:val="bottom"/>
            <w:shd w:val="clear" w:color="auto" w:fill="B4C6E7"/>
          </w:tcPr>
          <w:p>
            <w:pPr>
              <w:jc w:val="center"/>
              <w:spacing w:after="0"/>
              <w:rPr>
                <w:sz w:val="20"/>
                <w:szCs w:val="20"/>
                <w:color w:val="auto"/>
              </w:rPr>
            </w:pPr>
            <w:r>
              <w:rPr>
                <w:rFonts w:ascii="Arial" w:cs="Arial" w:eastAsia="Arial" w:hAnsi="Arial"/>
                <w:sz w:val="18"/>
                <w:szCs w:val="18"/>
                <w:b w:val="1"/>
                <w:bCs w:val="1"/>
                <w:color w:val="auto"/>
                <w:w w:val="88"/>
              </w:rPr>
              <w:t>Vested</w:t>
            </w:r>
          </w:p>
        </w:tc>
        <w:tc>
          <w:tcPr>
            <w:tcW w:w="1100" w:type="dxa"/>
            <w:vAlign w:val="bottom"/>
            <w:tcBorders>
              <w:right w:val="single" w:sz="8" w:color="auto"/>
            </w:tcBorders>
            <w:shd w:val="clear" w:color="auto" w:fill="B4C6E7"/>
          </w:tcPr>
          <w:p>
            <w:pPr>
              <w:jc w:val="center"/>
              <w:spacing w:after="0"/>
              <w:rPr>
                <w:sz w:val="20"/>
                <w:szCs w:val="20"/>
                <w:color w:val="auto"/>
              </w:rPr>
            </w:pPr>
            <w:r>
              <w:rPr>
                <w:rFonts w:ascii="Arial" w:cs="Arial" w:eastAsia="Arial" w:hAnsi="Arial"/>
                <w:sz w:val="18"/>
                <w:szCs w:val="18"/>
                <w:b w:val="1"/>
                <w:bCs w:val="1"/>
                <w:color w:val="auto"/>
                <w:w w:val="85"/>
              </w:rPr>
              <w:t>Stock as of</w:t>
            </w:r>
          </w:p>
        </w:tc>
      </w:tr>
      <w:tr>
        <w:trPr>
          <w:trHeight w:val="216"/>
        </w:trPr>
        <w:tc>
          <w:tcPr>
            <w:tcW w:w="1060" w:type="dxa"/>
            <w:vAlign w:val="bottom"/>
            <w:tcBorders>
              <w:left w:val="single" w:sz="8" w:color="auto"/>
            </w:tcBorders>
            <w:shd w:val="clear" w:color="auto" w:fill="B4C6E7"/>
          </w:tcPr>
          <w:p>
            <w:pPr>
              <w:jc w:val="center"/>
              <w:spacing w:after="0"/>
              <w:rPr>
                <w:sz w:val="20"/>
                <w:szCs w:val="20"/>
                <w:color w:val="auto"/>
              </w:rPr>
            </w:pPr>
            <w:r>
              <w:rPr>
                <w:rFonts w:ascii="Arial" w:cs="Arial" w:eastAsia="Arial" w:hAnsi="Arial"/>
                <w:sz w:val="18"/>
                <w:szCs w:val="18"/>
                <w:b w:val="1"/>
                <w:bCs w:val="1"/>
                <w:color w:val="auto"/>
                <w:w w:val="93"/>
              </w:rPr>
              <w:t>Certificate</w:t>
            </w:r>
          </w:p>
        </w:tc>
        <w:tc>
          <w:tcPr>
            <w:tcW w:w="520" w:type="dxa"/>
            <w:vAlign w:val="bottom"/>
            <w:shd w:val="clear" w:color="auto" w:fill="B4C6E7"/>
          </w:tcPr>
          <w:p>
            <w:pPr>
              <w:spacing w:after="0"/>
              <w:rPr>
                <w:sz w:val="18"/>
                <w:szCs w:val="18"/>
                <w:color w:val="auto"/>
              </w:rPr>
            </w:pPr>
          </w:p>
        </w:tc>
        <w:tc>
          <w:tcPr>
            <w:tcW w:w="1200" w:type="dxa"/>
            <w:vAlign w:val="bottom"/>
            <w:shd w:val="clear" w:color="auto" w:fill="B4C6E7"/>
          </w:tcPr>
          <w:p>
            <w:pPr>
              <w:spacing w:after="0"/>
              <w:rPr>
                <w:sz w:val="18"/>
                <w:szCs w:val="18"/>
                <w:color w:val="auto"/>
              </w:rPr>
            </w:pPr>
          </w:p>
        </w:tc>
        <w:tc>
          <w:tcPr>
            <w:tcW w:w="1000" w:type="dxa"/>
            <w:vAlign w:val="bottom"/>
            <w:shd w:val="clear" w:color="auto" w:fill="B4C6E7"/>
          </w:tcPr>
          <w:p>
            <w:pPr>
              <w:spacing w:after="0"/>
              <w:rPr>
                <w:sz w:val="18"/>
                <w:szCs w:val="18"/>
                <w:color w:val="auto"/>
              </w:rPr>
            </w:pPr>
          </w:p>
        </w:tc>
        <w:tc>
          <w:tcPr>
            <w:tcW w:w="1100" w:type="dxa"/>
            <w:vAlign w:val="bottom"/>
            <w:shd w:val="clear" w:color="auto" w:fill="B4C6E7"/>
          </w:tcPr>
          <w:p>
            <w:pPr>
              <w:jc w:val="right"/>
              <w:ind w:right="110"/>
              <w:spacing w:after="0"/>
              <w:rPr>
                <w:sz w:val="20"/>
                <w:szCs w:val="20"/>
                <w:color w:val="auto"/>
              </w:rPr>
            </w:pPr>
            <w:r>
              <w:rPr>
                <w:rFonts w:ascii="Arial" w:cs="Arial" w:eastAsia="Arial" w:hAnsi="Arial"/>
                <w:sz w:val="18"/>
                <w:szCs w:val="18"/>
                <w:b w:val="1"/>
                <w:bCs w:val="1"/>
                <w:color w:val="auto"/>
              </w:rPr>
              <w:t>Granted</w:t>
            </w:r>
          </w:p>
        </w:tc>
        <w:tc>
          <w:tcPr>
            <w:tcW w:w="1060" w:type="dxa"/>
            <w:vAlign w:val="bottom"/>
            <w:shd w:val="clear" w:color="auto" w:fill="B4C6E7"/>
          </w:tcPr>
          <w:p>
            <w:pPr>
              <w:spacing w:after="0"/>
              <w:rPr>
                <w:sz w:val="18"/>
                <w:szCs w:val="18"/>
                <w:color w:val="auto"/>
              </w:rPr>
            </w:pPr>
          </w:p>
        </w:tc>
        <w:tc>
          <w:tcPr>
            <w:tcW w:w="1080" w:type="dxa"/>
            <w:vAlign w:val="bottom"/>
            <w:shd w:val="clear" w:color="auto" w:fill="B4C6E7"/>
          </w:tcPr>
          <w:p>
            <w:pPr>
              <w:jc w:val="center"/>
              <w:spacing w:after="0"/>
              <w:rPr>
                <w:sz w:val="20"/>
                <w:szCs w:val="20"/>
                <w:color w:val="auto"/>
              </w:rPr>
            </w:pPr>
            <w:r>
              <w:rPr>
                <w:rFonts w:ascii="Arial" w:cs="Arial" w:eastAsia="Arial" w:hAnsi="Arial"/>
                <w:sz w:val="18"/>
                <w:szCs w:val="18"/>
                <w:b w:val="1"/>
                <w:bCs w:val="1"/>
                <w:color w:val="auto"/>
                <w:w w:val="95"/>
              </w:rPr>
              <w:t>Granted</w:t>
            </w:r>
          </w:p>
        </w:tc>
        <w:tc>
          <w:tcPr>
            <w:tcW w:w="1100" w:type="dxa"/>
            <w:vAlign w:val="bottom"/>
            <w:shd w:val="clear" w:color="auto" w:fill="B4C6E7"/>
          </w:tcPr>
          <w:p>
            <w:pPr>
              <w:jc w:val="center"/>
              <w:spacing w:after="0"/>
              <w:rPr>
                <w:sz w:val="20"/>
                <w:szCs w:val="20"/>
                <w:color w:val="auto"/>
              </w:rPr>
            </w:pPr>
            <w:r>
              <w:rPr>
                <w:rFonts w:ascii="Arial" w:cs="Arial" w:eastAsia="Arial" w:hAnsi="Arial"/>
                <w:sz w:val="18"/>
                <w:szCs w:val="18"/>
                <w:b w:val="1"/>
                <w:bCs w:val="1"/>
                <w:color w:val="auto"/>
                <w:w w:val="88"/>
              </w:rPr>
              <w:t>Restricted</w:t>
            </w:r>
          </w:p>
        </w:tc>
        <w:tc>
          <w:tcPr>
            <w:tcW w:w="1240" w:type="dxa"/>
            <w:vAlign w:val="bottom"/>
            <w:shd w:val="clear" w:color="auto" w:fill="B4C6E7"/>
          </w:tcPr>
          <w:p>
            <w:pPr>
              <w:ind w:left="40"/>
              <w:spacing w:after="0"/>
              <w:rPr>
                <w:sz w:val="20"/>
                <w:szCs w:val="20"/>
                <w:color w:val="auto"/>
              </w:rPr>
            </w:pPr>
            <w:r>
              <w:rPr>
                <w:rFonts w:ascii="Arial" w:cs="Arial" w:eastAsia="Arial" w:hAnsi="Arial"/>
                <w:sz w:val="18"/>
                <w:szCs w:val="18"/>
                <w:b w:val="1"/>
                <w:bCs w:val="1"/>
                <w:color w:val="auto"/>
                <w:w w:val="91"/>
              </w:rPr>
              <w:t>of the Effective</w:t>
            </w:r>
          </w:p>
        </w:tc>
        <w:tc>
          <w:tcPr>
            <w:tcW w:w="100" w:type="dxa"/>
            <w:vAlign w:val="bottom"/>
            <w:shd w:val="clear" w:color="auto" w:fill="B4C6E7"/>
          </w:tcPr>
          <w:p>
            <w:pPr>
              <w:spacing w:after="0"/>
              <w:rPr>
                <w:sz w:val="18"/>
                <w:szCs w:val="18"/>
                <w:color w:val="auto"/>
              </w:rPr>
            </w:pPr>
          </w:p>
        </w:tc>
        <w:tc>
          <w:tcPr>
            <w:tcW w:w="880" w:type="dxa"/>
            <w:vAlign w:val="bottom"/>
            <w:shd w:val="clear" w:color="auto" w:fill="B4C6E7"/>
          </w:tcPr>
          <w:p>
            <w:pPr>
              <w:jc w:val="center"/>
              <w:spacing w:after="0"/>
              <w:rPr>
                <w:sz w:val="20"/>
                <w:szCs w:val="20"/>
                <w:color w:val="auto"/>
              </w:rPr>
            </w:pPr>
            <w:r>
              <w:rPr>
                <w:rFonts w:ascii="Arial" w:cs="Arial" w:eastAsia="Arial" w:hAnsi="Arial"/>
                <w:sz w:val="18"/>
                <w:szCs w:val="18"/>
                <w:b w:val="1"/>
                <w:bCs w:val="1"/>
                <w:color w:val="auto"/>
                <w:w w:val="90"/>
              </w:rPr>
              <w:t>Restricted</w:t>
            </w:r>
          </w:p>
        </w:tc>
        <w:tc>
          <w:tcPr>
            <w:tcW w:w="1100" w:type="dxa"/>
            <w:vAlign w:val="bottom"/>
            <w:tcBorders>
              <w:right w:val="single" w:sz="8" w:color="auto"/>
            </w:tcBorders>
            <w:shd w:val="clear" w:color="auto" w:fill="B4C6E7"/>
          </w:tcPr>
          <w:p>
            <w:pPr>
              <w:jc w:val="center"/>
              <w:spacing w:after="0"/>
              <w:rPr>
                <w:sz w:val="20"/>
                <w:szCs w:val="20"/>
                <w:color w:val="auto"/>
              </w:rPr>
            </w:pPr>
            <w:r>
              <w:rPr>
                <w:rFonts w:ascii="Arial" w:cs="Arial" w:eastAsia="Arial" w:hAnsi="Arial"/>
                <w:sz w:val="18"/>
                <w:szCs w:val="18"/>
                <w:b w:val="1"/>
                <w:bCs w:val="1"/>
                <w:color w:val="auto"/>
                <w:w w:val="89"/>
              </w:rPr>
              <w:t>the Effective</w:t>
            </w:r>
          </w:p>
        </w:tc>
      </w:tr>
      <w:tr>
        <w:trPr>
          <w:trHeight w:val="266"/>
        </w:trPr>
        <w:tc>
          <w:tcPr>
            <w:tcW w:w="1060" w:type="dxa"/>
            <w:vAlign w:val="bottom"/>
            <w:tcBorders>
              <w:left w:val="single" w:sz="8" w:color="auto"/>
              <w:bottom w:val="single" w:sz="8" w:color="B4C6E7"/>
            </w:tcBorders>
            <w:shd w:val="clear" w:color="auto" w:fill="B4C6E7"/>
          </w:tcPr>
          <w:p>
            <w:pPr>
              <w:jc w:val="center"/>
              <w:spacing w:after="0"/>
              <w:rPr>
                <w:sz w:val="20"/>
                <w:szCs w:val="20"/>
                <w:color w:val="auto"/>
              </w:rPr>
            </w:pPr>
            <w:r>
              <w:rPr>
                <w:rFonts w:ascii="Arial" w:cs="Arial" w:eastAsia="Arial" w:hAnsi="Arial"/>
                <w:sz w:val="18"/>
                <w:szCs w:val="18"/>
                <w:b w:val="1"/>
                <w:bCs w:val="1"/>
                <w:color w:val="auto"/>
                <w:w w:val="89"/>
              </w:rPr>
              <w:t>No.</w:t>
            </w:r>
          </w:p>
        </w:tc>
        <w:tc>
          <w:tcPr>
            <w:tcW w:w="520" w:type="dxa"/>
            <w:vAlign w:val="bottom"/>
            <w:tcBorders>
              <w:bottom w:val="single" w:sz="8" w:color="B4C6E7"/>
            </w:tcBorders>
            <w:shd w:val="clear" w:color="auto" w:fill="B4C6E7"/>
          </w:tcPr>
          <w:p>
            <w:pPr>
              <w:ind w:left="100"/>
              <w:spacing w:after="0"/>
              <w:rPr>
                <w:sz w:val="20"/>
                <w:szCs w:val="20"/>
                <w:color w:val="auto"/>
              </w:rPr>
            </w:pPr>
            <w:r>
              <w:rPr>
                <w:rFonts w:ascii="Arial" w:cs="Arial" w:eastAsia="Arial" w:hAnsi="Arial"/>
                <w:sz w:val="18"/>
                <w:szCs w:val="18"/>
                <w:b w:val="1"/>
                <w:bCs w:val="1"/>
                <w:color w:val="auto"/>
              </w:rPr>
              <w:t>Plan</w:t>
            </w:r>
          </w:p>
        </w:tc>
        <w:tc>
          <w:tcPr>
            <w:tcW w:w="1200" w:type="dxa"/>
            <w:vAlign w:val="bottom"/>
            <w:tcBorders>
              <w:bottom w:val="single" w:sz="8" w:color="B4C6E7"/>
            </w:tcBorders>
            <w:shd w:val="clear" w:color="auto" w:fill="B4C6E7"/>
          </w:tcPr>
          <w:p>
            <w:pPr>
              <w:jc w:val="center"/>
              <w:spacing w:after="0"/>
              <w:rPr>
                <w:sz w:val="20"/>
                <w:szCs w:val="20"/>
                <w:color w:val="auto"/>
              </w:rPr>
            </w:pPr>
            <w:r>
              <w:rPr>
                <w:rFonts w:ascii="Arial" w:cs="Arial" w:eastAsia="Arial" w:hAnsi="Arial"/>
                <w:sz w:val="18"/>
                <w:szCs w:val="18"/>
                <w:b w:val="1"/>
                <w:bCs w:val="1"/>
                <w:color w:val="auto"/>
                <w:w w:val="89"/>
              </w:rPr>
              <w:t>Name</w:t>
            </w:r>
          </w:p>
        </w:tc>
        <w:tc>
          <w:tcPr>
            <w:tcW w:w="1000" w:type="dxa"/>
            <w:vAlign w:val="bottom"/>
            <w:tcBorders>
              <w:bottom w:val="single" w:sz="8" w:color="B4C6E7"/>
            </w:tcBorders>
            <w:shd w:val="clear" w:color="auto" w:fill="B4C6E7"/>
          </w:tcPr>
          <w:p>
            <w:pPr>
              <w:ind w:left="80"/>
              <w:spacing w:after="0"/>
              <w:rPr>
                <w:sz w:val="20"/>
                <w:szCs w:val="20"/>
                <w:color w:val="auto"/>
              </w:rPr>
            </w:pPr>
            <w:r>
              <w:rPr>
                <w:rFonts w:ascii="Arial" w:cs="Arial" w:eastAsia="Arial" w:hAnsi="Arial"/>
                <w:sz w:val="18"/>
                <w:szCs w:val="18"/>
                <w:b w:val="1"/>
                <w:bCs w:val="1"/>
                <w:color w:val="auto"/>
                <w:w w:val="97"/>
              </w:rPr>
              <w:t>Grant Date</w:t>
            </w:r>
          </w:p>
        </w:tc>
        <w:tc>
          <w:tcPr>
            <w:tcW w:w="1100" w:type="dxa"/>
            <w:vAlign w:val="bottom"/>
            <w:tcBorders>
              <w:bottom w:val="single" w:sz="8" w:color="B4C6E7"/>
            </w:tcBorders>
            <w:shd w:val="clear" w:color="auto" w:fill="B4C6E7"/>
          </w:tcPr>
          <w:p>
            <w:pPr>
              <w:jc w:val="center"/>
              <w:spacing w:after="0"/>
              <w:rPr>
                <w:sz w:val="20"/>
                <w:szCs w:val="20"/>
                <w:color w:val="auto"/>
              </w:rPr>
            </w:pPr>
            <w:r>
              <w:rPr>
                <w:rFonts w:ascii="Arial" w:cs="Arial" w:eastAsia="Arial" w:hAnsi="Arial"/>
                <w:sz w:val="18"/>
                <w:szCs w:val="18"/>
                <w:b w:val="1"/>
                <w:bCs w:val="1"/>
                <w:color w:val="auto"/>
                <w:w w:val="93"/>
              </w:rPr>
              <w:t>(in dollars)</w:t>
            </w:r>
          </w:p>
        </w:tc>
        <w:tc>
          <w:tcPr>
            <w:tcW w:w="1060" w:type="dxa"/>
            <w:vAlign w:val="bottom"/>
            <w:tcBorders>
              <w:bottom w:val="single" w:sz="8" w:color="B4C6E7"/>
            </w:tcBorders>
            <w:shd w:val="clear" w:color="auto" w:fill="B4C6E7"/>
          </w:tcPr>
          <w:p>
            <w:pPr>
              <w:jc w:val="right"/>
              <w:spacing w:after="0"/>
              <w:rPr>
                <w:sz w:val="20"/>
                <w:szCs w:val="20"/>
                <w:color w:val="auto"/>
              </w:rPr>
            </w:pPr>
            <w:r>
              <w:rPr>
                <w:rFonts w:ascii="Arial" w:cs="Arial" w:eastAsia="Arial" w:hAnsi="Arial"/>
                <w:sz w:val="18"/>
                <w:szCs w:val="18"/>
                <w:b w:val="1"/>
                <w:bCs w:val="1"/>
                <w:color w:val="auto"/>
              </w:rPr>
              <w:t>Grant Price</w:t>
            </w:r>
          </w:p>
        </w:tc>
        <w:tc>
          <w:tcPr>
            <w:tcW w:w="1080" w:type="dxa"/>
            <w:vAlign w:val="bottom"/>
            <w:tcBorders>
              <w:bottom w:val="single" w:sz="8" w:color="B4C6E7"/>
            </w:tcBorders>
            <w:shd w:val="clear" w:color="auto" w:fill="B4C6E7"/>
          </w:tcPr>
          <w:p>
            <w:pPr>
              <w:jc w:val="center"/>
              <w:ind w:left="30"/>
              <w:spacing w:after="0"/>
              <w:rPr>
                <w:sz w:val="20"/>
                <w:szCs w:val="20"/>
                <w:color w:val="auto"/>
              </w:rPr>
            </w:pPr>
            <w:r>
              <w:rPr>
                <w:rFonts w:ascii="Arial" w:cs="Arial" w:eastAsia="Arial" w:hAnsi="Arial"/>
                <w:sz w:val="18"/>
                <w:szCs w:val="18"/>
                <w:b w:val="1"/>
                <w:bCs w:val="1"/>
                <w:color w:val="auto"/>
                <w:w w:val="87"/>
              </w:rPr>
              <w:t>(in shares)</w:t>
            </w:r>
          </w:p>
        </w:tc>
        <w:tc>
          <w:tcPr>
            <w:tcW w:w="1100" w:type="dxa"/>
            <w:vAlign w:val="bottom"/>
            <w:tcBorders>
              <w:bottom w:val="single" w:sz="8" w:color="B4C6E7"/>
            </w:tcBorders>
            <w:shd w:val="clear" w:color="auto" w:fill="B4C6E7"/>
          </w:tcPr>
          <w:p>
            <w:pPr>
              <w:jc w:val="center"/>
              <w:spacing w:after="0"/>
              <w:rPr>
                <w:sz w:val="20"/>
                <w:szCs w:val="20"/>
                <w:color w:val="auto"/>
              </w:rPr>
            </w:pPr>
            <w:r>
              <w:rPr>
                <w:rFonts w:ascii="Arial" w:cs="Arial" w:eastAsia="Arial" w:hAnsi="Arial"/>
                <w:sz w:val="18"/>
                <w:szCs w:val="18"/>
                <w:b w:val="1"/>
                <w:bCs w:val="1"/>
                <w:color w:val="auto"/>
                <w:w w:val="88"/>
              </w:rPr>
              <w:t>Stock Issued</w:t>
            </w:r>
          </w:p>
        </w:tc>
        <w:tc>
          <w:tcPr>
            <w:tcW w:w="1240" w:type="dxa"/>
            <w:vAlign w:val="bottom"/>
            <w:tcBorders>
              <w:bottom w:val="single" w:sz="8" w:color="B4C6E7"/>
            </w:tcBorders>
            <w:shd w:val="clear" w:color="auto" w:fill="B4C6E7"/>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Borders>
              <w:bottom w:val="single" w:sz="8" w:color="B4C6E7"/>
            </w:tcBorders>
            <w:shd w:val="clear" w:color="auto" w:fill="B4C6E7"/>
          </w:tcPr>
          <w:p>
            <w:pPr>
              <w:spacing w:after="0"/>
              <w:rPr>
                <w:sz w:val="22"/>
                <w:szCs w:val="22"/>
                <w:color w:val="auto"/>
              </w:rPr>
            </w:pPr>
          </w:p>
        </w:tc>
        <w:tc>
          <w:tcPr>
            <w:tcW w:w="880" w:type="dxa"/>
            <w:vAlign w:val="bottom"/>
            <w:tcBorders>
              <w:bottom w:val="single" w:sz="8" w:color="B4C6E7"/>
            </w:tcBorders>
            <w:shd w:val="clear" w:color="auto" w:fill="B4C6E7"/>
          </w:tcPr>
          <w:p>
            <w:pPr>
              <w:jc w:val="center"/>
              <w:spacing w:after="0"/>
              <w:rPr>
                <w:sz w:val="20"/>
                <w:szCs w:val="20"/>
                <w:color w:val="auto"/>
              </w:rPr>
            </w:pPr>
            <w:r>
              <w:rPr>
                <w:rFonts w:ascii="Arial" w:cs="Arial" w:eastAsia="Arial" w:hAnsi="Arial"/>
                <w:sz w:val="18"/>
                <w:szCs w:val="18"/>
                <w:b w:val="1"/>
                <w:bCs w:val="1"/>
                <w:color w:val="auto"/>
                <w:w w:val="89"/>
              </w:rPr>
              <w:t>Stock</w:t>
            </w:r>
          </w:p>
        </w:tc>
        <w:tc>
          <w:tcPr>
            <w:tcW w:w="1100" w:type="dxa"/>
            <w:vAlign w:val="bottom"/>
            <w:tcBorders>
              <w:bottom w:val="single" w:sz="8" w:color="B4C6E7"/>
              <w:right w:val="single" w:sz="8" w:color="auto"/>
            </w:tcBorders>
            <w:shd w:val="clear" w:color="auto" w:fill="B4C6E7"/>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37"/>
        </w:trPr>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R0150</w:t>
            </w:r>
          </w:p>
        </w:tc>
        <w:tc>
          <w:tcPr>
            <w:tcW w:w="5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9"/>
              </w:rPr>
              <w:t>2014</w:t>
            </w: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Hughes, Louis</w:t>
            </w: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8/15/2016</w:t>
            </w: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3"/>
              </w:rPr>
              <w:t>$693,900</w:t>
            </w:r>
          </w:p>
        </w:tc>
        <w:tc>
          <w:tcPr>
            <w:tcW w:w="10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8"/>
              </w:rPr>
              <w:t>$77.1000</w:t>
            </w:r>
          </w:p>
        </w:tc>
        <w:tc>
          <w:tcPr>
            <w:tcW w:w="108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7"/>
              </w:rPr>
              <w:t>9,000</w:t>
            </w:r>
          </w:p>
        </w:tc>
        <w:tc>
          <w:tcPr>
            <w:tcW w:w="11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6,000</w:t>
            </w:r>
          </w:p>
        </w:tc>
        <w:tc>
          <w:tcPr>
            <w:tcW w:w="1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3,000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3,000</w:t>
            </w:r>
          </w:p>
        </w:tc>
      </w:tr>
      <w:tr>
        <w:trPr>
          <w:trHeight w:val="270"/>
        </w:trPr>
        <w:tc>
          <w:tcPr>
            <w:tcW w:w="1060" w:type="dxa"/>
            <w:vAlign w:val="bottom"/>
          </w:tcPr>
          <w:p>
            <w:pPr>
              <w:jc w:val="center"/>
              <w:spacing w:after="0"/>
              <w:rPr>
                <w:sz w:val="20"/>
                <w:szCs w:val="20"/>
                <w:color w:val="auto"/>
              </w:rPr>
            </w:pPr>
            <w:r>
              <w:rPr>
                <w:rFonts w:ascii="Arial" w:cs="Arial" w:eastAsia="Arial" w:hAnsi="Arial"/>
                <w:sz w:val="18"/>
                <w:szCs w:val="18"/>
                <w:color w:val="auto"/>
                <w:w w:val="90"/>
              </w:rPr>
              <w:t>R0156</w:t>
            </w:r>
          </w:p>
        </w:tc>
        <w:tc>
          <w:tcPr>
            <w:tcW w:w="520" w:type="dxa"/>
            <w:vAlign w:val="bottom"/>
          </w:tcPr>
          <w:p>
            <w:pPr>
              <w:ind w:left="100"/>
              <w:spacing w:after="0"/>
              <w:rPr>
                <w:sz w:val="20"/>
                <w:szCs w:val="20"/>
                <w:color w:val="auto"/>
              </w:rPr>
            </w:pPr>
            <w:r>
              <w:rPr>
                <w:rFonts w:ascii="Arial" w:cs="Arial" w:eastAsia="Arial" w:hAnsi="Arial"/>
                <w:sz w:val="18"/>
                <w:szCs w:val="18"/>
                <w:color w:val="auto"/>
                <w:w w:val="99"/>
              </w:rPr>
              <w:t>2014</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Hughes, Louis</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2/8/2017</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3"/>
              </w:rPr>
              <w:t>$300,020</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w w:val="98"/>
              </w:rPr>
              <w:t>$62.7000</w:t>
            </w:r>
          </w:p>
        </w:tc>
        <w:tc>
          <w:tcPr>
            <w:tcW w:w="1080" w:type="dxa"/>
            <w:vAlign w:val="bottom"/>
          </w:tcPr>
          <w:p>
            <w:pPr>
              <w:jc w:val="right"/>
              <w:ind w:right="530"/>
              <w:spacing w:after="0"/>
              <w:rPr>
                <w:sz w:val="20"/>
                <w:szCs w:val="20"/>
                <w:color w:val="auto"/>
              </w:rPr>
            </w:pPr>
            <w:r>
              <w:rPr>
                <w:rFonts w:ascii="Arial" w:cs="Arial" w:eastAsia="Arial" w:hAnsi="Arial"/>
                <w:sz w:val="18"/>
                <w:szCs w:val="18"/>
                <w:color w:val="auto"/>
                <w:w w:val="97"/>
              </w:rPr>
              <w:t>4,785</w:t>
            </w:r>
          </w:p>
        </w:tc>
        <w:tc>
          <w:tcPr>
            <w:tcW w:w="1100" w:type="dxa"/>
            <w:vAlign w:val="bottom"/>
          </w:tcPr>
          <w:p>
            <w:pPr>
              <w:ind w:left="100"/>
              <w:spacing w:after="0"/>
              <w:rPr>
                <w:sz w:val="20"/>
                <w:szCs w:val="20"/>
                <w:color w:val="auto"/>
              </w:rPr>
            </w:pPr>
            <w:r>
              <w:rPr>
                <w:rFonts w:ascii="Arial" w:cs="Arial" w:eastAsia="Arial" w:hAnsi="Arial"/>
                <w:sz w:val="18"/>
                <w:szCs w:val="18"/>
                <w:color w:val="auto"/>
              </w:rPr>
              <w:t>2,792</w:t>
            </w:r>
          </w:p>
        </w:tc>
        <w:tc>
          <w:tcPr>
            <w:tcW w:w="1240" w:type="dxa"/>
            <w:vAlign w:val="bottom"/>
          </w:tcPr>
          <w:p>
            <w:pPr>
              <w:ind w:left="40"/>
              <w:spacing w:after="0"/>
              <w:rPr>
                <w:sz w:val="20"/>
                <w:szCs w:val="20"/>
                <w:color w:val="auto"/>
              </w:rPr>
            </w:pPr>
            <w:r>
              <w:rPr>
                <w:rFonts w:ascii="Arial" w:cs="Arial" w:eastAsia="Arial" w:hAnsi="Arial"/>
                <w:sz w:val="18"/>
                <w:szCs w:val="18"/>
                <w:color w:val="auto"/>
              </w:rPr>
              <w:t>1,993</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3"/>
                <w:szCs w:val="23"/>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color w:val="auto"/>
              </w:rPr>
              <w:t>1,993</w:t>
            </w:r>
          </w:p>
        </w:tc>
      </w:tr>
      <w:tr>
        <w:trPr>
          <w:trHeight w:val="270"/>
        </w:trPr>
        <w:tc>
          <w:tcPr>
            <w:tcW w:w="1060" w:type="dxa"/>
            <w:vAlign w:val="bottom"/>
          </w:tcPr>
          <w:p>
            <w:pPr>
              <w:jc w:val="center"/>
              <w:spacing w:after="0"/>
              <w:rPr>
                <w:sz w:val="20"/>
                <w:szCs w:val="20"/>
                <w:color w:val="auto"/>
              </w:rPr>
            </w:pPr>
            <w:r>
              <w:rPr>
                <w:rFonts w:ascii="Arial" w:cs="Arial" w:eastAsia="Arial" w:hAnsi="Arial"/>
                <w:sz w:val="18"/>
                <w:szCs w:val="18"/>
                <w:color w:val="auto"/>
                <w:w w:val="90"/>
              </w:rPr>
              <w:t>R0248</w:t>
            </w:r>
          </w:p>
        </w:tc>
        <w:tc>
          <w:tcPr>
            <w:tcW w:w="520" w:type="dxa"/>
            <w:vAlign w:val="bottom"/>
          </w:tcPr>
          <w:p>
            <w:pPr>
              <w:ind w:left="100"/>
              <w:spacing w:after="0"/>
              <w:rPr>
                <w:sz w:val="20"/>
                <w:szCs w:val="20"/>
                <w:color w:val="auto"/>
              </w:rPr>
            </w:pPr>
            <w:r>
              <w:rPr>
                <w:rFonts w:ascii="Arial" w:cs="Arial" w:eastAsia="Arial" w:hAnsi="Arial"/>
                <w:sz w:val="18"/>
                <w:szCs w:val="18"/>
                <w:color w:val="auto"/>
                <w:w w:val="99"/>
              </w:rPr>
              <w:t>2014</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Hughes, Louis</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2/8/2018</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3"/>
              </w:rPr>
              <w:t>$300,041</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w w:val="98"/>
              </w:rPr>
              <w:t>$44.9500</w:t>
            </w:r>
          </w:p>
        </w:tc>
        <w:tc>
          <w:tcPr>
            <w:tcW w:w="1080" w:type="dxa"/>
            <w:vAlign w:val="bottom"/>
          </w:tcPr>
          <w:p>
            <w:pPr>
              <w:jc w:val="right"/>
              <w:ind w:right="530"/>
              <w:spacing w:after="0"/>
              <w:rPr>
                <w:sz w:val="20"/>
                <w:szCs w:val="20"/>
                <w:color w:val="auto"/>
              </w:rPr>
            </w:pPr>
            <w:r>
              <w:rPr>
                <w:rFonts w:ascii="Arial" w:cs="Arial" w:eastAsia="Arial" w:hAnsi="Arial"/>
                <w:sz w:val="18"/>
                <w:szCs w:val="18"/>
                <w:color w:val="auto"/>
                <w:w w:val="97"/>
              </w:rPr>
              <w:t>6,675</w:t>
            </w:r>
          </w:p>
        </w:tc>
        <w:tc>
          <w:tcPr>
            <w:tcW w:w="1100" w:type="dxa"/>
            <w:vAlign w:val="bottom"/>
          </w:tcPr>
          <w:p>
            <w:pPr>
              <w:ind w:left="100"/>
              <w:spacing w:after="0"/>
              <w:rPr>
                <w:sz w:val="20"/>
                <w:szCs w:val="20"/>
                <w:color w:val="auto"/>
              </w:rPr>
            </w:pPr>
            <w:r>
              <w:rPr>
                <w:rFonts w:ascii="Arial" w:cs="Arial" w:eastAsia="Arial" w:hAnsi="Arial"/>
                <w:sz w:val="18"/>
                <w:szCs w:val="18"/>
                <w:color w:val="auto"/>
              </w:rPr>
              <w:t>-</w:t>
            </w:r>
          </w:p>
        </w:tc>
        <w:tc>
          <w:tcPr>
            <w:tcW w:w="1240" w:type="dxa"/>
            <w:vAlign w:val="bottom"/>
          </w:tcPr>
          <w:p>
            <w:pPr>
              <w:ind w:left="40"/>
              <w:spacing w:after="0"/>
              <w:rPr>
                <w:sz w:val="20"/>
                <w:szCs w:val="20"/>
                <w:color w:val="auto"/>
              </w:rPr>
            </w:pPr>
            <w:r>
              <w:rPr>
                <w:rFonts w:ascii="Arial" w:cs="Arial" w:eastAsia="Arial" w:hAnsi="Arial"/>
                <w:sz w:val="18"/>
                <w:szCs w:val="18"/>
                <w:color w:val="auto"/>
              </w:rPr>
              <w:t>6,675</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3"/>
                <w:szCs w:val="23"/>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color w:val="auto"/>
              </w:rPr>
              <w:t>6,675</w:t>
            </w:r>
          </w:p>
        </w:tc>
      </w:tr>
    </w:tbl>
    <w:p>
      <w:pPr>
        <w:spacing w:after="0" w:line="22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Prior to the Effective Date, Executive is vested in and has been issued those Restricted Stock Units set forth in the column titled “Restricted Stock Issued” of the listing above. So long as Executive remains employed through the Term End Date and otherwise satisfies the terms and conditions hereof and of the relevant Equity Awards and Plan document (as modified by subsection 4(c) of this Agreement), Executive will become fully vested in the remaining unvested shares in accordance with the Equity Awards and the Plan document, and all such shares shall be promptly</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40"/>
          </w:cols>
          <w:pgMar w:left="240" w:top="1080" w:right="219" w:bottom="1440" w:gutter="0" w:footer="0" w:header="0"/>
        </w:sectPr>
      </w:pPr>
    </w:p>
    <w:bookmarkStart w:id="93" w:name="page94"/>
    <w:bookmarkEnd w:id="93"/>
    <w:p>
      <w:pPr>
        <w:ind w:right="20"/>
        <w:spacing w:after="0" w:line="277" w:lineRule="auto"/>
        <w:rPr>
          <w:sz w:val="20"/>
          <w:szCs w:val="20"/>
          <w:color w:val="auto"/>
        </w:rPr>
      </w:pPr>
      <w:r>
        <w:rPr>
          <w:rFonts w:ascii="Arial" w:cs="Arial" w:eastAsia="Arial" w:hAnsi="Arial"/>
          <w:sz w:val="18"/>
          <w:szCs w:val="18"/>
          <w:color w:val="auto"/>
        </w:rPr>
        <w:t>issued to Executive in accordance with Executive’s previous election, so long as all taxes due from Executive resulting from such issuance of shares are paid in accordance with Executive’s previous election.</w:t>
      </w:r>
    </w:p>
    <w:p>
      <w:pPr>
        <w:spacing w:after="0" w:line="211" w:lineRule="exact"/>
        <w:rPr>
          <w:sz w:val="20"/>
          <w:szCs w:val="20"/>
          <w:color w:val="auto"/>
        </w:rPr>
      </w:pPr>
    </w:p>
    <w:p>
      <w:pPr>
        <w:jc w:val="both"/>
        <w:ind w:right="20" w:firstLine="1305"/>
        <w:spacing w:after="0" w:line="301" w:lineRule="auto"/>
        <w:tabs>
          <w:tab w:leader="none" w:pos="1778" w:val="left"/>
        </w:tabs>
        <w:numPr>
          <w:ilvl w:val="1"/>
          <w:numId w:val="43"/>
        </w:numPr>
        <w:rPr>
          <w:rFonts w:ascii="Arial" w:cs="Arial" w:eastAsia="Arial" w:hAnsi="Arial"/>
          <w:sz w:val="21"/>
          <w:szCs w:val="21"/>
          <w:color w:val="auto"/>
        </w:rPr>
      </w:pPr>
      <w:r>
        <w:rPr>
          <w:rFonts w:ascii="Arial" w:cs="Arial" w:eastAsia="Arial" w:hAnsi="Arial"/>
          <w:sz w:val="17"/>
          <w:szCs w:val="17"/>
          <w:color w:val="auto"/>
        </w:rPr>
        <w:t>For the avoidance of doubt, the relevant terms and conditions of the Equity Awards and the Plan document shall continue to apply except as expressly modified herein, provided that, Executive’s termination of employment on the Separation Date (other than due to Executive’s voluntary quit or termination by UEI for Cause) shall be deemed to be a termination without Cause under the Equity Awards and Plan.</w:t>
      </w:r>
    </w:p>
    <w:p>
      <w:pPr>
        <w:spacing w:after="0" w:line="188" w:lineRule="exact"/>
        <w:rPr>
          <w:rFonts w:ascii="Arial" w:cs="Arial" w:eastAsia="Arial" w:hAnsi="Arial"/>
          <w:sz w:val="21"/>
          <w:szCs w:val="21"/>
          <w:color w:val="auto"/>
        </w:rPr>
      </w:pPr>
    </w:p>
    <w:p>
      <w:pPr>
        <w:ind w:left="1440" w:hanging="784"/>
        <w:spacing w:after="0"/>
        <w:tabs>
          <w:tab w:leader="none" w:pos="1440"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 CONTINUATION AFTER SEPARATION</w:t>
      </w:r>
      <w:r>
        <w:rPr>
          <w:rFonts w:ascii="Arial" w:cs="Arial" w:eastAsia="Arial" w:hAnsi="Arial"/>
          <w:sz w:val="18"/>
          <w:szCs w:val="18"/>
          <w:b w:val="1"/>
          <w:bCs w:val="1"/>
          <w:color w:val="auto"/>
        </w:rPr>
        <w:t>.</w:t>
      </w:r>
    </w:p>
    <w:p>
      <w:pPr>
        <w:spacing w:after="0" w:line="269" w:lineRule="exact"/>
        <w:rPr>
          <w:rFonts w:ascii="Arial" w:cs="Arial" w:eastAsia="Arial" w:hAnsi="Arial"/>
          <w:sz w:val="18"/>
          <w:szCs w:val="18"/>
          <w:color w:val="auto"/>
        </w:rPr>
      </w:pPr>
    </w:p>
    <w:p>
      <w:pPr>
        <w:jc w:val="both"/>
        <w:ind w:left="660" w:firstLine="645"/>
        <w:spacing w:after="0" w:line="319" w:lineRule="auto"/>
        <w:tabs>
          <w:tab w:leader="none" w:pos="2156"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The benefits received by Executive and Executive’s eligible dependents (if any) under UEI’s medical and dental plans will cease as of the earlier of February 1, 2019 or the Separation Date. Thereafter, pursuant to governing law and independent of this Agreement, Executive will be entitled to elect benefit continuation coverage under the Consolidated Omnibus Budget Reconciliation Act of 1985, as amended (“COBRA”), for Executive and any eligible dependents if Executive timely applies for such coverage. Such COBRA coverage will be at Executive’s sole expense and will be subject to the provisions of COBRA and UEI’s medical and dental plans, which may be modified from time to time. Information regarding Executive’s eligibility for COBRA coverage, and the terms and conditions of such coverage, will be provided to Executive in separate correspondence. If Executive elects benefit continuation coverage as set forth in this Section 5(a), until the Separation Date and upon receipt of proof of payment by Executive of the monthly costs to continue such medical and dental benefits, UEI shall, within thirty (30) days of the receipt by UEI of Executive’s proof of payment, reimburse Executive for a portion of Executive’s monthly cost to continue such medical and dental benefits as follows:</w:t>
      </w:r>
    </w:p>
    <w:p>
      <w:pPr>
        <w:spacing w:after="0" w:line="156" w:lineRule="exact"/>
        <w:rPr>
          <w:rFonts w:ascii="Arial" w:cs="Arial" w:eastAsia="Arial" w:hAnsi="Arial"/>
          <w:sz w:val="17"/>
          <w:szCs w:val="17"/>
          <w:color w:val="auto"/>
        </w:rPr>
      </w:pPr>
    </w:p>
    <w:p>
      <w:pPr>
        <w:ind w:left="2360" w:hanging="326"/>
        <w:spacing w:after="0"/>
        <w:tabs>
          <w:tab w:leader="none" w:pos="2360" w:val="left"/>
        </w:tabs>
        <w:numPr>
          <w:ilvl w:val="2"/>
          <w:numId w:val="44"/>
        </w:numPr>
        <w:rPr>
          <w:rFonts w:ascii="Arial" w:cs="Arial" w:eastAsia="Arial" w:hAnsi="Arial"/>
          <w:sz w:val="18"/>
          <w:szCs w:val="18"/>
          <w:color w:val="auto"/>
        </w:rPr>
      </w:pPr>
      <w:r>
        <w:rPr>
          <w:rFonts w:ascii="Arial" w:cs="Arial" w:eastAsia="Arial" w:hAnsi="Arial"/>
          <w:sz w:val="18"/>
          <w:szCs w:val="18"/>
          <w:color w:val="auto"/>
        </w:rPr>
        <w:t>Medical – Executive and Family -- $1,479.92; and</w:t>
      </w:r>
    </w:p>
    <w:p>
      <w:pPr>
        <w:spacing w:after="0" w:line="23" w:lineRule="exact"/>
        <w:rPr>
          <w:rFonts w:ascii="Arial" w:cs="Arial" w:eastAsia="Arial" w:hAnsi="Arial"/>
          <w:sz w:val="18"/>
          <w:szCs w:val="18"/>
          <w:color w:val="auto"/>
        </w:rPr>
      </w:pPr>
    </w:p>
    <w:p>
      <w:pPr>
        <w:ind w:left="2360" w:hanging="326"/>
        <w:spacing w:after="0"/>
        <w:tabs>
          <w:tab w:leader="none" w:pos="2360" w:val="left"/>
        </w:tabs>
        <w:numPr>
          <w:ilvl w:val="2"/>
          <w:numId w:val="44"/>
        </w:numPr>
        <w:rPr>
          <w:rFonts w:ascii="Arial" w:cs="Arial" w:eastAsia="Arial" w:hAnsi="Arial"/>
          <w:sz w:val="18"/>
          <w:szCs w:val="18"/>
          <w:color w:val="auto"/>
        </w:rPr>
      </w:pPr>
      <w:r>
        <w:rPr>
          <w:rFonts w:ascii="Arial" w:cs="Arial" w:eastAsia="Arial" w:hAnsi="Arial"/>
          <w:sz w:val="18"/>
          <w:szCs w:val="18"/>
          <w:color w:val="auto"/>
        </w:rPr>
        <w:t>Dental – Executive and Family -- $195.25,</w:t>
      </w:r>
    </w:p>
    <w:p>
      <w:pPr>
        <w:spacing w:after="0" w:line="211"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with such amounts representing the difference between the premiums paid by Executive prior to February 1, 2019 and the monthly premiums due under COBRA.</w:t>
      </w:r>
    </w:p>
    <w:p>
      <w:pPr>
        <w:spacing w:after="0" w:line="197" w:lineRule="exact"/>
        <w:rPr>
          <w:sz w:val="20"/>
          <w:szCs w:val="20"/>
          <w:color w:val="auto"/>
        </w:rPr>
      </w:pPr>
    </w:p>
    <w:p>
      <w:pPr>
        <w:jc w:val="both"/>
        <w:ind w:left="660" w:firstLine="645"/>
        <w:spacing w:after="0" w:line="302" w:lineRule="auto"/>
        <w:tabs>
          <w:tab w:leader="none" w:pos="2166"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Executive acknowledges and agrees that all life insurance previously provided to Executive by UEI shall terminate as of the earlier of the end of business on January 31, 2019, or the last day of the month in which the Separation Date falls, unless Executive elects to port such insurance to himself in accordance with the terms and conditions of the applicable insurance policy(ies). Should Executive seek to port any such insurance policy(ies), Executive understands and agrees that he shall be solely and fully responsible for all premiums and other duties and obligations as required under the terms and conditions of such insurance policy(ies). Upon Executive’s request, UEI will contact Mark Schuster, the contact person at the insurance provider, and request that the provider work directly with Executive to effect a transfer of the life insurance to Executive.</w:t>
      </w:r>
    </w:p>
    <w:p>
      <w:pPr>
        <w:spacing w:after="0" w:line="185" w:lineRule="exact"/>
        <w:rPr>
          <w:rFonts w:ascii="Arial" w:cs="Arial" w:eastAsia="Arial" w:hAnsi="Arial"/>
          <w:sz w:val="18"/>
          <w:szCs w:val="18"/>
          <w:color w:val="auto"/>
        </w:rPr>
      </w:pPr>
    </w:p>
    <w:p>
      <w:pPr>
        <w:ind w:left="1440" w:hanging="784"/>
        <w:spacing w:after="0"/>
        <w:tabs>
          <w:tab w:leader="none" w:pos="14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HONG KONG EXPENSES</w:t>
      </w:r>
      <w:r>
        <w:rPr>
          <w:rFonts w:ascii="Arial" w:cs="Arial" w:eastAsia="Arial" w:hAnsi="Arial"/>
          <w:sz w:val="18"/>
          <w:szCs w:val="18"/>
          <w:b w:val="1"/>
          <w:bCs w:val="1"/>
          <w:color w:val="auto"/>
        </w:rPr>
        <w:t>.</w:t>
      </w:r>
    </w:p>
    <w:p>
      <w:pPr>
        <w:spacing w:after="0" w:line="269" w:lineRule="exact"/>
        <w:rPr>
          <w:rFonts w:ascii="Arial" w:cs="Arial" w:eastAsia="Arial" w:hAnsi="Arial"/>
          <w:sz w:val="18"/>
          <w:szCs w:val="18"/>
          <w:b w:val="1"/>
          <w:bCs w:val="1"/>
          <w:color w:val="auto"/>
        </w:rPr>
      </w:pPr>
    </w:p>
    <w:p>
      <w:pPr>
        <w:jc w:val="both"/>
        <w:ind w:left="660" w:firstLine="645"/>
        <w:spacing w:after="0" w:line="346" w:lineRule="auto"/>
        <w:tabs>
          <w:tab w:leader="none" w:pos="2156"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Executive and Executive’s family currently live in an apartment which has been provided by UEI (the “Apartment”). Rent and utilities of the Apartment are currently paid by UEI directly to the landlord. The 12 month lease for the Apartment which was begun on August 1, 2018 is in UEI’s name. So long as Executive remains employed through the Term End Date and otherwise satisfies the terms and conditions hereof, and Executive and Executive’s family continue to occupy the Apartment as their primary residence, UEI shall continue to pay the rent and utilities for the Apartment through July 31, 2019, after which, UEI’s obligation to pay such rent and utilities for such Apartment shall cease. Executive acknowledges that UEI has (or will soon) inform the landlord of UEI’s intention to terminate the lease for the Apartment on July 31, 2019.</w:t>
      </w:r>
    </w:p>
    <w:p>
      <w:pPr>
        <w:spacing w:after="0" w:line="164" w:lineRule="exact"/>
        <w:rPr>
          <w:rFonts w:ascii="Arial" w:cs="Arial" w:eastAsia="Arial" w:hAnsi="Arial"/>
          <w:sz w:val="16"/>
          <w:szCs w:val="16"/>
          <w:color w:val="auto"/>
        </w:rPr>
      </w:pPr>
    </w:p>
    <w:p>
      <w:pPr>
        <w:jc w:val="both"/>
        <w:ind w:left="660" w:firstLine="645"/>
        <w:spacing w:after="0" w:line="311" w:lineRule="auto"/>
        <w:tabs>
          <w:tab w:leader="none" w:pos="2166"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Executive will need to return to the United States within the six month period following the Effective Date, while Executive is living in Hong Kong. UEI agrees to reimburse Executive within thirty (30) days of receipt of invoices, along with proof of payment by Executive, for the cost of airfare only (up to 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amount not to exceed $2,000 for each trip) for no more than three return trips to the USA over this six month period.</w:t>
      </w:r>
    </w:p>
    <w:p>
      <w:pPr>
        <w:spacing w:after="0" w:line="266" w:lineRule="exact"/>
        <w:rPr>
          <w:sz w:val="20"/>
          <w:szCs w:val="20"/>
          <w:color w:val="auto"/>
        </w:rPr>
      </w:pPr>
    </w:p>
    <w:p>
      <w:pPr>
        <w:jc w:val="both"/>
        <w:ind w:left="660" w:firstLine="645"/>
        <w:spacing w:after="0" w:line="311" w:lineRule="auto"/>
        <w:tabs>
          <w:tab w:leader="none" w:pos="2156" w:val="left"/>
        </w:tabs>
        <w:numPr>
          <w:ilvl w:val="1"/>
          <w:numId w:val="47"/>
        </w:numPr>
        <w:rPr>
          <w:rFonts w:ascii="Arial" w:cs="Arial" w:eastAsia="Arial" w:hAnsi="Arial"/>
          <w:sz w:val="18"/>
          <w:szCs w:val="18"/>
          <w:color w:val="auto"/>
        </w:rPr>
      </w:pPr>
      <w:r>
        <w:rPr>
          <w:rFonts w:ascii="Arial" w:cs="Arial" w:eastAsia="Arial" w:hAnsi="Arial"/>
          <w:sz w:val="18"/>
          <w:szCs w:val="18"/>
          <w:color w:val="auto"/>
        </w:rPr>
        <w:t>UEI agrees to reimburse Executive within thirty (30) days of receipt of invoices, along with proof of payment by Executive, for the cost of outplacement or executive recruiter services up to an amount not to exceed $5,000 to assist the Executive in his effort to find new employment within the restrictions of the covenants in Section 13.</w:t>
      </w:r>
    </w:p>
    <w:p>
      <w:pPr>
        <w:spacing w:after="0" w:line="181" w:lineRule="exact"/>
        <w:rPr>
          <w:rFonts w:ascii="Arial" w:cs="Arial" w:eastAsia="Arial" w:hAnsi="Arial"/>
          <w:sz w:val="18"/>
          <w:szCs w:val="18"/>
          <w:color w:val="auto"/>
        </w:rPr>
      </w:pPr>
    </w:p>
    <w:p>
      <w:pPr>
        <w:jc w:val="both"/>
        <w:ind w:left="660" w:right="20" w:firstLine="645"/>
        <w:spacing w:after="0" w:line="306" w:lineRule="auto"/>
        <w:tabs>
          <w:tab w:leader="none" w:pos="216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At such time as Executive and Executive family move back to the USA from Hong Kong (but only so long as such move occurs on or before July 31, 2019), UEI agrees to reimburse Executive within thirty (30) days of receipt of invoices, along with proof of payment by Executive, for the cost of airfare only (up to an amount not to exceed $5,000 per person for Executive and Executive’s spouse and $4,000 per person for each of Executive’s children ) for one return trip from Hong Kong to the USA.</w:t>
      </w:r>
    </w:p>
    <w:p>
      <w:pPr>
        <w:spacing w:after="0" w:line="186" w:lineRule="exact"/>
        <w:rPr>
          <w:rFonts w:ascii="Arial" w:cs="Arial" w:eastAsia="Arial" w:hAnsi="Arial"/>
          <w:sz w:val="18"/>
          <w:szCs w:val="18"/>
          <w:color w:val="auto"/>
        </w:rPr>
      </w:pPr>
    </w:p>
    <w:p>
      <w:pPr>
        <w:jc w:val="both"/>
        <w:ind w:left="660" w:firstLine="645"/>
        <w:spacing w:after="0" w:line="306" w:lineRule="auto"/>
        <w:tabs>
          <w:tab w:leader="none" w:pos="215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At such time as Executive and Executive family move back to the USA from Hong Kong (but only so long as such move occurs on or before July 31, 2019), UEI agrees to reimburse Executive within thirty (30) days of receipt of invoices, along with proof of payment by Executive, for the cost of moving the Executive’s and Executive’s family household and personal goods from Hong Kong to the USA (up to an amount not to exceed $5,000).</w:t>
      </w:r>
    </w:p>
    <w:p>
      <w:pPr>
        <w:spacing w:after="0" w:line="186" w:lineRule="exact"/>
        <w:rPr>
          <w:rFonts w:ascii="Arial" w:cs="Arial" w:eastAsia="Arial" w:hAnsi="Arial"/>
          <w:sz w:val="18"/>
          <w:szCs w:val="18"/>
          <w:color w:val="auto"/>
        </w:rPr>
      </w:pPr>
    </w:p>
    <w:p>
      <w:pPr>
        <w:ind w:left="660" w:right="20" w:firstLine="645"/>
        <w:spacing w:after="0" w:line="324" w:lineRule="auto"/>
        <w:tabs>
          <w:tab w:leader="none" w:pos="213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travel will be provided in accordance with UEI’s regular travel policies, provided that, any air travel will be provided at the business-class level, subject to the limitation set forth in the Section 6.</w:t>
      </w:r>
    </w:p>
    <w:p>
      <w:pPr>
        <w:spacing w:after="0" w:line="166" w:lineRule="exact"/>
        <w:rPr>
          <w:rFonts w:ascii="Arial" w:cs="Arial" w:eastAsia="Arial" w:hAnsi="Arial"/>
          <w:sz w:val="18"/>
          <w:szCs w:val="18"/>
          <w:color w:val="auto"/>
        </w:rPr>
      </w:pPr>
    </w:p>
    <w:p>
      <w:pPr>
        <w:jc w:val="both"/>
        <w:ind w:firstLine="656"/>
        <w:spacing w:after="0" w:line="308" w:lineRule="auto"/>
        <w:tabs>
          <w:tab w:leader="none" w:pos="1431"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acknowledges and agrees that within ten (10) days following the Separation Date, Executive will submit to UEI</w:t>
      </w:r>
      <w:r>
        <w:rPr>
          <w:rFonts w:ascii="Arial" w:cs="Arial" w:eastAsia="Arial" w:hAnsi="Arial"/>
          <w:sz w:val="18"/>
          <w:szCs w:val="18"/>
          <w:b w:val="1"/>
          <w:bCs w:val="1"/>
          <w:color w:val="auto"/>
        </w:rPr>
        <w:t xml:space="preserve"> </w:t>
      </w:r>
      <w:r>
        <w:rPr>
          <w:rFonts w:ascii="Arial" w:cs="Arial" w:eastAsia="Arial" w:hAnsi="Arial"/>
          <w:sz w:val="18"/>
          <w:szCs w:val="18"/>
          <w:color w:val="auto"/>
        </w:rPr>
        <w:t>all expense reports (if any) with appropriate documentation, in accordance with UEI policies and procedures. UEI will then reimburse Executive for all proper expenses in accordance with such policies and procedures. Executive agrees that once such reimbursements are made, no further expense reimbursement shall be due to Executive.</w:t>
      </w:r>
    </w:p>
    <w:p>
      <w:pPr>
        <w:spacing w:after="0" w:line="179" w:lineRule="exact"/>
        <w:rPr>
          <w:rFonts w:ascii="Arial" w:cs="Arial" w:eastAsia="Arial" w:hAnsi="Arial"/>
          <w:sz w:val="18"/>
          <w:szCs w:val="18"/>
          <w:color w:val="auto"/>
        </w:rPr>
      </w:pPr>
    </w:p>
    <w:p>
      <w:pPr>
        <w:jc w:val="both"/>
        <w:ind w:firstLine="656"/>
        <w:spacing w:after="0" w:line="305" w:lineRule="auto"/>
        <w:tabs>
          <w:tab w:leader="none" w:pos="1431"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ANNOUNCEMENT OF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UEI agrees that it will use the following announcement both internally and externally when</w:t>
      </w:r>
      <w:r>
        <w:rPr>
          <w:rFonts w:ascii="Arial" w:cs="Arial" w:eastAsia="Arial" w:hAnsi="Arial"/>
          <w:sz w:val="18"/>
          <w:szCs w:val="18"/>
          <w:b w:val="1"/>
          <w:bCs w:val="1"/>
          <w:color w:val="auto"/>
        </w:rPr>
        <w:t xml:space="preserve"> </w:t>
      </w:r>
      <w:r>
        <w:rPr>
          <w:rFonts w:ascii="Arial" w:cs="Arial" w:eastAsia="Arial" w:hAnsi="Arial"/>
          <w:sz w:val="18"/>
          <w:szCs w:val="18"/>
          <w:color w:val="auto"/>
        </w:rPr>
        <w:t>announcing Executive’s departure from UEI and/or Executive’s new role: “Chief Operating Officer Lou Hughes announced that he will be stepping down from his COO role effective January 31, 2019 so that he can explore other opportunities. Lou has agreed to serve in a part-time capacity as Strategic Advisor to the CEO effective February 1, 2019 to ensure the smooth transition of his COO duties. We thank Lou for his many contributions to Universal Electronics Inc. and wish him well in his future endeavors.”</w:t>
      </w:r>
    </w:p>
    <w:p>
      <w:pPr>
        <w:spacing w:after="0" w:line="183" w:lineRule="exact"/>
        <w:rPr>
          <w:rFonts w:ascii="Arial" w:cs="Arial" w:eastAsia="Arial" w:hAnsi="Arial"/>
          <w:sz w:val="18"/>
          <w:szCs w:val="18"/>
          <w:color w:val="auto"/>
        </w:rPr>
      </w:pPr>
    </w:p>
    <w:p>
      <w:pPr>
        <w:jc w:val="both"/>
        <w:ind w:firstLine="656"/>
        <w:spacing w:after="0" w:line="330" w:lineRule="auto"/>
        <w:tabs>
          <w:tab w:leader="none" w:pos="1431" w:val="left"/>
        </w:tabs>
        <w:numPr>
          <w:ilvl w:val="0"/>
          <w:numId w:val="48"/>
        </w:numPr>
        <w:rPr>
          <w:rFonts w:ascii="Arial" w:cs="Arial" w:eastAsia="Arial" w:hAnsi="Arial"/>
          <w:sz w:val="17"/>
          <w:szCs w:val="17"/>
          <w:color w:val="auto"/>
        </w:rPr>
      </w:pPr>
      <w:r>
        <w:rPr>
          <w:rFonts w:ascii="Arial" w:cs="Arial" w:eastAsia="Arial" w:hAnsi="Arial"/>
          <w:sz w:val="17"/>
          <w:szCs w:val="17"/>
          <w:b w:val="1"/>
          <w:bCs w:val="1"/>
          <w:u w:val="single" w:color="auto"/>
          <w:color w:val="auto"/>
        </w:rPr>
        <w:t>NO AUTHORITY</w:t>
      </w:r>
      <w:r>
        <w:rPr>
          <w:rFonts w:ascii="Arial" w:cs="Arial" w:eastAsia="Arial" w:hAnsi="Arial"/>
          <w:sz w:val="17"/>
          <w:szCs w:val="17"/>
          <w:color w:val="auto"/>
        </w:rPr>
        <w:t>. Executive acknowledges and agrees that commencing on the Effective Date and continuing through the Separation</w:t>
      </w:r>
      <w:r>
        <w:rPr>
          <w:rFonts w:ascii="Arial" w:cs="Arial" w:eastAsia="Arial" w:hAnsi="Arial"/>
          <w:sz w:val="17"/>
          <w:szCs w:val="17"/>
          <w:b w:val="1"/>
          <w:bCs w:val="1"/>
          <w:color w:val="auto"/>
        </w:rPr>
        <w:t xml:space="preserve"> </w:t>
      </w:r>
      <w:r>
        <w:rPr>
          <w:rFonts w:ascii="Arial" w:cs="Arial" w:eastAsia="Arial" w:hAnsi="Arial"/>
          <w:sz w:val="17"/>
          <w:szCs w:val="17"/>
          <w:color w:val="auto"/>
        </w:rPr>
        <w:t>Date, he shall not create any obligation for UEI, or bind UEI to any contracts or commitments of any kind or nature, without first consulting with and obtaining written approval from UEI’s CEO or Chief Financial Officer (the “CFO”). Furthermore, Executive acknowledges and agrees that on and after the Separation Date, he will not involve himself in any activities of UEI, except as may be requested in writing by UEI’s CEO.</w:t>
      </w:r>
    </w:p>
    <w:p>
      <w:pPr>
        <w:spacing w:after="0" w:line="167" w:lineRule="exact"/>
        <w:rPr>
          <w:rFonts w:ascii="Arial" w:cs="Arial" w:eastAsia="Arial" w:hAnsi="Arial"/>
          <w:sz w:val="17"/>
          <w:szCs w:val="17"/>
          <w:color w:val="auto"/>
        </w:rPr>
      </w:pPr>
    </w:p>
    <w:p>
      <w:pPr>
        <w:jc w:val="both"/>
        <w:ind w:firstLine="656"/>
        <w:spacing w:after="0" w:line="301" w:lineRule="auto"/>
        <w:tabs>
          <w:tab w:leader="none" w:pos="1521"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DUTY TO COOPERATE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agrees that through and following the Separation Date, Executive shall cooperate fully with UEI</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counsel with respect to any matter (including but not limited to any accounting matter, transitional issue, actual or threatened litigation, internal or external investigation, or governmental proceeding) about which UEI believes Executive may have relevant information. Such cooperation may include appearing from time to time at the offices of UEI or UEI’s counsel or participating in tele- and/or video- conference(s) for conferences and interviews and providing UEI and its counsel with the full benefit of Executive’s knowledge with respect to any such matter. During the Continuation Period and following the Separation Date, UEI shall try to schedule Executive’s cooperation for mutually convenient times that do not unduly interfere with Executive’s other professional and personal pursuits. All information concerning UEI or its businesses learned or received by Executive in connection with such cooperation shall be treated as confidential in the same manner as such information would have been treated during any period of employment and in accordance with the terms and conditions of confidentiality in Section 12 below. UEI agrees that in the event that UEI requires Executive to spend more than three (3) hours (including travel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52" w:right="239" w:bottom="1440" w:gutter="0" w:footer="0" w:header="0"/>
        </w:sectPr>
      </w:pPr>
    </w:p>
    <w:bookmarkStart w:id="95" w:name="page96"/>
    <w:bookmarkEnd w:id="95"/>
    <w:p>
      <w:pPr>
        <w:jc w:val="both"/>
        <w:spacing w:after="0" w:line="304" w:lineRule="auto"/>
        <w:rPr>
          <w:sz w:val="20"/>
          <w:szCs w:val="20"/>
          <w:color w:val="auto"/>
        </w:rPr>
      </w:pPr>
      <w:r>
        <w:rPr>
          <w:rFonts w:ascii="Arial" w:cs="Arial" w:eastAsia="Arial" w:hAnsi="Arial"/>
          <w:sz w:val="18"/>
          <w:szCs w:val="18"/>
          <w:color w:val="auto"/>
        </w:rPr>
        <w:t>time) providing cooperation in accordance with this Section 10 on any one occasion after the Separation Date, UEI shall pay Executive a fee equal to $150 per hour for any time in excess of the first three (3) hours of such cooperation on such occasion. Such fee, if any, shall be billed to UEI by Executive in ¼ hour increments and shall be paid to Executive within thirty (30) days of UEI’s receipt of an accurate itemized statement, with all necessary and appropriate documentation, from Executive. Executive shall be solely responsible for the payment of all taxes in connection with such payments and shall indemnify UEI and hold it harmless in connection therewith.</w:t>
      </w:r>
    </w:p>
    <w:p>
      <w:pPr>
        <w:spacing w:after="0" w:line="184" w:lineRule="exact"/>
        <w:rPr>
          <w:sz w:val="20"/>
          <w:szCs w:val="20"/>
          <w:color w:val="auto"/>
        </w:rPr>
      </w:pPr>
    </w:p>
    <w:p>
      <w:pPr>
        <w:jc w:val="both"/>
        <w:ind w:firstLine="656"/>
        <w:spacing w:after="0" w:line="342" w:lineRule="auto"/>
        <w:tabs>
          <w:tab w:leader="none" w:pos="1515" w:val="left"/>
        </w:tabs>
        <w:numPr>
          <w:ilvl w:val="0"/>
          <w:numId w:val="49"/>
        </w:numPr>
        <w:rPr>
          <w:rFonts w:ascii="Arial" w:cs="Arial" w:eastAsia="Arial" w:hAnsi="Arial"/>
          <w:sz w:val="16"/>
          <w:szCs w:val="16"/>
          <w:color w:val="auto"/>
        </w:rPr>
      </w:pPr>
      <w:r>
        <w:rPr>
          <w:rFonts w:ascii="Arial" w:cs="Arial" w:eastAsia="Arial" w:hAnsi="Arial"/>
          <w:sz w:val="16"/>
          <w:szCs w:val="16"/>
          <w:b w:val="1"/>
          <w:bCs w:val="1"/>
          <w:u w:val="single" w:color="auto"/>
          <w:color w:val="auto"/>
        </w:rPr>
        <w:t>RETURN OF UEI’S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Separation Date, or upon the request of the CEO at any other time, Executive agrees to</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to UEI’s General Counsel all UEI property (including but not limited to all computers, laptops, devices, equipment, smartphones, keys, key cards, credit cards, computer media, and other property) and all Confidential Information (as defined below) within his (or his family members’) possession, custody, or control, and to promptly destroy any copies of any Confidential Information remaining in such possession, custody, or control, including on any computers, laptops, disks, drives, email accounts (including gmail, yahoo, and any other email accounts, systems, or applications), instant messaging accounts (including texts, iChat, WhatsApp, WeChat, WeeChat, Line, and any other messaging accounts, systems, or applications), storage clouds, computing clouds, paper files, and any and all other repositories or locations in which such information may be stored. Executive agrees that from and after the Effective Date, he will not remove or copy or cause to be removed from the premises of UEI or copied any Confidential Information. Notwithstanding the foregoing, Executive shall be allowed to retain the UEI laptop and mobile phone in his possession, following their inspection by UEI’s IT department to ensure that all Confidential Information and all other materials, data, links, software or other items concerning or relating to UEI have been removed from the devices.</w:t>
      </w:r>
    </w:p>
    <w:p>
      <w:pPr>
        <w:spacing w:after="0" w:line="160" w:lineRule="exact"/>
        <w:rPr>
          <w:rFonts w:ascii="Arial" w:cs="Arial" w:eastAsia="Arial" w:hAnsi="Arial"/>
          <w:sz w:val="16"/>
          <w:szCs w:val="16"/>
          <w:color w:val="auto"/>
        </w:rPr>
      </w:pPr>
    </w:p>
    <w:p>
      <w:pPr>
        <w:jc w:val="both"/>
        <w:ind w:firstLine="656"/>
        <w:spacing w:after="0" w:line="344" w:lineRule="auto"/>
        <w:tabs>
          <w:tab w:leader="none" w:pos="1521" w:val="left"/>
        </w:tabs>
        <w:numPr>
          <w:ilvl w:val="0"/>
          <w:numId w:val="49"/>
        </w:numPr>
        <w:rPr>
          <w:rFonts w:ascii="Arial" w:cs="Arial" w:eastAsia="Arial" w:hAnsi="Arial"/>
          <w:sz w:val="16"/>
          <w:szCs w:val="16"/>
          <w:color w:val="auto"/>
        </w:rPr>
      </w:pPr>
      <w:r>
        <w:rPr>
          <w:rFonts w:ascii="Arial" w:cs="Arial" w:eastAsia="Arial" w:hAnsi="Arial"/>
          <w:sz w:val="16"/>
          <w:szCs w:val="16"/>
          <w:b w:val="1"/>
          <w:bCs w:val="1"/>
          <w:u w:val="single" w:color="auto"/>
          <w:color w:val="auto"/>
        </w:rPr>
        <w:t>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recognizes that he has a duty and obligation to UEI to continue to protect UEI’s</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and proprietary information and any trade secrets belonging to UEI and that such duty and obligation will survive through and following the Separation Date. For purposes of this Agreement, “Confidential Information” includes all trade secrets, proprietary information, confidential information, and commercially sensitive information, including but not limited to all information pertaining to sales (including backlogs); costs; pricing; business plans; strategies; the identity of UEI’s customers, suppliers, vendors, and consultants; contact information regarding UEI’s customers, suppliers, vendors, and consultants; lists regarding customer, suppliers, vendors, and consultants; and information regarding product development, marketing, strategies, financials, accounts receivable, customer credit, research and development, distribution, technology, product design, packaging, business forecasts, plans, budgets, manufacturing and assembly processes, know-how, budgeting, forecasting, and litigation matters and strategy. Executive therefore agrees that:</w:t>
      </w:r>
    </w:p>
    <w:p>
      <w:pPr>
        <w:spacing w:after="0" w:line="163" w:lineRule="exact"/>
        <w:rPr>
          <w:rFonts w:ascii="Arial" w:cs="Arial" w:eastAsia="Arial" w:hAnsi="Arial"/>
          <w:sz w:val="16"/>
          <w:szCs w:val="16"/>
          <w:color w:val="auto"/>
        </w:rPr>
      </w:pPr>
    </w:p>
    <w:p>
      <w:pPr>
        <w:ind w:left="2160" w:hanging="855"/>
        <w:spacing w:after="0"/>
        <w:tabs>
          <w:tab w:leader="none" w:pos="2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and all Confidential Information is the sole and exclusive property of UEI; and</w:t>
      </w:r>
    </w:p>
    <w:p>
      <w:pPr>
        <w:spacing w:after="0" w:line="265" w:lineRule="exact"/>
        <w:rPr>
          <w:rFonts w:ascii="Arial" w:cs="Arial" w:eastAsia="Arial" w:hAnsi="Arial"/>
          <w:sz w:val="18"/>
          <w:szCs w:val="18"/>
          <w:color w:val="auto"/>
        </w:rPr>
      </w:pPr>
    </w:p>
    <w:p>
      <w:pPr>
        <w:ind w:left="660" w:firstLine="645"/>
        <w:spacing w:after="0" w:line="324" w:lineRule="auto"/>
        <w:tabs>
          <w:tab w:leader="none" w:pos="2166" w:val="left"/>
        </w:tabs>
        <w:numPr>
          <w:ilvl w:val="1"/>
          <w:numId w:val="49"/>
        </w:numPr>
        <w:rPr>
          <w:rFonts w:ascii="Arial" w:cs="Arial" w:eastAsia="Arial" w:hAnsi="Arial"/>
          <w:sz w:val="18"/>
          <w:szCs w:val="18"/>
          <w:color w:val="auto"/>
        </w:rPr>
      </w:pPr>
      <w:r>
        <w:rPr>
          <w:rFonts w:ascii="Arial" w:cs="Arial" w:eastAsia="Arial" w:hAnsi="Arial"/>
          <w:sz w:val="18"/>
          <w:szCs w:val="18"/>
          <w:color w:val="auto"/>
        </w:rPr>
        <w:t>Executive shall not use, disclose, divulge or convey any Confidential Information to any person or entity outside UEI without the prior written permission of UEI’s CEO.</w:t>
      </w:r>
    </w:p>
    <w:p>
      <w:pPr>
        <w:spacing w:after="0" w:line="139"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r>
        <w:rPr>
          <w:rFonts w:ascii="Arial" w:cs="Arial" w:eastAsia="Arial" w:hAnsi="Arial"/>
          <w:sz w:val="18"/>
          <w:szCs w:val="18"/>
          <w:b w:val="1"/>
          <w:bCs w:val="1"/>
          <w:color w:val="auto"/>
        </w:rPr>
        <w:t>.</w:t>
      </w:r>
    </w:p>
    <w:p>
      <w:pPr>
        <w:spacing w:after="0" w:line="256" w:lineRule="exact"/>
        <w:rPr>
          <w:rFonts w:ascii="Arial" w:cs="Arial" w:eastAsia="Arial" w:hAnsi="Arial"/>
          <w:sz w:val="18"/>
          <w:szCs w:val="18"/>
          <w:color w:val="auto"/>
        </w:rPr>
      </w:pPr>
    </w:p>
    <w:p>
      <w:pPr>
        <w:jc w:val="both"/>
        <w:ind w:left="660" w:firstLine="645"/>
        <w:spacing w:after="0" w:line="320" w:lineRule="auto"/>
        <w:tabs>
          <w:tab w:leader="none" w:pos="2156" w:val="left"/>
        </w:tabs>
        <w:numPr>
          <w:ilvl w:val="1"/>
          <w:numId w:val="49"/>
        </w:numPr>
        <w:rPr>
          <w:rFonts w:ascii="Arial" w:cs="Arial" w:eastAsia="Arial" w:hAnsi="Arial"/>
          <w:sz w:val="17"/>
          <w:szCs w:val="17"/>
          <w:color w:val="auto"/>
        </w:rPr>
      </w:pPr>
      <w:r>
        <w:rPr>
          <w:rFonts w:ascii="Arial" w:cs="Arial" w:eastAsia="Arial" w:hAnsi="Arial"/>
          <w:sz w:val="17"/>
          <w:szCs w:val="17"/>
          <w:color w:val="auto"/>
        </w:rPr>
        <w:t>From the Effective Date through the 12 month period following the Separation Date, Executive shall not, without the prior written consent of UEI’s CEO, directly or indirectly, join, become employed or retained by, own any interest in, or render any services (whether as an employee, officer, director, partner, member, consultant, advisor, volunteer, or otherwise) to any person or entity that competes with (or actively plans to compete with) UEI’s products/markets as they exist on the Separation Date in the design, development and/or manufacture of sensor, control, and connectivity products and/or technology used in the audio-video, security, subscription broadcasting, and/or OEM products/markets, whether or not in exchange for compensation, and regardless of the form in which any compensation is paid. For the avoidance of doubt, Executive may become employed or retained by any of the companies listed on Exhibit 2 without violating the restrictive covenants contained in this subsection 13(a) but only so long as at or before the time Executive becomes employed or retained, such company was not actively planning to create and sell products that would be competitive with UEI (the “Permitted Companies”).</w:t>
      </w:r>
    </w:p>
    <w:p>
      <w:pPr>
        <w:spacing w:after="0" w:line="179" w:lineRule="exact"/>
        <w:rPr>
          <w:rFonts w:ascii="Arial" w:cs="Arial" w:eastAsia="Arial" w:hAnsi="Arial"/>
          <w:sz w:val="17"/>
          <w:szCs w:val="17"/>
          <w:color w:val="auto"/>
        </w:rPr>
      </w:pPr>
    </w:p>
    <w:p>
      <w:pPr>
        <w:ind w:left="2160" w:hanging="855"/>
        <w:spacing w:after="0"/>
        <w:tabs>
          <w:tab w:leader="none" w:pos="21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From the Effective Date through the 12 month period following the Separation Date, Executive shall not, directly or indirectly,</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 solicit, induce or encourage any employee, customer, consultant,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52" w:right="239" w:bottom="1440" w:gutter="0" w:footer="0" w:header="0"/>
        </w:sectPr>
      </w:pPr>
    </w:p>
    <w:bookmarkStart w:id="96" w:name="page97"/>
    <w:bookmarkEnd w:id="96"/>
    <w:p>
      <w:pPr>
        <w:jc w:val="both"/>
        <w:ind w:left="660"/>
        <w:spacing w:after="0" w:line="311" w:lineRule="auto"/>
        <w:rPr>
          <w:sz w:val="20"/>
          <w:szCs w:val="20"/>
          <w:color w:val="auto"/>
        </w:rPr>
      </w:pPr>
      <w:r>
        <w:rPr>
          <w:rFonts w:ascii="Arial" w:cs="Arial" w:eastAsia="Arial" w:hAnsi="Arial"/>
          <w:sz w:val="18"/>
          <w:szCs w:val="18"/>
          <w:color w:val="auto"/>
        </w:rPr>
        <w:t>or other person or entity to leave, resign from, or cease doing business with UEI, (ii) interfere in any way with UEI’s relationships with any of its employees, customers, consultants, or vendors, (iii) solicit, recruit, or hire any employee of UEI, or (iv) aid, abet, direct, assist, or encourage any other person or entity to do any of the foregoing.</w:t>
      </w:r>
    </w:p>
    <w:p>
      <w:pPr>
        <w:spacing w:after="0" w:line="177" w:lineRule="exact"/>
        <w:rPr>
          <w:sz w:val="20"/>
          <w:szCs w:val="20"/>
          <w:color w:val="auto"/>
        </w:rPr>
      </w:pPr>
    </w:p>
    <w:p>
      <w:pPr>
        <w:jc w:val="both"/>
        <w:ind w:firstLine="575"/>
        <w:spacing w:after="0" w:line="319" w:lineRule="auto"/>
        <w:tabs>
          <w:tab w:leader="none" w:pos="1508" w:val="left"/>
        </w:tabs>
        <w:numPr>
          <w:ilvl w:val="0"/>
          <w:numId w:val="50"/>
        </w:numPr>
        <w:rPr>
          <w:rFonts w:ascii="Arial" w:cs="Arial" w:eastAsia="Arial" w:hAnsi="Arial"/>
          <w:sz w:val="17"/>
          <w:szCs w:val="17"/>
          <w:color w:val="auto"/>
        </w:rPr>
      </w:pPr>
      <w:r>
        <w:rPr>
          <w:rFonts w:ascii="Arial" w:cs="Arial" w:eastAsia="Arial" w:hAnsi="Arial"/>
          <w:sz w:val="17"/>
          <w:szCs w:val="17"/>
          <w:b w:val="1"/>
          <w:bCs w:val="1"/>
          <w:u w:val="single" w:color="auto"/>
          <w:color w:val="auto"/>
        </w:rPr>
        <w:t>INTERPRETATION; GOVERNING LAW</w:t>
      </w:r>
      <w:r>
        <w:rPr>
          <w:rFonts w:ascii="Arial" w:cs="Arial" w:eastAsia="Arial" w:hAnsi="Arial"/>
          <w:sz w:val="17"/>
          <w:szCs w:val="17"/>
          <w:color w:val="auto"/>
        </w:rPr>
        <w:t>. This Agreement (including its Exhibit 1) (a) shall be fairly interpreted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its terms and without any construction in favor of or against either party, regardless of which party drafted this Agreement (including its Exhibit 1) or any particular provision hereof, (b) shall be governed by and construed in accordance with the laws of the State of Arizona, excluding any choice of law principles, (c) contains the parties’ entire agreement, arrangement, and understanding regarding its subject matter, and supersedes any prior or contemporaneous agreements, arrangements, or understandings, whether written or oral, including under any employment or other agreement; provided that nothing in this Agreement (including its Exhibit 1) shall supersede the terms of the Employee Proprietary Information Agreement dated on or about October 11, 2004; the Confidentiality &amp; Invention Ownership Agreement dated on or about November 8, 2004; the Equity Awards listed in Section 4 hereof; or the Plan (collectively, the “Surviving Agreements”), all of which will remain in full force and effect in accordance with their terms, and (d) may not be modified, amended, discharged, or terminated, nor may any of its provisions be varied or waived, except by a further written agreement signed by Executive, on the one hand, and the CEO, on the other hand. Executive further acknowledges and agrees that he is not entitled to receive, and will not claim, any right, benefit, compensation, or relief other than what is expressly set forth in this Agreement.</w:t>
      </w:r>
    </w:p>
    <w:p>
      <w:pPr>
        <w:spacing w:after="0" w:line="180" w:lineRule="exact"/>
        <w:rPr>
          <w:rFonts w:ascii="Arial" w:cs="Arial" w:eastAsia="Arial" w:hAnsi="Arial"/>
          <w:sz w:val="17"/>
          <w:szCs w:val="17"/>
          <w:color w:val="auto"/>
        </w:rPr>
      </w:pPr>
    </w:p>
    <w:p>
      <w:pPr>
        <w:jc w:val="both"/>
        <w:ind w:firstLine="575"/>
        <w:spacing w:after="0" w:line="302" w:lineRule="auto"/>
        <w:tabs>
          <w:tab w:leader="none" w:pos="1508"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this Agreement (including its Exhibit 1) is determined to be unenforceable as a matter of</w:t>
      </w:r>
      <w:r>
        <w:rPr>
          <w:rFonts w:ascii="Arial" w:cs="Arial" w:eastAsia="Arial" w:hAnsi="Arial"/>
          <w:sz w:val="18"/>
          <w:szCs w:val="18"/>
          <w:b w:val="1"/>
          <w:bCs w:val="1"/>
          <w:color w:val="auto"/>
        </w:rPr>
        <w:t xml:space="preserve"> </w:t>
      </w:r>
      <w:r>
        <w:rPr>
          <w:rFonts w:ascii="Arial" w:cs="Arial" w:eastAsia="Arial" w:hAnsi="Arial"/>
          <w:sz w:val="18"/>
          <w:szCs w:val="18"/>
          <w:color w:val="auto"/>
        </w:rPr>
        <w:t>governing law, a court of appropriate jurisdiction shall have the authority to “blue pencil” or otherwise modify such provision so as to render it enforceable while maintaining the parties’ original intent (as reflected herein) to the maximum extent possible. Each provision of this Agreement (including its Exhibit 1) is severable from the other provisions hereof, and if one or more provisions hereof are declared invalid, the remaining provisions shall nevertheless remain in full force and effect. Should a reviewing court eliminate or reduce any of Executive’s post-employment obligations as set forth herein, such court shall also consider a commensurate reduction in the compensation provided to Executive hereunder and/or the reimbursement to UEI of the Severance Payment hereunder.</w:t>
      </w:r>
    </w:p>
    <w:p>
      <w:pPr>
        <w:spacing w:after="0" w:line="189" w:lineRule="exact"/>
        <w:rPr>
          <w:rFonts w:ascii="Arial" w:cs="Arial" w:eastAsia="Arial" w:hAnsi="Arial"/>
          <w:sz w:val="18"/>
          <w:szCs w:val="18"/>
          <w:color w:val="auto"/>
        </w:rPr>
      </w:pPr>
    </w:p>
    <w:p>
      <w:pPr>
        <w:jc w:val="both"/>
        <w:ind w:firstLine="575"/>
        <w:spacing w:after="0" w:line="308" w:lineRule="auto"/>
        <w:tabs>
          <w:tab w:leader="none" w:pos="1508"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SUBPOENA/PROCESS</w:t>
      </w:r>
      <w:r>
        <w:rPr>
          <w:rFonts w:ascii="Arial" w:cs="Arial" w:eastAsia="Arial" w:hAnsi="Arial"/>
          <w:sz w:val="18"/>
          <w:szCs w:val="18"/>
          <w:color w:val="auto"/>
        </w:rPr>
        <w:t>. Executive agrees that except as provided in Section 19 below, in the event he receives a subpoena,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information request, interrogatory, or any other legal process that will or may require him to disclose any Confidential Information, he will immediately notify UEI’s General Counsel of such fact, in writing (both by email and by FedEx or UPS overnight delivery), and provide a copy of such subpoena, document request, information request, interrogatory, or other legal process.</w:t>
      </w:r>
    </w:p>
    <w:p>
      <w:pPr>
        <w:spacing w:after="0" w:line="179" w:lineRule="exact"/>
        <w:rPr>
          <w:rFonts w:ascii="Arial" w:cs="Arial" w:eastAsia="Arial" w:hAnsi="Arial"/>
          <w:sz w:val="18"/>
          <w:szCs w:val="18"/>
          <w:color w:val="auto"/>
        </w:rPr>
      </w:pPr>
    </w:p>
    <w:p>
      <w:pPr>
        <w:jc w:val="both"/>
        <w:ind w:firstLine="575"/>
        <w:spacing w:after="0" w:line="321" w:lineRule="auto"/>
        <w:tabs>
          <w:tab w:leader="none" w:pos="1508" w:val="left"/>
        </w:tabs>
        <w:numPr>
          <w:ilvl w:val="0"/>
          <w:numId w:val="50"/>
        </w:numPr>
        <w:rPr>
          <w:rFonts w:ascii="Arial" w:cs="Arial" w:eastAsia="Arial" w:hAnsi="Arial"/>
          <w:sz w:val="17"/>
          <w:szCs w:val="17"/>
          <w:color w:val="auto"/>
        </w:rPr>
      </w:pPr>
      <w:r>
        <w:rPr>
          <w:rFonts w:ascii="Arial" w:cs="Arial" w:eastAsia="Arial" w:hAnsi="Arial"/>
          <w:sz w:val="17"/>
          <w:szCs w:val="17"/>
          <w:b w:val="1"/>
          <w:bCs w:val="1"/>
          <w:u w:val="single" w:color="auto"/>
          <w:color w:val="auto"/>
        </w:rPr>
        <w:t>BREACH</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acknowledges that the covenants and agreements that he has made in this Agreement (including its Exhibit 1) are</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and are required for the reasonable protection of UEI’s business and its goodwill. Executive agrees that the breach of any covenant or agreement contained herein will result in irreparable injury to UEI, and that in addition to all other remedies provided by law or in equity with respect to a breach, UEI will be entitled to (a) withhold any payments or compensation otherwise due to Executive while Executive is in breach, (b) enforce the specific performance of Executive’s obligations hereunder, and (c) enjoin Executive from engaging in any activity in violation hereof, all without posting a bond or any other security, and that no claim by Executive against UEI will constitute a defense or bar to the specific enforcement of Executive’s obligations. Executive agrees that UEI shall be entitled to recover all costs of successfully enforcing any provision of this Agreement (including its Exhibit 1), including its reasonable attorneys’ fees and costs, along with interest.</w:t>
      </w:r>
    </w:p>
    <w:p>
      <w:pPr>
        <w:spacing w:after="0" w:line="177" w:lineRule="exact"/>
        <w:rPr>
          <w:rFonts w:ascii="Arial" w:cs="Arial" w:eastAsia="Arial" w:hAnsi="Arial"/>
          <w:sz w:val="17"/>
          <w:szCs w:val="17"/>
          <w:color w:val="auto"/>
        </w:rPr>
      </w:pPr>
    </w:p>
    <w:p>
      <w:pPr>
        <w:ind w:left="1520" w:hanging="945"/>
        <w:spacing w:after="0"/>
        <w:tabs>
          <w:tab w:leader="none" w:pos="152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RELEASE, DISCHARGE, WAIVER AND COVENANT NOT TO SUE</w:t>
      </w:r>
      <w:r>
        <w:rPr>
          <w:rFonts w:ascii="Arial" w:cs="Arial" w:eastAsia="Arial" w:hAnsi="Arial"/>
          <w:sz w:val="18"/>
          <w:szCs w:val="18"/>
          <w:b w:val="1"/>
          <w:bCs w:val="1"/>
          <w:color w:val="auto"/>
        </w:rPr>
        <w:t>.</w:t>
      </w:r>
    </w:p>
    <w:p>
      <w:pPr>
        <w:spacing w:after="0" w:line="269" w:lineRule="exact"/>
        <w:rPr>
          <w:rFonts w:ascii="Arial" w:cs="Arial" w:eastAsia="Arial" w:hAnsi="Arial"/>
          <w:sz w:val="18"/>
          <w:szCs w:val="18"/>
          <w:color w:val="auto"/>
        </w:rPr>
      </w:pPr>
    </w:p>
    <w:p>
      <w:pPr>
        <w:jc w:val="both"/>
        <w:ind w:left="660" w:firstLine="645"/>
        <w:spacing w:after="0" w:line="302" w:lineRule="auto"/>
        <w:tabs>
          <w:tab w:leader="none" w:pos="2156"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exchange for the consideration provided under this Agreement, which Executive acknowledges is fair and sufficient, Executive, on behalf of himself and all of his beneficiaries, heirs, executors, administrators, successors, and assigns (collectively, the “Releasors”), hereby releases, waives, and discharges any and all claims, liabilities, causes of action, demands, suits, rights, costs, expenses, or damages of any kind or nature (collectively, “Claims”) that Executive or any of the other Releasors ever had, have, or might have against UEI or any of its past, present, or future parents, subsidiaries, joint ventures, divisions, or affiliates (collectively, with UEI, the “UEI Entities”), or any of the UEI Entities’ past, present, or future officers, directors,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52" w:right="239" w:bottom="1440" w:gutter="0" w:footer="0" w:header="0"/>
        </w:sectPr>
      </w:pPr>
    </w:p>
    <w:bookmarkStart w:id="97" w:name="page98"/>
    <w:bookmarkEnd w:id="97"/>
    <w:p>
      <w:pPr>
        <w:jc w:val="both"/>
        <w:ind w:left="4"/>
        <w:spacing w:after="0" w:line="316" w:lineRule="auto"/>
        <w:rPr>
          <w:sz w:val="20"/>
          <w:szCs w:val="20"/>
          <w:color w:val="auto"/>
        </w:rPr>
      </w:pPr>
      <w:r>
        <w:rPr>
          <w:rFonts w:ascii="Arial" w:cs="Arial" w:eastAsia="Arial" w:hAnsi="Arial"/>
          <w:sz w:val="17"/>
          <w:szCs w:val="17"/>
          <w:color w:val="auto"/>
        </w:rPr>
        <w:t>employees, representatives, insurers, attorneys, or agents (collectively, with UEI Entities, the “UEI Parties”), arising at any time prior to and including the date on which Executive executes this Agreement, whether such Claims are known to Executive or unknown to Executive, and whether such Claims are accrued or contingent, including, but not limited to, any and all (a) Claims arising out of, or that might be considered to arise out of or to be connected in any way with, Executive’s employment or other relationship with any of the UEI Parties, or the termination of Executive’s relationship with any of the UEI Parties; (b) Claims under any contract, agreement, or understanding that Executive may have with any of the UEI Parties, whether written or oral (including, but not limited to, any employment agreement), except as explicitly provided below; (c) Claims arising under any federal, state, local, or foreign law, regulation, rule, or ordinance, tort, implied contract, public policy, quasi-contractual theory, or any other obligation, including, without limitation (i) Claims arising under Title VII of the Civil Rights Act of 1964, the Civil Rights Act of 1866, the Civil Rights Act of 1991, the Americans With Disabilities Act, the Family and Medical Leave Act, the Employee Retirement Income Security Act of 1974, the Vietnam Era Veterans Readjustment Act of 1974, the Immigration Reform and Control Act of 1974, the Labor Management Relations Act, the National Labor Relations Act, the Occupational Safety and Health Act, the Rehabilitation Act of 1973, the Uniformed Services Employment and Reemployment Rights Act, the Worker Adjustment and Retraining Notification Act, the Arizona WARN Act, the Sarbanes-Oxley Act of 2002, including all Claims under 18 U.S.C. §§ 1513(e) and 1514A, the Dodd-Frank Act, the Internal Revenue Code of 1986, the the Arizona Wage Act, A.R.S. §§ 23-350 to 23-362, the Arizona Employment Protection Act, A.R.S. §§ 23-1501 to 23-1502, the Arizona Civil Rights Act, A.R.S. § 41-1463, the Arizona criminal code, A.R.S. §§ 13-101 to 13-5002, the Arizona Equal Pay Act, A.R.S. §§ 23-340 to 23-341, the Arizona Occupational Safety and Health Act, A.R.S. §§ 23-401 to 23-433, the Arizona Right to Work Act, A.R.S. §§ 23-1301 to 23-1307, the Arizona Drug Testing of Employees Act, A.R.S. §§ 23-493 to 23-493.12, and the Arizona Medical Marijuana Act, A.R.S. §§ 36-2801 to 36-2819, as all such laws may be amended from time to time, or any other federal, state, local, or foreign labor law, wage and hour law, employee relations or fair employment practices law, or public policy, (ii) Claims arising in tort, including, but not limited to, claims for misrepresentation, defamation, libel, slander, invasion of privacy, conversion, replevin, false light, tortious interference with contract or economic advantage, negligence, fraud, fraudulent inducement, quantum meruit, promissory estoppel, prima facie tort, restitution, or the like; and (iii) Claims for compensation, wages, commissions, equity, profits, awards, performance compensation, bonuses, royalties, restricted stock, stock options, deferred compensation, other monetary or equitable relief, vacation, personal or sick time, other fringe benefits, attorneys’ fees or costs, or any tangible or intangible property of Executive’s that remains with any of the UEI Parties; and (d) Claims arising under any other legal or equitable theory whatsoever. Executive specifically intends the release of claims set forth herein to be the broadest possible release permitted under law. For the avoidance of doubt, each of the UEI Parties shall be a third-party beneficiary of this Agreement and shall be entitled to enforce this Agreement in accordance with its terms. Executive agrees that this Agreement shall be a full defense to any lawsuit or arbitration that is or may be initiated, prosecuted, or maintained by or on behalf of Executive or any of the other Releasors.</w:t>
      </w:r>
    </w:p>
    <w:p>
      <w:pPr>
        <w:spacing w:after="0" w:line="194" w:lineRule="exact"/>
        <w:rPr>
          <w:sz w:val="20"/>
          <w:szCs w:val="20"/>
          <w:color w:val="auto"/>
        </w:rPr>
      </w:pPr>
    </w:p>
    <w:p>
      <w:pPr>
        <w:jc w:val="both"/>
        <w:ind w:left="4" w:firstLine="645"/>
        <w:spacing w:after="0" w:line="334" w:lineRule="auto"/>
        <w:tabs>
          <w:tab w:leader="none" w:pos="1510" w:val="left"/>
        </w:tabs>
        <w:numPr>
          <w:ilvl w:val="1"/>
          <w:numId w:val="51"/>
        </w:numPr>
        <w:rPr>
          <w:rFonts w:ascii="Arial" w:cs="Arial" w:eastAsia="Arial" w:hAnsi="Arial"/>
          <w:sz w:val="16"/>
          <w:szCs w:val="16"/>
          <w:color w:val="auto"/>
        </w:rPr>
      </w:pPr>
      <w:r>
        <w:rPr>
          <w:rFonts w:ascii="Arial" w:cs="Arial" w:eastAsia="Arial" w:hAnsi="Arial"/>
          <w:sz w:val="16"/>
          <w:szCs w:val="16"/>
          <w:color w:val="auto"/>
        </w:rPr>
        <w:t>Notwithstanding the foregoing, nothing in this Agreement shall be deemed to waive (i) Executive’s right to seek enforcement of the terms of this Agreement, (ii) Executive’s right to file a charge with, or participate in an investigation or proceeding conducted by, the Equal Employment Opportunity Commission (“EEOC”) or any other federal, state, or local government body or agency charged with enforcing employment discrimination laws (though Executive cannot recover any monetary relief from any claim brought before the EEOC or in any court),</w:t>
      </w:r>
    </w:p>
    <w:p>
      <w:pPr>
        <w:spacing w:after="0" w:line="2" w:lineRule="exact"/>
        <w:rPr>
          <w:rFonts w:ascii="Arial" w:cs="Arial" w:eastAsia="Arial" w:hAnsi="Arial"/>
          <w:sz w:val="16"/>
          <w:szCs w:val="16"/>
          <w:color w:val="auto"/>
        </w:rPr>
      </w:pPr>
    </w:p>
    <w:p>
      <w:pPr>
        <w:jc w:val="both"/>
        <w:ind w:left="4" w:hanging="4"/>
        <w:spacing w:after="0" w:line="306" w:lineRule="auto"/>
        <w:tabs>
          <w:tab w:leader="none" w:pos="3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Claims that cannot be waived as a matter of law, (iv) any rights to indemnification Executive otherwise may have (if any) under any applicable contract, law, or insurance policy (v) any rights Executive may have to vested benefits under UEI’s 401k plan (as reflected on the books and records of such plan) and with respect to the Equity Awards (as provided herein), (vi) any rights to continued benefits in accordance with the COBRA, and (vii) any rights to unemployment insurance.</w:t>
      </w:r>
    </w:p>
    <w:p>
      <w:pPr>
        <w:spacing w:after="0" w:line="186" w:lineRule="exact"/>
        <w:rPr>
          <w:rFonts w:ascii="Arial" w:cs="Arial" w:eastAsia="Arial" w:hAnsi="Arial"/>
          <w:sz w:val="18"/>
          <w:szCs w:val="18"/>
          <w:color w:val="auto"/>
        </w:rPr>
      </w:pPr>
    </w:p>
    <w:p>
      <w:pPr>
        <w:jc w:val="both"/>
        <w:ind w:left="4" w:firstLine="645"/>
        <w:spacing w:after="0" w:line="304" w:lineRule="auto"/>
        <w:tabs>
          <w:tab w:leader="none" w:pos="15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Executive represents and warrants that he has not filed or caused to be filed any lawsuit or arbitration against any UEI Party through date of this Agreement. Except as otherwise provided in Section 18(b), above, Executive further agrees, to the fullest extent permitted by law, that Executive will not directly or indirectly commence, file, or in any way pursue, or cause or assist any other person or entity to commence, file, or pursue, any lawsuit or arbitration against any UEI Party with respect to any Claim in the future. Executive represents and warrants that Executive has not assigned or conveyed to any other person or entity</w:t>
      </w:r>
    </w:p>
    <w:p>
      <w:pPr>
        <w:spacing w:after="0" w:line="200" w:lineRule="exact"/>
        <w:rPr>
          <w:sz w:val="20"/>
          <w:szCs w:val="20"/>
          <w:color w:val="auto"/>
        </w:rPr>
      </w:pPr>
    </w:p>
    <w:p>
      <w:pPr>
        <w:spacing w:after="0" w:line="211"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64"/>
          </w:cols>
          <w:pgMar w:left="896" w:top="652" w:right="239" w:bottom="1440" w:gutter="0" w:footer="0" w:header="0"/>
        </w:sectPr>
      </w:pPr>
    </w:p>
    <w:bookmarkStart w:id="98" w:name="page99"/>
    <w:bookmarkEnd w:id="98"/>
    <w:p>
      <w:pPr>
        <w:ind w:left="660"/>
        <w:spacing w:after="0" w:line="324" w:lineRule="auto"/>
        <w:rPr>
          <w:sz w:val="20"/>
          <w:szCs w:val="20"/>
          <w:color w:val="auto"/>
        </w:rPr>
      </w:pPr>
      <w:r>
        <w:rPr>
          <w:rFonts w:ascii="Arial" w:cs="Arial" w:eastAsia="Arial" w:hAnsi="Arial"/>
          <w:sz w:val="18"/>
          <w:szCs w:val="18"/>
          <w:color w:val="auto"/>
        </w:rPr>
        <w:t>any of Executive’s rights vis-à-vis the UEI Parties, including, but not limited to, any part of or interest in any of the Claims Executive otherwise is releasing in this Agreement or in any of the consideration provided to Executive hereunder.</w:t>
      </w:r>
    </w:p>
    <w:p>
      <w:pPr>
        <w:spacing w:after="0" w:line="166" w:lineRule="exact"/>
        <w:rPr>
          <w:sz w:val="20"/>
          <w:szCs w:val="20"/>
          <w:color w:val="auto"/>
        </w:rPr>
      </w:pPr>
    </w:p>
    <w:p>
      <w:pPr>
        <w:ind w:left="1520" w:hanging="864"/>
        <w:spacing w:after="0"/>
        <w:tabs>
          <w:tab w:leader="none" w:pos="152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KNOWING AND 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acknowledges and recites that:</w:t>
      </w:r>
    </w:p>
    <w:p>
      <w:pPr>
        <w:spacing w:after="0" w:line="269" w:lineRule="exact"/>
        <w:rPr>
          <w:rFonts w:ascii="Arial" w:cs="Arial" w:eastAsia="Arial" w:hAnsi="Arial"/>
          <w:sz w:val="18"/>
          <w:szCs w:val="18"/>
          <w:color w:val="auto"/>
        </w:rPr>
      </w:pPr>
    </w:p>
    <w:p>
      <w:pPr>
        <w:jc w:val="both"/>
        <w:ind w:left="660" w:firstLine="645"/>
        <w:spacing w:after="0" w:line="344" w:lineRule="auto"/>
        <w:tabs>
          <w:tab w:leader="none" w:pos="2156" w:val="left"/>
        </w:tabs>
        <w:numPr>
          <w:ilvl w:val="1"/>
          <w:numId w:val="53"/>
        </w:numPr>
        <w:rPr>
          <w:rFonts w:ascii="Arial" w:cs="Arial" w:eastAsia="Arial" w:hAnsi="Arial"/>
          <w:sz w:val="16"/>
          <w:szCs w:val="16"/>
          <w:color w:val="auto"/>
        </w:rPr>
      </w:pPr>
      <w:r>
        <w:rPr>
          <w:rFonts w:ascii="Arial" w:cs="Arial" w:eastAsia="Arial" w:hAnsi="Arial"/>
          <w:sz w:val="16"/>
          <w:szCs w:val="16"/>
          <w:color w:val="auto"/>
        </w:rPr>
        <w:t>In accordance with the Age Discrimination in Employment Act (“ADEA”) and the Older Workers Benefit Protection Act (“OWBPA), 29 U.S.C. § 621 et seq., Executive understands that he will have twenty-one (21) days from the date Executive receives this Agreement to consider its terms, execute it, and return it to UEI (c/o Richard A. Firehammer, Jr., Sr. Vice President and General Counsel, Universal Electronics Inc., 1 South Main Street, Suite 7, Chagrin Falls, Ohio 44022, (tel.) 440.785.5480, rfirehammer@uei.com</w:t>
      </w:r>
      <w:r>
        <w:rPr>
          <w:rFonts w:ascii="Arial" w:cs="Arial" w:eastAsia="Arial" w:hAnsi="Arial"/>
          <w:sz w:val="16"/>
          <w:szCs w:val="16"/>
          <w:u w:val="single" w:color="auto"/>
          <w:color w:val="0000FF"/>
        </w:rPr>
        <w:t>)</w:t>
      </w:r>
      <w:r>
        <w:rPr>
          <w:rFonts w:ascii="Arial" w:cs="Arial" w:eastAsia="Arial" w:hAnsi="Arial"/>
          <w:sz w:val="16"/>
          <w:szCs w:val="16"/>
          <w:color w:val="auto"/>
        </w:rPr>
        <w:t>. To the extent that Executive executes this Agreement prior to the end of this twenty-one (21) day period, Executive hereby knowingly and voluntarily waives the remainder of this twenty-one (21) day period. If Executive fails to execute and return this Agreement to UEI within this twenty-one (21) day period, then this Agreement (including but not limited to the consideration provided to Executive hereunder) will be null and void and of no force or effect.</w:t>
      </w:r>
    </w:p>
    <w:p>
      <w:pPr>
        <w:spacing w:after="0" w:line="166" w:lineRule="exact"/>
        <w:rPr>
          <w:rFonts w:ascii="Arial" w:cs="Arial" w:eastAsia="Arial" w:hAnsi="Arial"/>
          <w:sz w:val="16"/>
          <w:szCs w:val="16"/>
          <w:color w:val="auto"/>
        </w:rPr>
      </w:pPr>
    </w:p>
    <w:p>
      <w:pPr>
        <w:jc w:val="both"/>
        <w:ind w:left="660" w:firstLine="645"/>
        <w:spacing w:after="0" w:line="322" w:lineRule="auto"/>
        <w:tabs>
          <w:tab w:leader="none" w:pos="2166" w:val="left"/>
        </w:tabs>
        <w:numPr>
          <w:ilvl w:val="1"/>
          <w:numId w:val="53"/>
        </w:numPr>
        <w:rPr>
          <w:rFonts w:ascii="Arial" w:cs="Arial" w:eastAsia="Arial" w:hAnsi="Arial"/>
          <w:sz w:val="17"/>
          <w:szCs w:val="17"/>
          <w:color w:val="auto"/>
        </w:rPr>
      </w:pPr>
      <w:r>
        <w:rPr>
          <w:rFonts w:ascii="Arial" w:cs="Arial" w:eastAsia="Arial" w:hAnsi="Arial"/>
          <w:sz w:val="17"/>
          <w:szCs w:val="17"/>
          <w:color w:val="auto"/>
        </w:rPr>
        <w:t>Executive acknowledges that if he timely executes this Agreement, he shall have seven (7) days from the date he executes this Agreement to revoke this Agreement by providing written notice of such revocation by email or overnight courier (via FedEx or UPS) to Richard A. Firehammer, Jr., Sr. Vice President and General Counsel, Universal Electronics Inc., 1 South Main Street, Suite 7, Chagrin Falls, Ohio 44022, (tel.) 440.785.5480, rfirehammer@uei.com. If Executive revokes this Agreement within seven (7) days from the date Executive executes this Agreement as provided herein, then this Agreement will be null and void and of no force or effect. If Executive does not revoke this Agreement within seven (7) days from the date Executive timely executes this Agreement as provided herein, then this Agreement will become fully binding, effective, irrevocable, and enforceable on the eighth (8th) calendar day after Executive executes it.</w:t>
      </w:r>
    </w:p>
    <w:p>
      <w:pPr>
        <w:spacing w:after="0" w:line="176" w:lineRule="exact"/>
        <w:rPr>
          <w:rFonts w:ascii="Arial" w:cs="Arial" w:eastAsia="Arial" w:hAnsi="Arial"/>
          <w:sz w:val="17"/>
          <w:szCs w:val="17"/>
          <w:color w:val="auto"/>
        </w:rPr>
      </w:pPr>
    </w:p>
    <w:p>
      <w:pPr>
        <w:jc w:val="both"/>
        <w:ind w:left="660" w:firstLine="645"/>
        <w:spacing w:after="0" w:line="325" w:lineRule="auto"/>
        <w:tabs>
          <w:tab w:leader="none" w:pos="2156" w:val="left"/>
        </w:tabs>
        <w:numPr>
          <w:ilvl w:val="1"/>
          <w:numId w:val="53"/>
        </w:numPr>
        <w:rPr>
          <w:rFonts w:ascii="Arial" w:cs="Arial" w:eastAsia="Arial" w:hAnsi="Arial"/>
          <w:sz w:val="17"/>
          <w:szCs w:val="17"/>
          <w:color w:val="auto"/>
        </w:rPr>
      </w:pPr>
      <w:r>
        <w:rPr>
          <w:rFonts w:ascii="Arial" w:cs="Arial" w:eastAsia="Arial" w:hAnsi="Arial"/>
          <w:sz w:val="17"/>
          <w:szCs w:val="17"/>
          <w:color w:val="auto"/>
        </w:rPr>
        <w:t>Once this Agreement becomes effective, it will remain effective, irrevocable, and in full force and effect regardless of whether Executive executes the Post-Employment Release attached as Exhibit 1 after the Separation Date (or, if Executive does execute the Post-Employment Release, regardless of whether Executive timely revokes such Post-Employment Release in accordance with its terms); provided that if Executive fails to timely execute such Post-Employment Release, or if Executive timely revokes the Post-Employment Release after signing it, then Executive will not receive the Severance Payment set forth in Section 1(d) of this Agreement.</w:t>
      </w:r>
    </w:p>
    <w:p>
      <w:pPr>
        <w:spacing w:after="0" w:line="175" w:lineRule="exact"/>
        <w:rPr>
          <w:rFonts w:ascii="Arial" w:cs="Arial" w:eastAsia="Arial" w:hAnsi="Arial"/>
          <w:sz w:val="17"/>
          <w:szCs w:val="17"/>
          <w:color w:val="auto"/>
        </w:rPr>
      </w:pPr>
    </w:p>
    <w:p>
      <w:pPr>
        <w:jc w:val="both"/>
        <w:ind w:left="660" w:firstLine="645"/>
        <w:spacing w:after="0" w:line="296" w:lineRule="auto"/>
        <w:tabs>
          <w:tab w:leader="none" w:pos="2166"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Executive hereby acknowledges that he (a) has carefully read this Agreement and understands all of the terms and conditions of this Agreement; (b) is competent to manage his own personal and business affairs; (c) fully understands the legal and binding effect of this Agreement; (d) understands that he is giving up any and all legal Claims Executive otherwise could assert against any UEI and/or any of the UEI Entities, including but not limited to any and all Claims under the ADEA and all other laws regarding age discrimination, whether those Claims are presently known or hereafter discovered; (e) has been advised to consult with an attorney of Executive’s own choosing in connection with his review and execution of this Agreement; and (f) has chosen to enter into this Agreement without coercion, and based upon Executive’s own judgment and free will.</w:t>
      </w:r>
    </w:p>
    <w:p>
      <w:pPr>
        <w:spacing w:after="0" w:line="5" w:lineRule="exact"/>
        <w:rPr>
          <w:rFonts w:ascii="Arial" w:cs="Arial" w:eastAsia="Arial" w:hAnsi="Arial"/>
          <w:sz w:val="18"/>
          <w:szCs w:val="18"/>
          <w:color w:val="auto"/>
        </w:rPr>
      </w:pPr>
    </w:p>
    <w:p>
      <w:pPr>
        <w:jc w:val="both"/>
        <w:ind w:firstLine="656"/>
        <w:spacing w:after="0" w:line="321" w:lineRule="auto"/>
        <w:tabs>
          <w:tab w:leader="none" w:pos="1521" w:val="left"/>
        </w:tabs>
        <w:numPr>
          <w:ilvl w:val="0"/>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NON-DISCLOSURE</w:t>
      </w:r>
      <w:r>
        <w:rPr>
          <w:rFonts w:ascii="Arial" w:cs="Arial" w:eastAsia="Arial" w:hAnsi="Arial"/>
          <w:sz w:val="17"/>
          <w:szCs w:val="17"/>
          <w:color w:val="auto"/>
        </w:rPr>
        <w:t>. Except as otherwise provided herein, Executive certifies that he has not discussed, disclosed, or released, and</w:t>
      </w:r>
      <w:r>
        <w:rPr>
          <w:rFonts w:ascii="Arial" w:cs="Arial" w:eastAsia="Arial" w:hAnsi="Arial"/>
          <w:sz w:val="17"/>
          <w:szCs w:val="17"/>
          <w:b w:val="1"/>
          <w:bCs w:val="1"/>
          <w:color w:val="auto"/>
        </w:rPr>
        <w:t xml:space="preserve"> </w:t>
      </w:r>
      <w:r>
        <w:rPr>
          <w:rFonts w:ascii="Arial" w:cs="Arial" w:eastAsia="Arial" w:hAnsi="Arial"/>
          <w:sz w:val="17"/>
          <w:szCs w:val="17"/>
          <w:color w:val="auto"/>
        </w:rPr>
        <w:t>that he will not discuss, disclose or release, any information relating to this Agreement to any person other than his attorney, accountant, financial advisor, or spouse, and agrees that each of the foregoing persons will maintain the confidentiality of such information. Notwithstanding the foregoing, in accordance with the Defend Trade Secrets Act, 18 U.S.C. § 1833(b), and other applicable law, nothing in this Agreement or any other agreement or policy shall prevent Executive from, or expose Executive to criminal or civil liability under federal or state trade secret law for, (i) directly or indirectly sharing any trade secrets or other Confidential Information (except information protected by any UEI Party’s attorney-client or work product privilege) with an attorney or with any federal, state, or local government agencies, regulators, or officials (including the EEOC or the Securities and Exchange Commission (“SEC”)), for the purpose of investigating, complaining about, or reporting a suspected violation of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52" w:right="239" w:bottom="1440" w:gutter="0" w:footer="0" w:header="0"/>
        </w:sectPr>
      </w:pPr>
    </w:p>
    <w:bookmarkStart w:id="99" w:name="page100"/>
    <w:bookmarkEnd w:id="99"/>
    <w:p>
      <w:pPr>
        <w:spacing w:after="0" w:line="324" w:lineRule="auto"/>
        <w:rPr>
          <w:sz w:val="20"/>
          <w:szCs w:val="20"/>
          <w:color w:val="auto"/>
        </w:rPr>
      </w:pPr>
      <w:r>
        <w:rPr>
          <w:rFonts w:ascii="Arial" w:cs="Arial" w:eastAsia="Arial" w:hAnsi="Arial"/>
          <w:sz w:val="18"/>
          <w:szCs w:val="18"/>
          <w:color w:val="auto"/>
        </w:rPr>
        <w:t>whether in response to a subpoena or otherwise, without notice to UEI, or (ii) disclosing trade secrets in a complaint or other document filed in connection with a legal claim, provided that the filing is made under seal.</w:t>
      </w:r>
    </w:p>
    <w:p>
      <w:pPr>
        <w:spacing w:after="0" w:line="166" w:lineRule="exact"/>
        <w:rPr>
          <w:sz w:val="20"/>
          <w:szCs w:val="20"/>
          <w:color w:val="auto"/>
        </w:rPr>
      </w:pPr>
    </w:p>
    <w:p>
      <w:pPr>
        <w:ind w:firstLine="656"/>
        <w:spacing w:after="0" w:line="362" w:lineRule="auto"/>
        <w:tabs>
          <w:tab w:leader="none" w:pos="1521" w:val="left"/>
        </w:tabs>
        <w:numPr>
          <w:ilvl w:val="0"/>
          <w:numId w:val="54"/>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or other communication required or permitted to be given hereunder shall be in writing and shall be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have been duly given to any party upon delivery to the address of such party specified below if delivered in by overnight courier (via FedEx or UPS):</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Executive:</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Louis S. Hughes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109 Repulse BAY Road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 Ricou Tower Unit 503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Repulse Bay Hong Kong CHINA SAR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UEI:</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Universal Electronics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15147 N. Scottsdale Road, Suite H300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Scottsdale, Arizona 85254-2494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to such address(es) as either party may designate by written notice in the aforesaid manner.</w:t>
      </w:r>
    </w:p>
    <w:p>
      <w:pPr>
        <w:spacing w:after="0" w:line="248" w:lineRule="exact"/>
        <w:rPr>
          <w:sz w:val="20"/>
          <w:szCs w:val="20"/>
          <w:color w:val="auto"/>
        </w:rPr>
      </w:pPr>
    </w:p>
    <w:p>
      <w:pPr>
        <w:ind w:firstLine="656"/>
        <w:spacing w:after="0" w:line="329" w:lineRule="auto"/>
        <w:tabs>
          <w:tab w:leader="none" w:pos="1521"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(including its Exhibit 1) shall be construed and enforced under the laws of the State of Arizona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its conflict of laws principles.</w:t>
      </w:r>
    </w:p>
    <w:p>
      <w:pPr>
        <w:spacing w:after="0" w:line="161" w:lineRule="exact"/>
        <w:rPr>
          <w:rFonts w:ascii="Arial" w:cs="Arial" w:eastAsia="Arial" w:hAnsi="Arial"/>
          <w:sz w:val="18"/>
          <w:szCs w:val="18"/>
          <w:color w:val="auto"/>
        </w:rPr>
      </w:pPr>
    </w:p>
    <w:p>
      <w:pPr>
        <w:ind w:firstLine="656"/>
        <w:spacing w:after="0" w:line="329" w:lineRule="auto"/>
        <w:tabs>
          <w:tab w:leader="none" w:pos="1521"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counterparts, each of which shall be deemed an original, but both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in the same agreement.</w:t>
      </w:r>
    </w:p>
    <w:p>
      <w:pPr>
        <w:spacing w:after="0" w:line="161" w:lineRule="exact"/>
        <w:rPr>
          <w:rFonts w:ascii="Arial" w:cs="Arial" w:eastAsia="Arial" w:hAnsi="Arial"/>
          <w:sz w:val="18"/>
          <w:szCs w:val="18"/>
          <w:color w:val="auto"/>
        </w:rPr>
      </w:pPr>
    </w:p>
    <w:p>
      <w:pPr>
        <w:jc w:val="both"/>
        <w:ind w:firstLine="656"/>
        <w:spacing w:after="0" w:line="338" w:lineRule="auto"/>
        <w:tabs>
          <w:tab w:leader="none" w:pos="1521" w:val="left"/>
        </w:tabs>
        <w:numPr>
          <w:ilvl w:val="0"/>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409A.</w:t>
      </w:r>
      <w:r>
        <w:rPr>
          <w:rFonts w:ascii="Arial" w:cs="Arial" w:eastAsia="Arial" w:hAnsi="Arial"/>
          <w:sz w:val="16"/>
          <w:szCs w:val="16"/>
          <w:b w:val="1"/>
          <w:bCs w:val="1"/>
          <w:color w:val="auto"/>
        </w:rPr>
        <w:t xml:space="preserve"> </w:t>
      </w:r>
      <w:r>
        <w:rPr>
          <w:rFonts w:ascii="Arial" w:cs="Arial" w:eastAsia="Arial" w:hAnsi="Arial"/>
          <w:sz w:val="16"/>
          <w:szCs w:val="16"/>
          <w:color w:val="auto"/>
        </w:rPr>
        <w:t>It is also the intention of this parties to this Agreement that all income tax liability on payments made pursuant to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or any Equity Award be deferred until Executive actually receives such payment to the extent Section 409A of the Internal Revenue Code of 1986, as amended (“Code Section 409A”), applies to such payments, and this Agreement shall be interpreted in a manner consistent with this intent. Therefore, if any provision of this Agreement or any Equity Award is found not to be in compliance with any applicable requirements of Code Section 409A, that provision will be deemed amended and will be construed and administered, insofar as possible, so that this Agreement and any Equity Award, to the extent permitted by law and deemed advisable by UEI, do not trigger taxes and other penalties under Code Section 409A; provided, however, that Executive will not be required to forfeit any payment otherwise due without his written consent. Any amount remaining due to Executive shall be paid to Executive at the time otherwise specified in this Agreement. Solely for purposes of determining the time and form of payments due under this Agreement or otherwise in connection with his termination of employment with UEI and that are subject to Code 409A, Executive shall be deemed to have incurred a termination of employment only unless and until he shall incur a “separation from service” within the meaning of Code Section 409A. It is intended that each payment or installment of a payment and each benefit provided under this Agreement shall be treated as a separate “payment” for purposes of Code Section 409A. All reimbursements and in-kind benefits provided under the Agreement shall be made or provided in accordance with the requirements of Code Section 409A to the extent that such reimbursements or in-kind benefits are subject to Code Section 409A, including, where applicable, the requirements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(except that a plan providing medical or health benefits may impose a generally applicable limit on the amount that may be reimbursed or paid), (iii) the reimbursement of an eligible expense will be made on or before the last day of the calendar year following the year in which the expense is incurred and (iv) the right to reimbursement is not subject to set off or liquidation or exchange for any other benefit. Nothing in this section increases UEI’s obligations to Executive under this Agreement or any Equity Award. Executive remains solely liable for any taxes on the payments made hereunder or under any Equity Award. The preceding provisions shall not be construed as a guarantee by UEI of any particular tax effect for payments made pursuant to this Agreement or any Equity Award.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52"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UNIVERSAL ELECTRONICS INC.</w:t>
      </w:r>
    </w:p>
    <w:p>
      <w:pPr>
        <w:spacing w:after="0" w:line="22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-10160</wp:posOffset>
            </wp:positionV>
            <wp:extent cx="1155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2">
                      <a:extLst>
                        <a:ext uri="{28A0092B-C50C-407E-A947-70E740481C1C}"/>
                      </a:extLst>
                    </a:blip>
                    <a:srcRect/>
                    <a:stretch>
                      <a:fillRect/>
                    </a:stretch>
                  </pic:blipFill>
                  <pic:spPr bwMode="auto">
                    <a:xfrm>
                      <a:off x="0" y="0"/>
                      <a:ext cx="115570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Paul D. Arling</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Its: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-10160</wp:posOffset>
            </wp:positionV>
            <wp:extent cx="14389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3">
                      <a:extLst>
                        <a:ext uri="{28A0092B-C50C-407E-A947-70E740481C1C}"/>
                      </a:extLst>
                    </a:blip>
                    <a:srcRect/>
                    <a:stretch>
                      <a:fillRect/>
                    </a:stretch>
                  </pic:blipFill>
                  <pic:spPr bwMode="auto">
                    <a:xfrm>
                      <a:off x="0" y="0"/>
                      <a:ext cx="1438910" cy="8890"/>
                    </a:xfrm>
                    <a:prstGeom prst="rect">
                      <a:avLst/>
                    </a:prstGeom>
                    <a:noFill/>
                  </pic:spPr>
                </pic:pic>
              </a:graphicData>
            </a:graphic>
          </wp:anchor>
        </w:drawing>
      </w:r>
    </w:p>
    <w:p>
      <w:pPr>
        <w:spacing w:after="0" w:line="20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January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-10160</wp:posOffset>
            </wp:positionV>
            <wp:extent cx="12414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4">
                      <a:extLst>
                        <a:ext uri="{28A0092B-C50C-407E-A947-70E740481C1C}"/>
                      </a:extLst>
                    </a:blip>
                    <a:srcRect/>
                    <a:stretch>
                      <a:fillRect/>
                    </a:stretch>
                  </pic:blipFill>
                  <pic:spPr bwMode="auto">
                    <a:xfrm>
                      <a:off x="0" y="0"/>
                      <a:ext cx="124142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i w:val="1"/>
          <w:iCs w:val="1"/>
          <w:color w:val="auto"/>
        </w:rPr>
        <w:t>/s/ Louis S.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-10160</wp:posOffset>
            </wp:positionV>
            <wp:extent cx="12255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5">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Louis S. Hughes – Signature</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January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-10160</wp:posOffset>
            </wp:positionV>
            <wp:extent cx="12414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6">
                      <a:extLst>
                        <a:ext uri="{28A0092B-C50C-407E-A947-70E740481C1C}"/>
                      </a:extLst>
                    </a:blip>
                    <a:srcRect/>
                    <a:stretch>
                      <a:fillRect/>
                    </a:stretch>
                  </pic:blipFill>
                  <pic:spPr bwMode="auto">
                    <a:xfrm>
                      <a:off x="0" y="0"/>
                      <a:ext cx="1241425" cy="8890"/>
                    </a:xfrm>
                    <a:prstGeom prst="rect">
                      <a:avLst/>
                    </a:prstGeom>
                    <a:noFill/>
                  </pic:spPr>
                </pic:pic>
              </a:graphicData>
            </a:graphic>
          </wp:anchor>
        </w:drawing>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Date</w:t>
      </w:r>
    </w:p>
    <w:p>
      <w:pPr>
        <w:spacing w:after="0" w:line="24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9559"/>
          </w:cols>
          <w:pgMar w:left="900" w:top="837"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u w:val="single" w:color="auto"/>
          <w:color w:val="auto"/>
        </w:rPr>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Post-Employment Release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TO BE EXECUTED AFTER THE SEPARATION DATE</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exchange for the consideration provided to Louis S. Hughes (“Executive”) under the Transition and Separation Agreement and General Release between Executive and Universal Electronics Inc., a Delaware Corporation, dated January 18, 2019 (the “Separation Agreement”), to which this Post-Employment Release is an Exhibit, Executive hereby agrees as follows. All capitalized terms utilized but not defined herein shall have the same meanings ascribed to them in the Separation Agreement:</w:t>
      </w:r>
    </w:p>
    <w:p>
      <w:pPr>
        <w:spacing w:after="0" w:line="187" w:lineRule="exact"/>
        <w:rPr>
          <w:sz w:val="20"/>
          <w:szCs w:val="20"/>
          <w:color w:val="auto"/>
        </w:rPr>
      </w:pPr>
    </w:p>
    <w:p>
      <w:pPr>
        <w:jc w:val="both"/>
        <w:ind w:firstLine="656"/>
        <w:spacing w:after="0" w:line="283" w:lineRule="auto"/>
        <w:tabs>
          <w:tab w:leader="none" w:pos="1112" w:val="left"/>
        </w:tabs>
        <w:numPr>
          <w:ilvl w:val="1"/>
          <w:numId w:val="56"/>
        </w:numPr>
        <w:rPr>
          <w:rFonts w:ascii="Arial" w:cs="Arial" w:eastAsia="Arial" w:hAnsi="Arial"/>
          <w:sz w:val="16"/>
          <w:szCs w:val="16"/>
          <w:color w:val="auto"/>
        </w:rPr>
      </w:pPr>
      <w:r>
        <w:rPr>
          <w:rFonts w:ascii="Arial" w:cs="Arial" w:eastAsia="Arial" w:hAnsi="Arial"/>
          <w:sz w:val="16"/>
          <w:szCs w:val="16"/>
          <w:color w:val="auto"/>
        </w:rPr>
        <w:t>In exchange for the consideration provided under this Post-Employment Release, which Executive acknowledges is fair and sufficient, Executive, on behalf of himself and all of his beneficiaries, heirs, executors, administrators, successors, and assigns (collectively, the “Releasors”), hereby releases, waives, and discharges any and all claims, liabilities, causes of action, demands, suits, rights, costs, expenses, or damages of any kind or nature (collectively, “Claims”) that Executive or any of the other Releasors ever had, have, or might have against UEI or any of its past, present, or future parents, subsidiaries, joint ventures, divisions, or affiliates (collectively, with UEI, the “UEI Entities”), or any of the UEI Entities’ past, present, or future officers, directors, employees, representatives, insurers, attorneys, or agents (collectively, with UEI Entities, the “UEI Parties”), arising at any time prior to and including the date on which Executive executes this Post-Employment Release, whether such Claims are known to Executive or unknown to Executive, and whether such Claims are accrued or contingent, including, but not limited to, any and all (a) Claims arising out of, or that might be considered to arise out of or to be connected in any way with, Executive’s employment or other relationship with any of the UEI Parties, or the termination of Executive’s relationship with any of the UEI Parties; (b) Claims under any contract, agreement, or understanding that Executive may have with any of the UEI Parties, whether written or oral (including, but not limited to, any employment agreement), except as explicitly provided below; (c) Claims arising under any federal, state, local, or foreign law, regulation, rule, or ordinance, tort, implied contract, public policy, quasi-contractual theory, or any other obligation, including, without limitation</w:t>
      </w:r>
    </w:p>
    <w:p>
      <w:pPr>
        <w:spacing w:after="0" w:line="3" w:lineRule="exact"/>
        <w:rPr>
          <w:rFonts w:ascii="Arial" w:cs="Arial" w:eastAsia="Arial" w:hAnsi="Arial"/>
          <w:sz w:val="16"/>
          <w:szCs w:val="16"/>
          <w:color w:val="auto"/>
        </w:rPr>
      </w:pPr>
    </w:p>
    <w:p>
      <w:pPr>
        <w:jc w:val="both"/>
        <w:ind w:firstLine="8"/>
        <w:spacing w:after="0" w:line="281" w:lineRule="auto"/>
        <w:tabs>
          <w:tab w:leader="none" w:pos="217" w:val="left"/>
        </w:tabs>
        <w:numPr>
          <w:ilvl w:val="0"/>
          <w:numId w:val="57"/>
        </w:numPr>
        <w:rPr>
          <w:rFonts w:ascii="Arial" w:cs="Arial" w:eastAsia="Arial" w:hAnsi="Arial"/>
          <w:sz w:val="16"/>
          <w:szCs w:val="16"/>
          <w:color w:val="auto"/>
        </w:rPr>
      </w:pPr>
      <w:r>
        <w:rPr>
          <w:rFonts w:ascii="Arial" w:cs="Arial" w:eastAsia="Arial" w:hAnsi="Arial"/>
          <w:sz w:val="16"/>
          <w:szCs w:val="16"/>
          <w:color w:val="auto"/>
        </w:rPr>
        <w:t>Claims arising under Title VII of the Civil Rights Act of 1964, the Civil Rights Act of 1866, the Civil Rights Act of 1991, the Americans With Disabilities Act, the Family and Medical Leave Act, the Employee Retirement Income Security Act of 1974, the Vietnam Era Veterans Readjustment Act of 1974, the Immigration Reform and Control Act of 1974, the Labor Management Relations Act, the National Labor Relations Act, the Occupational Safety and Health Act, the Rehabilitation Act of 1973, the Uniformed Services Employment and Reemployment Rights Act, the Worker Adjustment and Retraining Notification Act, the Arizona WARN Act, the Sarbanes-Oxley Act of 2002, including all Claims under 18 U.S.C. §§ 1513(e) and 1514A, the Dodd-Frank Act, the Internal Revenue Code of 1986, the Arizona Wage Act, A.R.S. §§ 23-350 to 23-362, the Arizona Employment Protection Act, A.R.S. §§ 23-1501 to 23-1502, the Arizona Civil Rights Act, A.R.S. § 41-1463, the Arizona criminal code, A.R.S. §§ 13-101 to 13-5002, the Arizona Equal Pay Act, A.R.S. §§ 23-340 to 23-341, the Arizona Occupational Safety and Health Act, A.R.S. §§ 23-401 to 23-433, the Arizona Right to Work Act, A.R.S. §§ 23-1301 to 23-1307, the Arizona Drug Testing of Employees Act, A.R.S. §§ 23-493 to 23-493.12, and the Arizona Medical Marijuana Act, A.R.S. §§ 36-2801 to 36-2819, as all such laws have been amended from time to time, or any other federal, state, local, or foreign labor law, wage and hour law, employee relations or fair employment practices law, or public policy, (ii) Claims arising in tort, including, but not limited to, claims for misrepresentation, defamation, libel, slander, invasion of privacy, conversion, replevin, false light, tortious interference with contract or economic advantage, negligence, fraud, fraudulent inducement, quantum meruit, promissory estoppel, prima facie tort, restitution, or the like; and (iii) Claims for compensation, wages, commissions, equity, profits, awards, performance compensation, bonuses, royalties, restricted stock, stock options, deferred compensation, other monetary or equitable relief, vacation, personal or sick time, other fringe benefits, attorneys’ fees or costs, or any tangible or intangible property of Executive’s that remains with any of the UEI Parties; and</w:t>
      </w:r>
    </w:p>
    <w:p>
      <w:pPr>
        <w:spacing w:after="0" w:line="10" w:lineRule="exact"/>
        <w:rPr>
          <w:rFonts w:ascii="Arial" w:cs="Arial" w:eastAsia="Arial" w:hAnsi="Arial"/>
          <w:sz w:val="16"/>
          <w:szCs w:val="16"/>
          <w:color w:val="auto"/>
        </w:rPr>
      </w:pPr>
    </w:p>
    <w:p>
      <w:pPr>
        <w:jc w:val="both"/>
        <w:ind w:firstLine="8"/>
        <w:spacing w:after="0" w:line="254" w:lineRule="auto"/>
        <w:tabs>
          <w:tab w:leader="none" w:pos="257" w:val="left"/>
        </w:tabs>
        <w:numPr>
          <w:ilvl w:val="0"/>
          <w:numId w:val="58"/>
        </w:numPr>
        <w:rPr>
          <w:rFonts w:ascii="Arial" w:cs="Arial" w:eastAsia="Arial" w:hAnsi="Arial"/>
          <w:sz w:val="18"/>
          <w:szCs w:val="18"/>
          <w:color w:val="auto"/>
        </w:rPr>
      </w:pPr>
      <w:r>
        <w:rPr>
          <w:rFonts w:ascii="Arial" w:cs="Arial" w:eastAsia="Arial" w:hAnsi="Arial"/>
          <w:sz w:val="18"/>
          <w:szCs w:val="18"/>
          <w:color w:val="auto"/>
        </w:rPr>
        <w:t>Claims arising under any other legal or equitable theory whatsoever. Executive specifically intends the release of claims set forth herein to be the broadest possible release permitted under law. For the avoidance of doubt, each of the UEI Parties shall be a third-party beneficiary of this Post-Employment Release and shall be entitled to enforce this Post-Employment Release in accordance with its terms. Executive agrees that this Post-Employment Release shall be a full defense to any lawsuit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37"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or arbitration that is or may be initiated, prosecuted, or maintained by or on behalf of Executive or any of the other Releasors.</w:t>
      </w:r>
    </w:p>
    <w:p>
      <w:pPr>
        <w:spacing w:after="0" w:line="225" w:lineRule="exact"/>
        <w:rPr>
          <w:sz w:val="20"/>
          <w:szCs w:val="20"/>
          <w:color w:val="auto"/>
        </w:rPr>
      </w:pPr>
    </w:p>
    <w:p>
      <w:pPr>
        <w:jc w:val="both"/>
        <w:ind w:firstLine="656"/>
        <w:spacing w:after="0" w:line="291" w:lineRule="auto"/>
        <w:tabs>
          <w:tab w:leader="none" w:pos="982"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Notwithstanding the foregoing, nothing in this Post-Employment Release shall be deemed to waive (i) Executive’s right to seek enforcement of the terms of this Post-Employment Release, (ii) Executive’s right to file a charge with, or participate in an investigation or proceeding conducted by, the Equal Employment Opportunity Commission (“EEOC”) or any other federal, state, or local government body or agency charged with enforcing employment discrimination laws (though Executive cannot recover any monetary relief from any claim brought before the EEOC or in any court), (iii) any Claims that cannot be waived as a matter of law, (iv) any rights to indemnification Executive otherwise may have (if any) under any applicable contract, law, or insurance policy, (v) any rights Executive may have to vested benefits under UEI’s 401k plan (as reflected on the books and records of such plan) and with respect to the Equity Awards (as provided herein), (vi) any rights to continued benefits in accordance with the COBRA, and (vii) any rights to unemployment insurance.</w:t>
      </w:r>
    </w:p>
    <w:p>
      <w:pPr>
        <w:spacing w:after="0" w:line="167" w:lineRule="exact"/>
        <w:rPr>
          <w:rFonts w:ascii="Arial" w:cs="Arial" w:eastAsia="Arial" w:hAnsi="Arial"/>
          <w:sz w:val="16"/>
          <w:szCs w:val="16"/>
          <w:color w:val="auto"/>
        </w:rPr>
      </w:pPr>
    </w:p>
    <w:p>
      <w:pPr>
        <w:jc w:val="both"/>
        <w:ind w:firstLine="656"/>
        <w:spacing w:after="0" w:line="293" w:lineRule="auto"/>
        <w:tabs>
          <w:tab w:leader="none" w:pos="973"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Executive represents and warrants that he has not filed or caused to be filed any lawsuit or arbitration against any UEI Party through date of this Post-Employment Release. Except as otherwise provided in Section 2, above, Executive further agrees, to the fullest extent permitted by law, that Executive will not directly or indirectly commence, file, or in any way pursue, or cause or assist any other person or entity to commence, file, or pursue, any lawsuit or arbitration against any UEI Party with respect to any Claim in the future. Executive represents and warrants that Executive has not assigned or conveyed to any other person or entity any of Executive’s rights vis-à-vis the UEI Parties, including, but not limited to, any part of or interest in any of the Claims Executive otherwise is releasing under this Post Employment Release or any of the consideration provided under the Separation Agreement.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Knowing and Voluntary Waiver</w:t>
      </w:r>
      <w:r>
        <w:rPr>
          <w:rFonts w:ascii="Arial" w:cs="Arial" w:eastAsia="Arial" w:hAnsi="Arial"/>
          <w:sz w:val="18"/>
          <w:szCs w:val="18"/>
          <w:color w:val="auto"/>
        </w:rPr>
        <w:t>. Executive acknowledges and recites that:</w:t>
      </w:r>
    </w:p>
    <w:p>
      <w:pPr>
        <w:spacing w:after="0" w:line="252" w:lineRule="exact"/>
        <w:rPr>
          <w:rFonts w:ascii="Arial" w:cs="Arial" w:eastAsia="Arial" w:hAnsi="Arial"/>
          <w:sz w:val="18"/>
          <w:szCs w:val="18"/>
          <w:color w:val="auto"/>
        </w:rPr>
      </w:pPr>
    </w:p>
    <w:p>
      <w:pPr>
        <w:jc w:val="both"/>
        <w:ind w:left="660" w:firstLine="645"/>
        <w:spacing w:after="0" w:line="320" w:lineRule="auto"/>
        <w:tabs>
          <w:tab w:leader="none" w:pos="2156" w:val="left"/>
        </w:tabs>
        <w:numPr>
          <w:ilvl w:val="1"/>
          <w:numId w:val="59"/>
        </w:numPr>
        <w:rPr>
          <w:rFonts w:ascii="Arial" w:cs="Arial" w:eastAsia="Arial" w:hAnsi="Arial"/>
          <w:sz w:val="17"/>
          <w:szCs w:val="17"/>
          <w:color w:val="auto"/>
        </w:rPr>
      </w:pPr>
      <w:r>
        <w:rPr>
          <w:rFonts w:ascii="Arial" w:cs="Arial" w:eastAsia="Arial" w:hAnsi="Arial"/>
          <w:sz w:val="17"/>
          <w:szCs w:val="17"/>
          <w:color w:val="auto"/>
        </w:rPr>
        <w:t>In accordance with the Age Discrimination in Employment Act (“ADEA”) and the Older Workers Benefit Protection Act (“OWBPA), 29 U.S.C. § 621 et seq., Executive understands that he will have twenty-one (21) days from the Separation Date to consider the terms of this Post-Employment Release, execute it, and return it to UEI (c/o Richard A. Firehammer, Jr., Sr. Vice President and General Counsel, Universal Electronics Inc., 1 South Main Street, Suite 7, Chagrin Falls, Ohio 44022, (tel.) 440.785.5480, rfirehammer@uei.com</w:t>
      </w:r>
      <w:r>
        <w:rPr>
          <w:rFonts w:ascii="Arial" w:cs="Arial" w:eastAsia="Arial" w:hAnsi="Arial"/>
          <w:sz w:val="17"/>
          <w:szCs w:val="17"/>
          <w:u w:val="single" w:color="auto"/>
          <w:color w:val="0000FF"/>
        </w:rPr>
        <w:t>)</w:t>
      </w:r>
      <w:r>
        <w:rPr>
          <w:rFonts w:ascii="Arial" w:cs="Arial" w:eastAsia="Arial" w:hAnsi="Arial"/>
          <w:sz w:val="17"/>
          <w:szCs w:val="17"/>
          <w:color w:val="auto"/>
        </w:rPr>
        <w:t>. To the extent that Executive executes this Post-Employment Release prior to the end of this twenty-one (21) day period, Executive hereby knowingly and voluntarily waives the remainder of this twenty-one (21) day period. If Executive fails to execute and return this Post-Employment Release to UEI within this twenty-one (21) day period, then (i) this Post-Employment Release will be null and void, (ii) Section 1(d) of the Separation Agreement will be null and void and Executive will not receive the Severance Payment referenced therein, and (iii) the remainder of the Separation Agreement will remain in full force and effect.</w:t>
      </w:r>
    </w:p>
    <w:p>
      <w:pPr>
        <w:spacing w:after="0" w:line="179" w:lineRule="exact"/>
        <w:rPr>
          <w:rFonts w:ascii="Arial" w:cs="Arial" w:eastAsia="Arial" w:hAnsi="Arial"/>
          <w:sz w:val="17"/>
          <w:szCs w:val="17"/>
          <w:color w:val="auto"/>
        </w:rPr>
      </w:pPr>
    </w:p>
    <w:p>
      <w:pPr>
        <w:jc w:val="both"/>
        <w:ind w:left="660" w:firstLine="645"/>
        <w:spacing w:after="0" w:line="319" w:lineRule="auto"/>
        <w:tabs>
          <w:tab w:leader="none" w:pos="2166" w:val="left"/>
        </w:tabs>
        <w:numPr>
          <w:ilvl w:val="1"/>
          <w:numId w:val="59"/>
        </w:numPr>
        <w:rPr>
          <w:rFonts w:ascii="Arial" w:cs="Arial" w:eastAsia="Arial" w:hAnsi="Arial"/>
          <w:sz w:val="17"/>
          <w:szCs w:val="17"/>
          <w:color w:val="auto"/>
        </w:rPr>
      </w:pPr>
      <w:r>
        <w:rPr>
          <w:rFonts w:ascii="Arial" w:cs="Arial" w:eastAsia="Arial" w:hAnsi="Arial"/>
          <w:sz w:val="17"/>
          <w:szCs w:val="17"/>
          <w:color w:val="auto"/>
        </w:rPr>
        <w:t>Executive acknowledges that if he timely executes this Post-Employment Release, he shall have seven (7) days from the date he executes this Post-Employment Release to revoke this Post-Employment Release by providing written notice of such revocation by email or overnight courier (via FedEx or UPS) to Richard A. Firehammer, Jr., Sr. Vice President and General Counsel, Universal Electronics Inc., 1 South Main Street, Suite 7, Chagrin Falls, Ohio 44022, (tel.) 440.785.5480, rfirehammer@uei.com. If Executive revokes this Post-Employment Release within seven (7) days from the date Executive executes this Post-Employment Release as provided herein, then then (i) this Post-Employment Release will be null and void, (ii) Section 1(d) of the Separation Agreement will be null and void and Executive will not receive the Severance Payment referenced therein, and (iii) the remainder of the Separation Agreement will remain in full force and effect. If Executive does not revoke this Post-Employment Release within seven (7) days from the date Executive timely executes this Post-Employment Release as provided herein, then this Post-Employment Release will become fully binding, effective, irrevocable, and enforceable on the eighth (8th) calendar day after Executive executes it (the “Post-Employment Release Effective Date”).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25" w:right="239" w:bottom="1440" w:gutter="0" w:footer="0" w:header="0"/>
        </w:sectPr>
      </w:pPr>
    </w:p>
    <w:bookmarkStart w:id="103" w:name="page104"/>
    <w:bookmarkEnd w:id="103"/>
    <w:p>
      <w:pPr>
        <w:jc w:val="both"/>
        <w:ind w:left="660" w:firstLine="645"/>
        <w:spacing w:after="0" w:line="322" w:lineRule="auto"/>
        <w:tabs>
          <w:tab w:leader="none" w:pos="2156" w:val="left"/>
        </w:tabs>
        <w:numPr>
          <w:ilvl w:val="1"/>
          <w:numId w:val="60"/>
        </w:numPr>
        <w:rPr>
          <w:rFonts w:ascii="Arial" w:cs="Arial" w:eastAsia="Arial" w:hAnsi="Arial"/>
          <w:sz w:val="17"/>
          <w:szCs w:val="17"/>
          <w:color w:val="auto"/>
        </w:rPr>
      </w:pPr>
      <w:r>
        <w:rPr>
          <w:rFonts w:ascii="Arial" w:cs="Arial" w:eastAsia="Arial" w:hAnsi="Arial"/>
          <w:sz w:val="17"/>
          <w:szCs w:val="17"/>
          <w:color w:val="auto"/>
        </w:rPr>
        <w:t>Executive hereby acknowledges that he (i) has carefully read this Post-Employment Release and understands all of the terms and conditions of this Post-Employment Release; (ii) is competent to manage his own personal and business affairs; (iii) fully understands the legal and binding effect of this Post-Employment Release; (iv) understands that he is giving up any and all legal Claims Executive otherwise could assert against UEI and/or any of the UEI Entities, including but not limited to any and all Claims under the ADEA and all other laws regarding age discrimination, whether those Claims are presently known or hereafter discovered; (v) has been advised to consult with an attorney of Executive’s own choosing in connection with his review and execution of this Post-Employment Release; and (vi) has chosen to enter into this Post-Employment Release without coercion, and based upon Executive’s own judgment and free will.</w:t>
      </w:r>
    </w:p>
    <w:p>
      <w:pPr>
        <w:spacing w:after="0" w:line="149" w:lineRule="exact"/>
        <w:rPr>
          <w:rFonts w:ascii="Arial" w:cs="Arial" w:eastAsia="Arial" w:hAnsi="Arial"/>
          <w:sz w:val="17"/>
          <w:szCs w:val="17"/>
          <w:color w:val="auto"/>
        </w:rPr>
      </w:pPr>
    </w:p>
    <w:p>
      <w:pPr>
        <w:jc w:val="both"/>
        <w:ind w:firstLine="656"/>
        <w:spacing w:after="0" w:line="286" w:lineRule="auto"/>
        <w:tabs>
          <w:tab w:leader="none" w:pos="1076"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This Post-Employment Release is part of the Separation Agreement and following the Post-Employment Release Effective Date, may be enforced in accordance with the terms of the Separation Agreement. Employee acknowledges and agrees that the Separation Agreement and the Surviving Agreements remain in full force and effect and, together with this Post-Employment Release, form the entire agreement between the parties.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Executive has duly executed this Post-Employment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5927725</wp:posOffset>
            </wp:positionH>
            <wp:positionV relativeFrom="paragraph">
              <wp:posOffset>266065</wp:posOffset>
            </wp:positionV>
            <wp:extent cx="6858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Louis S. Hughes –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5470525</wp:posOffset>
            </wp:positionH>
            <wp:positionV relativeFrom="paragraph">
              <wp:posOffset>263525</wp:posOffset>
            </wp:positionV>
            <wp:extent cx="6858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52"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u w:val="single" w:color="auto"/>
          <w:color w:val="auto"/>
        </w:rPr>
        <w:t>Exhibit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List of Permitted Companies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SkyDrop, LLC (Smart Water Metering and Measurement and Monitoring)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Ember Technologies, Inc. (Temperature Controlled Mugs);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Heatworks Technologies (Water Heating Technology);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Companies, including divisions within such companies, engaged primarily in the LED Lighting industry, such as GE and its GE Lighting division, but excluding, however, Royal Philips and any of Royal Philips’ subsidiary or affiliate companies and any of its or their divisions;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 such other companies that may be added from time to time upon the written approval from UEI.</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37"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Subsidiaries of the Registrant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C.G. Development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Mexico Remote Controls, S.R.L. de C.V. (organized under the laws of Mexico)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Ecolink Intelligent Technology, Inc. (organized under the laws of Delaware)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Enson Assets Ltd. (organized under the laws of the British Virgin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Polyfirst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(Qinzhou)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(Yangzhou)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Guangzhou Universal Electronics Service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Argentina S.R.L (organized under the laws of Argentina)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France S.A.S. (organized under the laws of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GmbH (organized under the laws of Germany)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Iberia S.L. (organized under the laws of Spain)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UK, Ltd. (organized under the laws of the 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RCS Technology, LLC (organized under the laws of Delaware)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Japan Ltd. (organized under the laws of Japan)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Singapore Pte. Ltd. (organized under the laws of the Republic of Singapore)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Cayman Inc. (organized under the laws of the Cayman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do Brasil Controles Remotos Ltda. (organized under the laws of Brazil)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Electronics Pte. Ltd. (organized under the laws of India)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Hong Kong Pte.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Korea Ltd. (organized under the laws of South Korea)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B.V. (organized under the laws of the Netherlands)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Italia S.R.L. (organized under the laws of Italy)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Trading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Yangzhou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Yangzhou Universal Trading Co. Ltd. (organized under the laws of the People's Republic of China)</w:t>
      </w:r>
    </w:p>
    <w:p>
      <w:pPr>
        <w:sectPr>
          <w:pgSz w:w="11900" w:h="16838" w:orient="portrait"/>
          <w:cols w:equalWidth="0" w:num="1">
            <w:col w:w="11420"/>
          </w:cols>
          <w:pgMar w:left="240" w:top="580" w:right="239" w:bottom="1440" w:gutter="0" w:footer="0" w:header="0"/>
        </w:sectPr>
      </w:pPr>
    </w:p>
    <w:bookmarkStart w:id="106" w:name="page107"/>
    <w:bookmarkEnd w:id="106"/>
    <w:p>
      <w:pPr>
        <w:ind w:left="10480"/>
        <w:spacing w:after="0"/>
        <w:rPr>
          <w:sz w:val="20"/>
          <w:szCs w:val="20"/>
          <w:color w:val="auto"/>
        </w:rPr>
      </w:pPr>
      <w:r>
        <w:rPr>
          <w:rFonts w:ascii="Arial" w:cs="Arial" w:eastAsia="Arial" w:hAnsi="Arial"/>
          <w:sz w:val="16"/>
          <w:szCs w:val="16"/>
          <w:b w:val="1"/>
          <w:bCs w:val="1"/>
          <w:u w:val="single" w:color="auto"/>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reports dated March 14, 2019, with respect to the consolidated financial statements and internal control over financial reporting in the Annual Report of Universal Electronics Inc. on Form 10-K for the year ended December 31, 2018. We consent to the incorporation by reference of said reports in the Registration Statements of Universal Electronics Inc. on Forms S-8 File No. 333-149926; File No. 333-175345; File No. 333-194511; File No. 333-198093; and File No. 333-227594.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90"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9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hanging="644"/>
        <w:spacing w:after="0" w:line="334"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90"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9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hanging="644"/>
        <w:spacing w:after="0" w:line="334"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hanging="328"/>
        <w:spacing w:after="0" w:line="334"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2018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14, 2019</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hanging="328"/>
        <w:spacing w:after="0" w:line="334"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2018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14,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lowerLetter"/>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lvl w:ilvl="1">
      <w:lvlJc w:val="left"/>
      <w:lvlText w:val="(%2)"/>
      <w:numFmt w:val="lowerLetter"/>
      <w:start w:val="1"/>
    </w:lvl>
  </w:abstractNum>
  <w:abstractNum w:abstractNumId="36">
    <w:nsid w:val="1BA026FA"/>
    <w:multiLevelType w:val="hybridMultilevel"/>
    <w:lvl w:ilvl="0">
      <w:lvlJc w:val="left"/>
      <w:lvlText w:val="(%1)"/>
      <w:numFmt w:val="lowerLetter"/>
      <w:start w:val="2"/>
    </w:lvl>
    <w:lvl w:ilvl="1">
      <w:lvlJc w:val="left"/>
      <w:lvlText w:val="(%2)"/>
      <w:numFmt w:val="lowerRoman"/>
      <w:start w:val="1"/>
    </w:lvl>
  </w:abstractNum>
  <w:abstractNum w:abstractNumId="37">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8">
    <w:nsid w:val="75C6C33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9">
    <w:nsid w:val="12E685F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0">
    <w:nsid w:val="70C6A529"/>
    <w:multiLevelType w:val="hybridMultilevel"/>
    <w:lvl w:ilvl="0">
      <w:lvlJc w:val="left"/>
      <w:lvlText w:val="%1."/>
      <w:numFmt w:val="decimal"/>
      <w:start w:val="4"/>
    </w:lvl>
    <w:lvl w:ilvl="1">
      <w:lvlJc w:val="left"/>
      <w:lvlText w:val="(%2)"/>
      <w:numFmt w:val="lowerLetter"/>
      <w:start w:val="1"/>
    </w:lvl>
  </w:abstractNum>
  <w:abstractNum w:abstractNumId="41">
    <w:nsid w:val="520EEDD1"/>
    <w:multiLevelType w:val="hybridMultilevel"/>
    <w:lvl w:ilvl="0">
      <w:lvlJc w:val="left"/>
      <w:lvlText w:val="(%1)"/>
      <w:numFmt w:val="lowerLetter"/>
      <w:start w:val="1"/>
    </w:lvl>
  </w:abstractNum>
  <w:abstractNum w:abstractNumId="42">
    <w:nsid w:val="374A3FE6"/>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43">
    <w:nsid w:val="4F4EF005"/>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44">
    <w:nsid w:val="23F9C13C"/>
    <w:multiLevelType w:val="hybridMultilevel"/>
    <w:lvl w:ilvl="0">
      <w:lvlJc w:val="left"/>
      <w:lvlText w:val="%1"/>
      <w:numFmt w:val="decimal"/>
      <w:start w:val="1"/>
    </w:lvl>
    <w:lvl w:ilvl="1">
      <w:lvlJc w:val="left"/>
      <w:lvlText w:val="(%2)"/>
      <w:numFmt w:val="lowerLetter"/>
      <w:start w:val="2"/>
    </w:lvl>
  </w:abstractNum>
  <w:abstractNum w:abstractNumId="45">
    <w:nsid w:val="649BB77C"/>
    <w:multiLevelType w:val="hybridMultilevel"/>
    <w:lvl w:ilvl="0">
      <w:lvlJc w:val="left"/>
      <w:lvlText w:val="%1."/>
      <w:numFmt w:val="decimal"/>
      <w:start w:val="6"/>
    </w:lvl>
    <w:lvl w:ilvl="1">
      <w:lvlJc w:val="left"/>
      <w:lvlText w:val="(%2)"/>
      <w:numFmt w:val="lowerLetter"/>
      <w:start w:val="1"/>
    </w:lvl>
  </w:abstractNum>
  <w:abstractNum w:abstractNumId="46">
    <w:nsid w:val="275AC794"/>
    <w:multiLevelType w:val="hybridMultilevel"/>
    <w:lvl w:ilvl="0">
      <w:lvlJc w:val="left"/>
      <w:lvlText w:val="%1"/>
      <w:numFmt w:val="decimal"/>
      <w:start w:val="1"/>
    </w:lvl>
    <w:lvl w:ilvl="1">
      <w:lvlJc w:val="left"/>
      <w:lvlText w:val="(%2)"/>
      <w:numFmt w:val="lowerLetter"/>
      <w:start w:val="3"/>
    </w:lvl>
  </w:abstractNum>
  <w:abstractNum w:abstractNumId="47">
    <w:nsid w:val="39386575"/>
    <w:multiLevelType w:val="hybridMultilevel"/>
    <w:lvl w:ilvl="0">
      <w:lvlJc w:val="left"/>
      <w:lvlText w:val="%1."/>
      <w:numFmt w:val="decimal"/>
      <w:start w:val="7"/>
    </w:lvl>
    <w:lvl w:ilvl="1">
      <w:lvlJc w:val="left"/>
      <w:lvlText w:val="%2"/>
      <w:numFmt w:val="lowerLetter"/>
      <w:start w:val="1"/>
    </w:lvl>
  </w:abstractNum>
  <w:abstractNum w:abstractNumId="48">
    <w:nsid w:val="1CF10FD8"/>
    <w:multiLevelType w:val="hybridMultilevel"/>
    <w:lvl w:ilvl="0">
      <w:lvlJc w:val="left"/>
      <w:lvlText w:val="%1."/>
      <w:numFmt w:val="decimal"/>
      <w:start w:val="11"/>
    </w:lvl>
    <w:lvl w:ilvl="1">
      <w:lvlJc w:val="left"/>
      <w:lvlText w:val="(%2)"/>
      <w:numFmt w:val="lowerLetter"/>
      <w:start w:val="1"/>
    </w:lvl>
  </w:abstractNum>
  <w:abstractNum w:abstractNumId="49">
    <w:nsid w:val="180115BE"/>
    <w:multiLevelType w:val="hybridMultilevel"/>
    <w:lvl w:ilvl="0">
      <w:lvlJc w:val="left"/>
      <w:lvlText w:val="%1."/>
      <w:numFmt w:val="decimal"/>
      <w:start w:val="14"/>
    </w:lvl>
    <w:lvl w:ilvl="1">
      <w:lvlJc w:val="left"/>
      <w:lvlText w:val="(%2)"/>
      <w:numFmt w:val="lowerLetter"/>
      <w:start w:val="1"/>
    </w:lvl>
  </w:abstractNum>
  <w:abstractNum w:abstractNumId="50">
    <w:nsid w:val="235BA861"/>
    <w:multiLevelType w:val="hybridMultilevel"/>
    <w:lvl w:ilvl="0">
      <w:lvlJc w:val="left"/>
      <w:lvlText w:val="%1"/>
      <w:numFmt w:val="lowerLetter"/>
      <w:start w:val="1"/>
    </w:lvl>
    <w:lvl w:ilvl="1">
      <w:lvlJc w:val="left"/>
      <w:lvlText w:val="(%2)"/>
      <w:numFmt w:val="lowerLetter"/>
      <w:start w:val="2"/>
    </w:lvl>
  </w:abstractNum>
  <w:abstractNum w:abstractNumId="51">
    <w:nsid w:val="47398C89"/>
    <w:multiLevelType w:val="hybridMultilevel"/>
    <w:lvl w:ilvl="0">
      <w:lvlJc w:val="left"/>
      <w:lvlText w:val="(%1)"/>
      <w:numFmt w:val="lowerLetter"/>
      <w:start w:val="61"/>
    </w:lvl>
    <w:lvl w:ilvl="1">
      <w:lvlJc w:val="left"/>
      <w:lvlText w:val="(%2)"/>
      <w:numFmt w:val="lowerLetter"/>
      <w:start w:val="3"/>
    </w:lvl>
  </w:abstractNum>
  <w:abstractNum w:abstractNumId="52">
    <w:nsid w:val="354FE9F9"/>
    <w:multiLevelType w:val="hybridMultilevel"/>
    <w:lvl w:ilvl="0">
      <w:lvlJc w:val="left"/>
      <w:lvlText w:val="%1."/>
      <w:numFmt w:val="decimal"/>
      <w:start w:val="19"/>
    </w:lvl>
    <w:lvl w:ilvl="1">
      <w:lvlJc w:val="left"/>
      <w:lvlText w:val="(%2)"/>
      <w:numFmt w:val="lowerLetter"/>
      <w:start w:val="1"/>
    </w:lvl>
  </w:abstractNum>
  <w:abstractNum w:abstractNumId="53">
    <w:nsid w:val="15B5AF5C"/>
    <w:multiLevelType w:val="hybridMultilevel"/>
    <w:lvl w:ilvl="0">
      <w:lvlJc w:val="left"/>
      <w:lvlText w:val="%1."/>
      <w:numFmt w:val="decimal"/>
      <w:start w:val="21"/>
    </w:lvl>
  </w:abstractNum>
  <w:abstractNum w:abstractNumId="54">
    <w:nsid w:val="741226BB"/>
    <w:multiLevelType w:val="hybridMultilevel"/>
    <w:lvl w:ilvl="0">
      <w:lvlJc w:val="left"/>
      <w:lvlText w:val="%1."/>
      <w:numFmt w:val="decimal"/>
      <w:start w:val="22"/>
    </w:lvl>
  </w:abstractNum>
  <w:abstractNum w:abstractNumId="55">
    <w:nsid w:val="D34B6A8"/>
    <w:multiLevelType w:val="hybridMultilevel"/>
    <w:lvl w:ilvl="0">
      <w:lvlJc w:val="left"/>
      <w:lvlText w:val="%1"/>
      <w:numFmt w:val="lowerLetter"/>
      <w:start w:val="1"/>
    </w:lvl>
    <w:lvl w:ilvl="1">
      <w:lvlJc w:val="left"/>
      <w:lvlText w:val="%2."/>
      <w:numFmt w:val="decimal"/>
      <w:start w:val="1"/>
    </w:lvl>
  </w:abstractNum>
  <w:abstractNum w:abstractNumId="56">
    <w:nsid w:val="10233C99"/>
    <w:multiLevelType w:val="hybridMultilevel"/>
    <w:lvl w:ilvl="0">
      <w:lvlJc w:val="left"/>
      <w:lvlText w:val="(%1)"/>
      <w:numFmt w:val="lowerLetter"/>
      <w:start w:val="9"/>
    </w:lvl>
    <w:lvl w:ilvl="1">
      <w:lvlJc w:val="left"/>
      <w:lvlText w:val="%2"/>
      <w:numFmt w:val="decimal"/>
      <w:start w:val="1"/>
    </w:lvl>
  </w:abstractNum>
  <w:abstractNum w:abstractNumId="57">
    <w:nsid w:val="3F6AB60F"/>
    <w:multiLevelType w:val="hybridMultilevel"/>
    <w:lvl w:ilvl="0">
      <w:lvlJc w:val="left"/>
      <w:lvlText w:val="(%1)"/>
      <w:numFmt w:val="lowerLetter"/>
      <w:start w:val="4"/>
    </w:lvl>
    <w:lvl w:ilvl="1">
      <w:lvlJc w:val="left"/>
      <w:lvlText w:val="%2"/>
      <w:numFmt w:val="decimal"/>
      <w:start w:val="1"/>
    </w:lvl>
  </w:abstractNum>
  <w:abstractNum w:abstractNumId="58">
    <w:nsid w:val="61574095"/>
    <w:multiLevelType w:val="hybridMultilevel"/>
    <w:lvl w:ilvl="0">
      <w:lvlJc w:val="left"/>
      <w:lvlText w:val="%1."/>
      <w:numFmt w:val="decimal"/>
      <w:start w:val="2"/>
    </w:lvl>
    <w:lvl w:ilvl="1">
      <w:lvlJc w:val="left"/>
      <w:lvlText w:val="(%2)"/>
      <w:numFmt w:val="lowerLetter"/>
      <w:start w:val="1"/>
    </w:lvl>
  </w:abstractNum>
  <w:abstractNum w:abstractNumId="59">
    <w:nsid w:val="7E0C57B1"/>
    <w:multiLevelType w:val="hybridMultilevel"/>
    <w:lvl w:ilvl="0">
      <w:lvlJc w:val="left"/>
      <w:lvlText w:val="%1"/>
      <w:numFmt w:val="decimal"/>
      <w:start w:val="1"/>
    </w:lvl>
    <w:lvl w:ilvl="1">
      <w:lvlJc w:val="left"/>
      <w:lvlText w:val="(%2)"/>
      <w:numFmt w:val="lowerLetter"/>
      <w:start w:val="3"/>
    </w:lvl>
  </w:abstractNum>
  <w:abstractNum w:abstractNumId="60">
    <w:nsid w:val="77AE35EB"/>
    <w:multiLevelType w:val="hybridMultilevel"/>
    <w:lvl w:ilvl="0">
      <w:lvlJc w:val="left"/>
      <w:lvlText w:val="%1."/>
      <w:numFmt w:val="decimal"/>
      <w:start w:val="5"/>
    </w:lvl>
    <w:lvl w:ilvl="1">
      <w:lvlJc w:val="left"/>
      <w:lvlText w:val="%2"/>
      <w:numFmt w:val="lowerLetter"/>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71" Type="http://schemas.openxmlformats.org/officeDocument/2006/relationships/image" Target="media/image29.png"/><Relationship Id="rId72" Type="http://schemas.openxmlformats.org/officeDocument/2006/relationships/image" Target="media/image30.png"/><Relationship Id="rId73" Type="http://schemas.openxmlformats.org/officeDocument/2006/relationships/image" Target="media/image31.png"/><Relationship Id="rId74" Type="http://schemas.openxmlformats.org/officeDocument/2006/relationships/image" Target="media/image32.png"/><Relationship Id="rId75" Type="http://schemas.openxmlformats.org/officeDocument/2006/relationships/image" Target="media/image33.png"/><Relationship Id="rId76" Type="http://schemas.openxmlformats.org/officeDocument/2006/relationships/image" Target="media/image34.png"/><Relationship Id="rId77" Type="http://schemas.openxmlformats.org/officeDocument/2006/relationships/image" Target="media/image35.png"/><Relationship Id="rId78" Type="http://schemas.openxmlformats.org/officeDocument/2006/relationships/image" Target="media/image36.png"/><Relationship Id="rId79" Type="http://schemas.openxmlformats.org/officeDocument/2006/relationships/image" Target="media/image37.png"/><Relationship Id="rId80" Type="http://schemas.openxmlformats.org/officeDocument/2006/relationships/image" Target="media/image38.png"/><Relationship Id="rId81" Type="http://schemas.openxmlformats.org/officeDocument/2006/relationships/image" Target="media/image39.png"/><Relationship Id="rId82" Type="http://schemas.openxmlformats.org/officeDocument/2006/relationships/image" Target="media/image40.png"/><Relationship Id="rId36" Type="http://schemas.openxmlformats.org/officeDocument/2006/relationships/hyperlink" Target="http://www.sec.gov/Archives/edgar/data/101984/000010198418000008/a10k20171231-ex33.htm" TargetMode="External"/><Relationship Id="rId37" Type="http://schemas.openxmlformats.org/officeDocument/2006/relationships/hyperlink" Target="http://www.sec.gov/Archives/edgar/data/101984/000010198418000008/a10k20171231-ex34.htm" TargetMode="External"/><Relationship Id="rId38" Type="http://schemas.openxmlformats.org/officeDocument/2006/relationships/hyperlink" Target="http://www.sec.gov/Archives/edgar/data/101984/000010198416000059/exhibit41-commonstockpurch.htm" TargetMode="External"/><Relationship Id="rId39" Type="http://schemas.openxmlformats.org/officeDocument/2006/relationships/hyperlink" Target="http://www.sec.gov/Archives/edgar/data/101984/0000950152-98-002736.txt" TargetMode="External"/><Relationship Id="rId40" Type="http://schemas.openxmlformats.org/officeDocument/2006/relationships/hyperlink" Target="http://www.sec.gov/Archives/edgar/data/101984/000095015003000463/a89495def14a.htm" TargetMode="External"/><Relationship Id="rId41" Type="http://schemas.openxmlformats.org/officeDocument/2006/relationships/hyperlink" Target="http://www.sec.gov/Archives/edgar/data/101984/000095015004000338/a97327exv10w42.txt" TargetMode="External"/><Relationship Id="rId42" Type="http://schemas.openxmlformats.org/officeDocument/2006/relationships/hyperlink" Target="http://www.sec.gov/Archives/edgar/data/101984/000095013706004928/a19632ddef14a.htm" TargetMode="External"/><Relationship Id="rId43" Type="http://schemas.openxmlformats.org/officeDocument/2006/relationships/hyperlink" Target="http://www.sec.gov/Archives/edgar/data/101984/000089256907000250/a27604exv10w26.txt" TargetMode="External"/><Relationship Id="rId44" Type="http://schemas.openxmlformats.org/officeDocument/2006/relationships/hyperlink" Target="http://www.sec.gov/Archives/edgar/data/101984/000089256907000250/a27604exv10w28.txt" TargetMode="External"/><Relationship Id="rId45" Type="http://schemas.openxmlformats.org/officeDocument/2006/relationships/hyperlink" Target="http://www.sec.gov/Archives/edgar/data/101984/000089256908000442/a39411exv4w5.htm" TargetMode="External"/><Relationship Id="rId46" Type="http://schemas.openxmlformats.org/officeDocument/2006/relationships/hyperlink" Target="http://www.sec.gov/Archives/edgar/data/101984/000095012311025838/a58948exv10w30.htm" TargetMode="External"/><Relationship Id="rId47" Type="http://schemas.openxmlformats.org/officeDocument/2006/relationships/hyperlink" Target="http://www.sec.gov/Archives/edgar/data/101984/000095012311025838/a58948exv10w31.htm" TargetMode="External"/><Relationship Id="rId48" Type="http://schemas.openxmlformats.org/officeDocument/2006/relationships/hyperlink" Target="http://www.sec.gov/Archives/edgar/data/101984/000095012310041632/a55838def14a.htm" TargetMode="External"/><Relationship Id="rId49" Type="http://schemas.openxmlformats.org/officeDocument/2006/relationships/hyperlink" Target="http://www.sec.gov/Archives/edgar/data/101984/000095012311063851/a59824exv4w6.htm" TargetMode="External"/><Relationship Id="rId50" Type="http://schemas.openxmlformats.org/officeDocument/2006/relationships/hyperlink" Target="http://www.sec.gov/Archives/edgar/data/101984/000095012311063851/a59824exv4w7.htm" TargetMode="External"/><Relationship Id="rId51" Type="http://schemas.openxmlformats.org/officeDocument/2006/relationships/hyperlink" Target="http://www.sec.gov/Archives/edgar/data/101984/000144530513000608/ueic-12312012xex1031.htm" TargetMode="External"/><Relationship Id="rId52" Type="http://schemas.openxmlformats.org/officeDocument/2006/relationships/hyperlink" Target="http://www.sec.gov/Archives/edgar/data/101984/000119312512114613/d281396dex1036.htm" TargetMode="External"/><Relationship Id="rId53" Type="http://schemas.openxmlformats.org/officeDocument/2006/relationships/hyperlink" Target="http://www.sec.gov/Archives/edgar/data/101984/000119312512240294/d355902dex101.htm" TargetMode="External"/><Relationship Id="rId54" Type="http://schemas.openxmlformats.org/officeDocument/2006/relationships/hyperlink" Target="http://www.sec.gov/Archives/edgar/data/101984/000010198414000014/ueic-12312013xex1034.htm" TargetMode="External"/><Relationship Id="rId55" Type="http://schemas.openxmlformats.org/officeDocument/2006/relationships/hyperlink" Target="http://www.sec.gov/Archives/edgar/data/101984/000010198414000016/forms82014-03x10.htm" TargetMode="External"/><Relationship Id="rId56" Type="http://schemas.openxmlformats.org/officeDocument/2006/relationships/hyperlink" Target="http://www.sec.gov/Archives/edgar/data/101984/000010198414000051/exhibit452014-08.htm" TargetMode="External"/><Relationship Id="rId57" Type="http://schemas.openxmlformats.org/officeDocument/2006/relationships/hyperlink" Target="http://www.sec.gov/Archives/edgar/data/101984/000010198414000051/exhibit462014-08.htm" TargetMode="External"/><Relationship Id="rId58" Type="http://schemas.openxmlformats.org/officeDocument/2006/relationships/hyperlink" Target="http://www.sec.gov/Archives/edgar/data/101984/000010198414000051/exhibit472014-08.htm" TargetMode="External"/><Relationship Id="rId59" Type="http://schemas.openxmlformats.org/officeDocument/2006/relationships/hyperlink" Target="http://www.sec.gov/Archives/edgar/data/101984/000010198416000059/exhibit101-registrationrig.htm" TargetMode="External"/><Relationship Id="rId60" Type="http://schemas.openxmlformats.org/officeDocument/2006/relationships/hyperlink" Target="http://www.sec.gov/Archives/edgar/data/101984/000010198416000096/ueiq-09302016x10qxex102.htm" TargetMode="External"/><Relationship Id="rId61" Type="http://schemas.openxmlformats.org/officeDocument/2006/relationships/hyperlink" Target="http://www.sec.gov/Archives/edgar/data/101984/000010198417000007/a10k20161231-ex1034.htm" TargetMode="External"/><Relationship Id="rId62" Type="http://schemas.openxmlformats.org/officeDocument/2006/relationships/hyperlink" Target="http://www.sec.gov/Archives/edgar/data/101984/000010198418000008/a10k20171231-ex1039.htm" TargetMode="External"/><Relationship Id="rId63" Type="http://schemas.openxmlformats.org/officeDocument/2006/relationships/hyperlink" Target="http://www.sec.gov/Archives/edgar/data/101984/000010198418000032/uei-06302018x10qxex101.htm" TargetMode="External"/><Relationship Id="rId64" Type="http://schemas.openxmlformats.org/officeDocument/2006/relationships/hyperlink" Target="http://www.sec.gov/Archives/edgar/data/101984/000010198418000032/uei-06302018x10qxex102.htm" TargetMode="External"/><Relationship Id="rId65" Type="http://schemas.openxmlformats.org/officeDocument/2006/relationships/hyperlink" Target="http://www.sec.gov/Archives/edgar/data/101984/000010198418000032/uei-06302018x10qxex103.htm" TargetMode="External"/><Relationship Id="rId66" Type="http://schemas.openxmlformats.org/officeDocument/2006/relationships/hyperlink" Target="http://www.sec.gov/Archives/edgar/data/101984/000010198418000032/uei-06302018x10qxex104.htm" TargetMode="External"/><Relationship Id="rId67" Type="http://schemas.openxmlformats.org/officeDocument/2006/relationships/hyperlink" Target="http://www.sec.gov/Archives/edgar/data/101984/000010198418000032/uei-0630201810qex105.htm" TargetMode="External"/><Relationship Id="rId68" Type="http://schemas.openxmlformats.org/officeDocument/2006/relationships/hyperlink" Target="http://www.sec.gov/Archives/edgar/data/101984/000010198418000032/uei-0630201810qex106.htm" TargetMode="External"/><Relationship Id="rId69" Type="http://schemas.openxmlformats.org/officeDocument/2006/relationships/hyperlink" Target="http://www.sec.gov/Archives/edgar/data/101984/000010198419000003/usb-secondamendmenttoueise.htm" TargetMode="External"/><Relationship Id="rId70" Type="http://schemas.openxmlformats.org/officeDocument/2006/relationships/hyperlink" Target="http://www.sec.gov/Archives/edgar/data/101984/000095015004000338/a97327exv1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2019-12-28T14:35:58Z</dcterms:created>
  <dcterms:modified xsi:type="dcterms:W3CDTF">2019-12-28T14:35:58Z</dcterms:modified>
</cp:coreProperties>
</file>