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66"/>
          <w:szCs w:val="66"/>
          <w:color w:val="F3F4F4"/>
        </w:rPr>
        <w:t>Universal</w:t>
      </w:r>
    </w:p>
    <w:p>
      <w:pPr>
        <w:ind w:left="1020"/>
        <w:spacing w:after="0"/>
        <w:rPr>
          <w:sz w:val="20"/>
          <w:szCs w:val="20"/>
          <w:color w:val="auto"/>
        </w:rPr>
      </w:pPr>
      <w:r>
        <w:rPr>
          <w:rFonts w:ascii="Arial" w:cs="Arial" w:eastAsia="Arial" w:hAnsi="Arial"/>
          <w:sz w:val="66"/>
          <w:szCs w:val="66"/>
          <w:color w:val="F3F4F4"/>
        </w:rPr>
        <w:t>Electronics</w:t>
      </w:r>
    </w:p>
    <w:p>
      <w:pPr>
        <w:spacing w:after="0" w:line="200" w:lineRule="exact"/>
        <w:rPr>
          <w:sz w:val="20"/>
          <w:szCs w:val="20"/>
          <w:color w:val="auto"/>
        </w:rPr>
      </w:pPr>
    </w:p>
    <w:p>
      <w:pPr>
        <w:spacing w:after="0" w:line="345" w:lineRule="exact"/>
        <w:rPr>
          <w:sz w:val="20"/>
          <w:szCs w:val="20"/>
          <w:color w:val="auto"/>
        </w:rPr>
      </w:pPr>
    </w:p>
    <w:p>
      <w:pPr>
        <w:ind w:left="1080" w:right="2720"/>
        <w:spacing w:after="0" w:line="269" w:lineRule="auto"/>
        <w:rPr>
          <w:sz w:val="20"/>
          <w:szCs w:val="20"/>
          <w:color w:val="auto"/>
        </w:rPr>
      </w:pPr>
      <w:r>
        <w:rPr>
          <w:rFonts w:ascii="Arial" w:cs="Arial" w:eastAsia="Arial" w:hAnsi="Arial"/>
          <w:sz w:val="28"/>
          <w:szCs w:val="28"/>
          <w:color w:val="F3F4F4"/>
        </w:rPr>
        <w:t>Universal Electronics Inc. (NASDAQ: UEIC) is the global leader in universal wireless control solutions for the home. The company brings to life millions of innovative control products each year that focus on a user-centric approach to designing and creating solutions and applications that simplify user interaction with highly complex technologies in the home and removing interoperability challenges as a roadblock for user adoption, with a privacy first and secure by design approach to today’s smart devices.</w:t>
      </w: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Arial" w:cs="Arial" w:eastAsia="Arial" w:hAnsi="Arial"/>
          <w:sz w:val="24"/>
          <w:szCs w:val="24"/>
          <w:b w:val="1"/>
          <w:bCs w:val="1"/>
          <w:color w:val="F3F4F4"/>
        </w:rPr>
        <w:t>For more info, visit www.uei.com</w:t>
      </w:r>
    </w:p>
    <w:p>
      <w:pPr>
        <w:sectPr>
          <w:pgSz w:w="11880" w:h="15480" w:orient="portrait"/>
          <w:cols w:equalWidth="0" w:num="1">
            <w:col w:w="9000"/>
          </w:cols>
          <w:pgMar w:left="1440" w:top="1440"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32"/>
          <w:szCs w:val="32"/>
          <w:color w:val="231F20"/>
        </w:rPr>
        <mc:AlternateContent>
          <mc:Choice Requires="wps">
            <w:drawing>
              <wp:anchor simplePos="0" relativeHeight="251657728" behindDoc="1" locked="0" layoutInCell="0" allowOverlap="1">
                <wp:simplePos x="0" y="0"/>
                <wp:positionH relativeFrom="page">
                  <wp:posOffset>412115</wp:posOffset>
                </wp:positionH>
                <wp:positionV relativeFrom="page">
                  <wp:posOffset>431165</wp:posOffset>
                </wp:positionV>
                <wp:extent cx="669226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2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2.45pt,33.95pt" to="559.4pt,33.95pt" o:allowincell="f" strokecolor="#231F20" strokeweight="0.5pt">
                <w10:wrap anchorx="page" anchory="page"/>
              </v:line>
            </w:pict>
          </mc:Fallback>
        </mc:AlternateContent>
        <w:t>To Our Stockholders:</w:t>
      </w:r>
    </w:p>
    <w:p>
      <w:pPr>
        <w:spacing w:after="0" w:line="200" w:lineRule="exact"/>
        <w:rPr>
          <w:sz w:val="20"/>
          <w:szCs w:val="20"/>
          <w:color w:val="auto"/>
        </w:rPr>
      </w:pPr>
    </w:p>
    <w:p>
      <w:pPr>
        <w:spacing w:after="0" w:line="236" w:lineRule="exact"/>
        <w:rPr>
          <w:sz w:val="20"/>
          <w:szCs w:val="20"/>
          <w:color w:val="auto"/>
        </w:rPr>
      </w:pPr>
    </w:p>
    <w:p>
      <w:pPr>
        <w:ind w:left="20" w:right="280"/>
        <w:spacing w:after="0" w:line="239" w:lineRule="auto"/>
        <w:rPr>
          <w:sz w:val="20"/>
          <w:szCs w:val="20"/>
          <w:color w:val="auto"/>
        </w:rPr>
      </w:pPr>
      <w:r>
        <w:rPr>
          <w:rFonts w:ascii="Arial" w:cs="Arial" w:eastAsia="Arial" w:hAnsi="Arial"/>
          <w:sz w:val="22"/>
          <w:szCs w:val="22"/>
          <w:color w:val="231F20"/>
        </w:rPr>
        <w:t>2025 was a year defined by decisive action, operational discipline, and measurable progress toward putting UEI back on the path toward profitability. As the dynamics of our traditional Home Entertainment business continued to evolve, we drove a strategy to diversify our revenue base, optimize our global footprint, and strengthen our financial foundation. Our focus on innovation, disciplined cost management, and channel expansion enabled us to deliver year-over-year improvements in profitability and cash generation while establishing a strong foundation for the future.</w:t>
      </w:r>
    </w:p>
    <w:p>
      <w:pPr>
        <w:spacing w:after="0" w:line="239" w:lineRule="exact"/>
        <w:rPr>
          <w:sz w:val="20"/>
          <w:szCs w:val="20"/>
          <w:color w:val="auto"/>
        </w:rPr>
      </w:pPr>
    </w:p>
    <w:p>
      <w:pPr>
        <w:jc w:val="both"/>
        <w:ind w:left="20" w:right="120"/>
        <w:spacing w:after="0" w:line="241" w:lineRule="auto"/>
        <w:rPr>
          <w:sz w:val="20"/>
          <w:szCs w:val="20"/>
          <w:color w:val="auto"/>
        </w:rPr>
      </w:pPr>
      <w:r>
        <w:rPr>
          <w:rFonts w:ascii="Arial" w:cs="Arial" w:eastAsia="Arial" w:hAnsi="Arial"/>
          <w:sz w:val="22"/>
          <w:szCs w:val="22"/>
          <w:color w:val="231F20"/>
        </w:rPr>
        <w:t>Throughout the year, our Connected Home channel delivered substantial growth, validating our strategic shift toward climate control, home automation, and security. In 2025, Connected Home revenue grew 16% as new product wins and existing customer programs scaled into production, despite temporary inventory constraints in the market during the second half of the year.</w:t>
      </w:r>
    </w:p>
    <w:p>
      <w:pPr>
        <w:spacing w:after="0" w:line="234" w:lineRule="exact"/>
        <w:rPr>
          <w:sz w:val="20"/>
          <w:szCs w:val="20"/>
          <w:color w:val="auto"/>
        </w:rPr>
      </w:pPr>
    </w:p>
    <w:p>
      <w:pPr>
        <w:ind w:left="20" w:right="120"/>
        <w:spacing w:after="0" w:line="239" w:lineRule="auto"/>
        <w:rPr>
          <w:sz w:val="20"/>
          <w:szCs w:val="20"/>
          <w:color w:val="auto"/>
        </w:rPr>
      </w:pPr>
      <w:r>
        <w:rPr>
          <w:rFonts w:ascii="Arial" w:cs="Arial" w:eastAsia="Arial" w:hAnsi="Arial"/>
          <w:sz w:val="22"/>
          <w:szCs w:val="22"/>
          <w:color w:val="231F20"/>
        </w:rPr>
        <w:t>At the same time, we took meaningful steps to optimize our operations and cost structure. We closed our Mexico manufacturing facility, progressed planned production transfers to Vietnam, and streamlined our organization through targeted reductions in workforce. These actions allowed us to streamline our annualized operating costs and helped us enhance our agility in navigating volatile demand and regulatory environments. Importantly, productivity improvements across our factories, combined with favorable currency trends, strengthened our gross margin profile through the year.</w:t>
      </w:r>
    </w:p>
    <w:p>
      <w:pPr>
        <w:spacing w:after="0" w:line="239" w:lineRule="exact"/>
        <w:rPr>
          <w:sz w:val="20"/>
          <w:szCs w:val="20"/>
          <w:color w:val="auto"/>
        </w:rPr>
      </w:pPr>
    </w:p>
    <w:p>
      <w:pPr>
        <w:ind w:left="20"/>
        <w:spacing w:after="0" w:line="239" w:lineRule="auto"/>
        <w:rPr>
          <w:sz w:val="20"/>
          <w:szCs w:val="20"/>
          <w:color w:val="auto"/>
        </w:rPr>
      </w:pPr>
      <w:r>
        <w:rPr>
          <w:rFonts w:ascii="Arial" w:cs="Arial" w:eastAsia="Arial" w:hAnsi="Arial"/>
          <w:sz w:val="22"/>
          <w:szCs w:val="22"/>
          <w:color w:val="231F20"/>
        </w:rPr>
        <w:t>Our commitment to returning the business to consistent profitability yielded clear financial progress. Operating expenses declined in every quarter, driven by disciplined SG&amp;A and R&amp;D management. In Q2 and Q3, we delivered positive adjusted non-GAAP operating income, enabling us to restore UEI to a net cash generating position in those quarters for the first time since 2021. In 2025, we returned to full-year adjusted non-GAAP profitability—our first since 2022—as a result of strengthened margins, improved working capital efficiency, and proactive cost actions taken early in the year.</w:t>
      </w:r>
    </w:p>
    <w:p>
      <w:pPr>
        <w:spacing w:after="0" w:line="239" w:lineRule="exact"/>
        <w:rPr>
          <w:sz w:val="20"/>
          <w:szCs w:val="20"/>
          <w:color w:val="auto"/>
        </w:rPr>
      </w:pPr>
    </w:p>
    <w:p>
      <w:pPr>
        <w:ind w:left="20" w:right="220"/>
        <w:spacing w:after="0" w:line="239" w:lineRule="auto"/>
        <w:rPr>
          <w:sz w:val="20"/>
          <w:szCs w:val="20"/>
          <w:color w:val="auto"/>
        </w:rPr>
      </w:pPr>
      <w:r>
        <w:rPr>
          <w:rFonts w:ascii="Arial" w:cs="Arial" w:eastAsia="Arial" w:hAnsi="Arial"/>
          <w:sz w:val="22"/>
          <w:szCs w:val="22"/>
          <w:color w:val="231F20"/>
        </w:rPr>
        <w:t>Innovation remains central to our product and technology strategy. We added new capabilities, such as QuickSet homeSense - an intelligent, software-defined sensing framework - which is gaining momentum across Connected Home and Home Entertainment markets and brings even more value to our software licensing platform customers. In Climate Control, we added advanced next-generation climate control solutions, enhanced our TIDE Touch energy management platform, and integrated QuickSet homeSense functionality. These developments allow us to build credibility in the core HVAC OEM market and extends our reach into high-value adjacent markets such as utilities and multi-dwelling property management.</w:t>
      </w:r>
    </w:p>
    <w:p>
      <w:pPr>
        <w:spacing w:after="0" w:line="237" w:lineRule="exact"/>
        <w:rPr>
          <w:sz w:val="20"/>
          <w:szCs w:val="20"/>
          <w:color w:val="auto"/>
        </w:rPr>
      </w:pPr>
    </w:p>
    <w:p>
      <w:pPr>
        <w:ind w:left="20" w:right="140"/>
        <w:spacing w:after="0" w:line="239" w:lineRule="auto"/>
        <w:rPr>
          <w:sz w:val="20"/>
          <w:szCs w:val="20"/>
          <w:color w:val="auto"/>
        </w:rPr>
      </w:pPr>
      <w:r>
        <w:rPr>
          <w:rFonts w:ascii="Arial" w:cs="Arial" w:eastAsia="Arial" w:hAnsi="Arial"/>
          <w:sz w:val="22"/>
          <w:szCs w:val="22"/>
          <w:color w:val="231F20"/>
        </w:rPr>
        <w:t>Looking ahead, our priorities remain clear: continue to scale our Connected Home channel, maintain operational discipline, and further enhance profitability and cash flow. While headwinds persist in Home Entertainment and order cycles in Connected Home vary quarter to quarter, we believe the long-term fundamentals of our business are sound. We are confident in the markets we have chosen to pursue, the technology platforms we are building, and the financial strength we remain focused on continuing to improve. Thank you for your continued support of Universal Electronics as we pursue our mission of delivering smarter living solutions for homes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242570</wp:posOffset>
            </wp:positionV>
            <wp:extent cx="94488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9448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Richard K. Carnifax</w:t>
      </w:r>
    </w:p>
    <w:p>
      <w:pPr>
        <w:spacing w:after="0" w:line="237" w:lineRule="auto"/>
        <w:rPr>
          <w:sz w:val="20"/>
          <w:szCs w:val="20"/>
          <w:color w:val="auto"/>
        </w:rPr>
      </w:pPr>
      <w:r>
        <w:rPr>
          <w:rFonts w:ascii="Arial" w:cs="Arial" w:eastAsia="Arial" w:hAnsi="Arial"/>
          <w:sz w:val="22"/>
          <w:szCs w:val="22"/>
          <w:color w:val="231F20"/>
        </w:rPr>
        <w:t>Interim Chief Executive Officer and Chief Operating Officer</w:t>
      </w:r>
    </w:p>
    <w:p>
      <w:pPr>
        <w:spacing w:after="0"/>
        <w:rPr>
          <w:sz w:val="20"/>
          <w:szCs w:val="20"/>
          <w:color w:val="auto"/>
        </w:rPr>
      </w:pPr>
      <w:r>
        <w:rPr>
          <w:rFonts w:ascii="Arial" w:cs="Arial" w:eastAsia="Arial" w:hAnsi="Arial"/>
          <w:sz w:val="22"/>
          <w:szCs w:val="22"/>
          <w:color w:val="231F20"/>
        </w:rPr>
        <w:t>Universal Electronics</w:t>
      </w:r>
    </w:p>
    <w:p>
      <w:pPr>
        <w:sectPr>
          <w:pgSz w:w="11880" w:h="15480" w:orient="portrait"/>
          <w:cols w:equalWidth="0" w:num="1">
            <w:col w:w="10500"/>
          </w:cols>
          <w:pgMar w:left="680" w:top="816" w:right="700" w:bottom="829" w:gutter="0" w:footer="0" w:header="0"/>
        </w:sectPr>
      </w:pPr>
    </w:p>
    <w:bookmarkStart w:id="3" w:name="page4"/>
    <w:bookmarkEnd w:id="3"/>
    <w:p>
      <w:pPr>
        <w:ind w:left="20"/>
        <w:spacing w:after="0"/>
        <w:rPr>
          <w:sz w:val="20"/>
          <w:szCs w:val="20"/>
          <w:color w:val="auto"/>
        </w:rPr>
      </w:pPr>
      <w:r>
        <w:rPr>
          <w:rFonts w:ascii="Arial" w:cs="Arial" w:eastAsia="Arial" w:hAnsi="Arial"/>
          <w:sz w:val="32"/>
          <w:szCs w:val="32"/>
          <w:color w:val="231F20"/>
        </w:rPr>
        <mc:AlternateContent>
          <mc:Choice Requires="wps">
            <w:drawing>
              <wp:anchor simplePos="0" relativeHeight="251657728" behindDoc="1" locked="0" layoutInCell="0" allowOverlap="1">
                <wp:simplePos x="0" y="0"/>
                <wp:positionH relativeFrom="page">
                  <wp:posOffset>412115</wp:posOffset>
                </wp:positionH>
                <wp:positionV relativeFrom="page">
                  <wp:posOffset>431165</wp:posOffset>
                </wp:positionV>
                <wp:extent cx="669226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2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2.45pt,33.95pt" to="559.4pt,33.95pt" o:allowincell="f" strokecolor="#231F20" strokeweight="0.5pt">
                <w10:wrap anchorx="page" anchory="page"/>
              </v:line>
            </w:pict>
          </mc:Fallback>
        </mc:AlternateContent>
        <w:t>Use of Non-GAAP Financial Metrics</w:t>
      </w:r>
    </w:p>
    <w:p>
      <w:pPr>
        <w:spacing w:after="0" w:line="200" w:lineRule="exact"/>
        <w:rPr>
          <w:sz w:val="20"/>
          <w:szCs w:val="20"/>
          <w:color w:val="auto"/>
        </w:rPr>
      </w:pPr>
    </w:p>
    <w:p>
      <w:pPr>
        <w:spacing w:after="0" w:line="236" w:lineRule="exact"/>
        <w:rPr>
          <w:sz w:val="20"/>
          <w:szCs w:val="20"/>
          <w:color w:val="auto"/>
        </w:rPr>
      </w:pPr>
    </w:p>
    <w:p>
      <w:pPr>
        <w:ind w:left="60"/>
        <w:spacing w:after="0" w:line="237" w:lineRule="auto"/>
        <w:rPr>
          <w:sz w:val="20"/>
          <w:szCs w:val="20"/>
          <w:color w:val="auto"/>
        </w:rPr>
      </w:pPr>
      <w:r>
        <w:rPr>
          <w:rFonts w:ascii="Arial" w:cs="Arial" w:eastAsia="Arial" w:hAnsi="Arial"/>
          <w:sz w:val="22"/>
          <w:szCs w:val="22"/>
          <w:color w:val="231F20"/>
        </w:rPr>
        <w:t>In addition to reporting financial results in accordance with generally accepted accounting principles, or GAAP, UEI provides Adjusted Non-GAAP information as additional information for its operating results. References to Adjusted Non-GAAP information are to non-GAAP financial measures. These measures are not required by, in accordance with, or an alternative for, GAAP and may be different from non-GAAP financial measures used by other companies. UEI’s management uses these measures for reviewing the financial results of UEI for budget planning purposes and for making operational and financial decisions. Management believes that providing these non-GAAP financial measures to investors, as a supplement to GAAP financial measures, helps investors evaluate UEI’s core operating and financial performance and business trends consistent with how management evaluates such performance and trends. Additionally, management believes these measures facilitate comparisons with the core operating and financial results and business trends of competitors and other companies. Adjusted Non-GAAP gross profit is defined as gross profit excluding impairment of long-lived assets and stock-based compensation expense. Adjusted Non-GAAP operating expenses are defined as operating expenses excluding impairment of long-lived assets, stock-based compensation expense, amortization of intangibles acquired, costs associated with certain litigation efforts, factory restructuring costs, legal judgment, severance, lease termination costs and goodwill impairment. Adjusted Non-GAAP net income (loss) is defined as net loss excluding the aforementioned items, foreign currency gains and losses, the related tax effects of all adjustments, as well as valuation allowances on certain deferred tax assets and certain net deferred tax adjustments. Adjusted Non-GAAP earnings (loss) per diluted share is calculated using Adjusted Non-GAAP net income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377190</wp:posOffset>
                </wp:positionV>
                <wp:extent cx="669226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2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9.7pt" to="527.4pt,29.7pt" o:allowincell="f" strokecolor="#231F2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32"/>
          <w:szCs w:val="32"/>
          <w:color w:val="231F20"/>
        </w:rPr>
        <w:t>Investor Information</w:t>
      </w:r>
    </w:p>
    <w:p>
      <w:pPr>
        <w:sectPr>
          <w:pgSz w:w="11880" w:h="15480" w:orient="portrait"/>
          <w:cols w:equalWidth="0" w:num="1">
            <w:col w:w="10500"/>
          </w:cols>
          <w:pgMar w:left="640" w:top="816" w:right="740" w:bottom="815"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Annual Meeting of Stockholders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231F20"/>
        </w:rPr>
        <w:t>May 19, 2026 at 11:00 a.m. Scottsdale local time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31F20"/>
        </w:rPr>
        <w:t>Worldwide Headquarters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Universal Electronics Inc.</w:t>
      </w:r>
    </w:p>
    <w:p>
      <w:pPr>
        <w:ind w:left="20" w:right="400"/>
        <w:spacing w:after="0" w:line="236" w:lineRule="auto"/>
        <w:rPr>
          <w:sz w:val="20"/>
          <w:szCs w:val="20"/>
          <w:color w:val="auto"/>
        </w:rPr>
      </w:pPr>
      <w:r>
        <w:rPr>
          <w:rFonts w:ascii="Arial" w:cs="Arial" w:eastAsia="Arial" w:hAnsi="Arial"/>
          <w:sz w:val="16"/>
          <w:szCs w:val="16"/>
          <w:color w:val="231F20"/>
        </w:rPr>
        <w:t>15147 North Scottsdale Road, Suite H300 Scottsdale, AZ 85254</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Independent Registered</w:t>
      </w:r>
    </w:p>
    <w:p>
      <w:pPr>
        <w:ind w:left="20"/>
        <w:spacing w:after="0" w:line="224" w:lineRule="auto"/>
        <w:rPr>
          <w:sz w:val="20"/>
          <w:szCs w:val="20"/>
          <w:color w:val="auto"/>
        </w:rPr>
      </w:pPr>
      <w:r>
        <w:rPr>
          <w:rFonts w:ascii="Arial" w:cs="Arial" w:eastAsia="Arial" w:hAnsi="Arial"/>
          <w:sz w:val="16"/>
          <w:szCs w:val="16"/>
          <w:color w:val="231F20"/>
        </w:rPr>
        <w:t>Public Accounting Firm</w:t>
      </w:r>
    </w:p>
    <w:p>
      <w:pPr>
        <w:ind w:left="20"/>
        <w:spacing w:after="0" w:line="224" w:lineRule="auto"/>
        <w:rPr>
          <w:sz w:val="20"/>
          <w:szCs w:val="20"/>
          <w:color w:val="auto"/>
        </w:rPr>
      </w:pPr>
      <w:r>
        <w:rPr>
          <w:rFonts w:ascii="Arial" w:cs="Arial" w:eastAsia="Arial" w:hAnsi="Arial"/>
          <w:sz w:val="16"/>
          <w:szCs w:val="16"/>
          <w:color w:val="231F20"/>
        </w:rPr>
        <w:t>Grant Thornton LLP</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Phoenix, Arizona</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Registrar &amp; Transfer Agent</w:t>
      </w:r>
    </w:p>
    <w:p>
      <w:pPr>
        <w:ind w:left="20"/>
        <w:spacing w:after="0" w:line="224" w:lineRule="auto"/>
        <w:rPr>
          <w:sz w:val="20"/>
          <w:szCs w:val="20"/>
          <w:color w:val="auto"/>
        </w:rPr>
      </w:pPr>
      <w:r>
        <w:rPr>
          <w:rFonts w:ascii="Arial" w:cs="Arial" w:eastAsia="Arial" w:hAnsi="Arial"/>
          <w:sz w:val="16"/>
          <w:szCs w:val="16"/>
          <w:color w:val="231F20"/>
        </w:rPr>
        <w:t>Computershare</w:t>
      </w:r>
    </w:p>
    <w:p>
      <w:pPr>
        <w:ind w:left="20"/>
        <w:spacing w:after="0" w:line="224" w:lineRule="auto"/>
        <w:rPr>
          <w:sz w:val="20"/>
          <w:szCs w:val="20"/>
          <w:color w:val="auto"/>
        </w:rPr>
      </w:pPr>
      <w:r>
        <w:rPr>
          <w:rFonts w:ascii="Arial" w:cs="Arial" w:eastAsia="Arial" w:hAnsi="Arial"/>
          <w:sz w:val="16"/>
          <w:szCs w:val="16"/>
          <w:color w:val="231F20"/>
        </w:rPr>
        <w:t>150 Royall St., Suite 101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Canton, MA 02021</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Shareholder Services: 800-962-4284</w:t>
      </w:r>
    </w:p>
    <w:p>
      <w:pPr>
        <w:spacing w:after="0" w:line="266" w:lineRule="exact"/>
        <w:rPr>
          <w:sz w:val="20"/>
          <w:szCs w:val="20"/>
          <w:color w:val="auto"/>
        </w:rPr>
      </w:pPr>
    </w:p>
    <w:p>
      <w:pPr>
        <w:ind w:left="20" w:right="1620"/>
        <w:spacing w:after="0" w:line="312" w:lineRule="auto"/>
        <w:rPr>
          <w:sz w:val="20"/>
          <w:szCs w:val="20"/>
          <w:color w:val="auto"/>
        </w:rPr>
      </w:pPr>
      <w:r>
        <w:rPr>
          <w:rFonts w:ascii="Arial" w:cs="Arial" w:eastAsia="Arial" w:hAnsi="Arial"/>
          <w:sz w:val="15"/>
          <w:szCs w:val="15"/>
          <w:b w:val="1"/>
          <w:bCs w:val="1"/>
          <w:color w:val="231F20"/>
        </w:rPr>
        <w:t xml:space="preserve">Regional Headquarters </w:t>
      </w:r>
      <w:r>
        <w:rPr>
          <w:rFonts w:ascii="Arial" w:cs="Arial" w:eastAsia="Arial" w:hAnsi="Arial"/>
          <w:sz w:val="15"/>
          <w:szCs w:val="15"/>
          <w:color w:val="231F20"/>
        </w:rPr>
        <w:t>C.G. Development Limited</w:t>
      </w:r>
    </w:p>
    <w:p>
      <w:pPr>
        <w:ind w:left="20"/>
        <w:spacing w:after="0" w:line="225" w:lineRule="auto"/>
        <w:rPr>
          <w:sz w:val="20"/>
          <w:szCs w:val="20"/>
          <w:color w:val="auto"/>
        </w:rPr>
      </w:pPr>
      <w:r>
        <w:rPr>
          <w:rFonts w:ascii="Arial" w:cs="Arial" w:eastAsia="Arial" w:hAnsi="Arial"/>
          <w:sz w:val="16"/>
          <w:szCs w:val="16"/>
          <w:color w:val="231F20"/>
        </w:rPr>
        <w:t>902-905, 9th Floor</w:t>
      </w:r>
    </w:p>
    <w:p>
      <w:pPr>
        <w:ind w:left="20"/>
        <w:spacing w:after="0" w:line="224" w:lineRule="auto"/>
        <w:rPr>
          <w:sz w:val="20"/>
          <w:szCs w:val="20"/>
          <w:color w:val="auto"/>
        </w:rPr>
      </w:pPr>
      <w:r>
        <w:rPr>
          <w:rFonts w:ascii="Arial" w:cs="Arial" w:eastAsia="Arial" w:hAnsi="Arial"/>
          <w:sz w:val="16"/>
          <w:szCs w:val="16"/>
          <w:color w:val="231F20"/>
        </w:rPr>
        <w:t>One Harbourfront</w:t>
      </w:r>
    </w:p>
    <w:p>
      <w:pPr>
        <w:ind w:left="20"/>
        <w:spacing w:after="0" w:line="225" w:lineRule="auto"/>
        <w:rPr>
          <w:sz w:val="20"/>
          <w:szCs w:val="20"/>
          <w:color w:val="auto"/>
        </w:rPr>
      </w:pPr>
      <w:r>
        <w:rPr>
          <w:rFonts w:ascii="Arial" w:cs="Arial" w:eastAsia="Arial" w:hAnsi="Arial"/>
          <w:sz w:val="16"/>
          <w:szCs w:val="16"/>
          <w:color w:val="231F20"/>
        </w:rPr>
        <w:t>18 Tak Fung Street</w:t>
      </w:r>
    </w:p>
    <w:p>
      <w:pPr>
        <w:ind w:left="20"/>
        <w:spacing w:after="0" w:line="224" w:lineRule="auto"/>
        <w:rPr>
          <w:sz w:val="20"/>
          <w:szCs w:val="20"/>
          <w:color w:val="auto"/>
        </w:rPr>
      </w:pPr>
      <w:r>
        <w:rPr>
          <w:rFonts w:ascii="Arial" w:cs="Arial" w:eastAsia="Arial" w:hAnsi="Arial"/>
          <w:sz w:val="16"/>
          <w:szCs w:val="16"/>
          <w:color w:val="231F20"/>
        </w:rPr>
        <w:t>Hung Hom, Kowloon</w:t>
      </w:r>
    </w:p>
    <w:p>
      <w:pPr>
        <w:ind w:left="20"/>
        <w:spacing w:after="0"/>
        <w:rPr>
          <w:sz w:val="20"/>
          <w:szCs w:val="20"/>
          <w:color w:val="auto"/>
        </w:rPr>
      </w:pPr>
      <w:r>
        <w:rPr>
          <w:rFonts w:ascii="Arial" w:cs="Arial" w:eastAsia="Arial" w:hAnsi="Arial"/>
          <w:sz w:val="16"/>
          <w:szCs w:val="16"/>
          <w:color w:val="231F20"/>
        </w:rPr>
        <w:t>Hong Kong, China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Certifications</w:t>
      </w:r>
    </w:p>
    <w:p>
      <w:pPr>
        <w:spacing w:after="0" w:line="80" w:lineRule="exact"/>
        <w:rPr>
          <w:sz w:val="20"/>
          <w:szCs w:val="20"/>
          <w:color w:val="auto"/>
        </w:rPr>
      </w:pPr>
    </w:p>
    <w:p>
      <w:pPr>
        <w:ind w:right="180"/>
        <w:spacing w:after="0" w:line="227" w:lineRule="auto"/>
        <w:rPr>
          <w:sz w:val="20"/>
          <w:szCs w:val="20"/>
          <w:color w:val="auto"/>
        </w:rPr>
      </w:pPr>
      <w:r>
        <w:rPr>
          <w:rFonts w:ascii="Arial" w:cs="Arial" w:eastAsia="Arial" w:hAnsi="Arial"/>
          <w:sz w:val="16"/>
          <w:szCs w:val="16"/>
          <w:color w:val="231F20"/>
        </w:rPr>
        <w:t>The Company filed with the Securities and Exchange Commission, as Exhibit 31 to the Company’s Annual Report on Form 10-K for the 2025 fiscal year, certifications of its Chief Executive Officer and Chief Financial Officer regarding the quality of the Company’s public disclosures.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Annual Report</w:t>
      </w:r>
    </w:p>
    <w:p>
      <w:pPr>
        <w:spacing w:after="0" w:line="80" w:lineRule="exact"/>
        <w:rPr>
          <w:sz w:val="20"/>
          <w:szCs w:val="20"/>
          <w:color w:val="auto"/>
        </w:rPr>
      </w:pPr>
    </w:p>
    <w:p>
      <w:pPr>
        <w:spacing w:after="0" w:line="228" w:lineRule="auto"/>
        <w:rPr>
          <w:sz w:val="20"/>
          <w:szCs w:val="20"/>
          <w:color w:val="auto"/>
        </w:rPr>
      </w:pPr>
      <w:r>
        <w:rPr>
          <w:rFonts w:ascii="Arial" w:cs="Arial" w:eastAsia="Arial" w:hAnsi="Arial"/>
          <w:sz w:val="16"/>
          <w:szCs w:val="16"/>
          <w:color w:val="231F20"/>
        </w:rPr>
        <w:t>Any stockholder who desires a copy of the Company’s 2025 Annual Report on Form 10-K filed with the Securities and Exchange Commission may obtain a copy (excluding exhibits) without charge by addressing a request to:</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231F20"/>
        </w:rPr>
        <w:t>Investor Relations</w:t>
      </w:r>
    </w:p>
    <w:p>
      <w:pPr>
        <w:spacing w:after="0" w:line="224" w:lineRule="auto"/>
        <w:rPr>
          <w:sz w:val="20"/>
          <w:szCs w:val="20"/>
          <w:color w:val="auto"/>
        </w:rPr>
      </w:pPr>
      <w:r>
        <w:rPr>
          <w:rFonts w:ascii="Arial" w:cs="Arial" w:eastAsia="Arial" w:hAnsi="Arial"/>
          <w:sz w:val="16"/>
          <w:szCs w:val="16"/>
          <w:color w:val="231F20"/>
        </w:rPr>
        <w:t>Universal Electronics Inc.</w:t>
      </w:r>
    </w:p>
    <w:p>
      <w:pPr>
        <w:ind w:right="260"/>
        <w:spacing w:after="0" w:line="236" w:lineRule="auto"/>
        <w:rPr>
          <w:sz w:val="20"/>
          <w:szCs w:val="20"/>
          <w:color w:val="auto"/>
        </w:rPr>
      </w:pPr>
      <w:r>
        <w:rPr>
          <w:rFonts w:ascii="Arial" w:cs="Arial" w:eastAsia="Arial" w:hAnsi="Arial"/>
          <w:sz w:val="16"/>
          <w:szCs w:val="16"/>
          <w:color w:val="231F20"/>
        </w:rPr>
        <w:t>15147 North Scottsdale Road, Suite H300 Scottsdale, AZ 85254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29" w:lineRule="auto"/>
        <w:rPr>
          <w:sz w:val="20"/>
          <w:szCs w:val="20"/>
          <w:color w:val="auto"/>
        </w:rPr>
      </w:pPr>
      <w:r>
        <w:rPr>
          <w:rFonts w:ascii="Arial" w:cs="Arial" w:eastAsia="Arial" w:hAnsi="Arial"/>
          <w:sz w:val="16"/>
          <w:szCs w:val="16"/>
          <w:color w:val="231F20"/>
        </w:rPr>
        <w:t>A copy of our 2025 Annual Report on Form 10-K, including exhibits, may be found on the “Investor” section of our website at www.uei.com, click on “Financials” and then click “SEC Filings”.</w:t>
      </w:r>
    </w:p>
    <w:p>
      <w:pPr>
        <w:spacing w:after="0" w:line="95" w:lineRule="exact"/>
        <w:rPr>
          <w:sz w:val="20"/>
          <w:szCs w:val="20"/>
          <w:color w:val="auto"/>
        </w:rPr>
      </w:pPr>
    </w:p>
    <w:p>
      <w:pPr>
        <w:ind w:right="160"/>
        <w:spacing w:after="0" w:line="227" w:lineRule="auto"/>
        <w:rPr>
          <w:sz w:val="20"/>
          <w:szCs w:val="20"/>
          <w:color w:val="auto"/>
        </w:rPr>
      </w:pPr>
      <w:r>
        <w:rPr>
          <w:rFonts w:ascii="Arial" w:cs="Arial" w:eastAsia="Arial" w:hAnsi="Arial"/>
          <w:sz w:val="16"/>
          <w:szCs w:val="16"/>
          <w:color w:val="231F20"/>
        </w:rPr>
        <w:t>We invite you to learn more about Universal Electronic Inc.’s business and growth opportunities by visiting the “Investor” section of our website at www.uei.com. This section includes investor presentations, earnings conference calls and press releases.</w:t>
      </w:r>
    </w:p>
    <w:p>
      <w:pPr>
        <w:spacing w:after="0" w:line="2023" w:lineRule="exact"/>
        <w:rPr>
          <w:sz w:val="20"/>
          <w:szCs w:val="20"/>
          <w:color w:val="auto"/>
        </w:rPr>
      </w:pPr>
    </w:p>
    <w:p>
      <w:pPr>
        <w:sectPr>
          <w:pgSz w:w="11880" w:h="15480" w:orient="portrait"/>
          <w:cols w:equalWidth="0" w:num="3">
            <w:col w:w="3440" w:space="80"/>
            <w:col w:w="3240" w:space="400"/>
            <w:col w:w="3340"/>
          </w:cols>
          <w:pgMar w:left="640" w:top="816" w:right="740" w:bottom="815"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231F20"/>
        </w:rPr>
        <w:t>Regional Headquarters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5"/>
          <w:szCs w:val="15"/>
          <w:color w:val="231F20"/>
        </w:rPr>
        <w:t>Universal Electronics BV</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Colosseum 2</w:t>
      </w:r>
    </w:p>
    <w:p>
      <w:pPr>
        <w:ind w:left="20"/>
        <w:spacing w:after="0" w:line="224" w:lineRule="auto"/>
        <w:rPr>
          <w:sz w:val="20"/>
          <w:szCs w:val="20"/>
          <w:color w:val="auto"/>
        </w:rPr>
      </w:pPr>
      <w:r>
        <w:rPr>
          <w:rFonts w:ascii="Arial" w:cs="Arial" w:eastAsia="Arial" w:hAnsi="Arial"/>
          <w:sz w:val="16"/>
          <w:szCs w:val="16"/>
          <w:color w:val="231F20"/>
        </w:rPr>
        <w:t>7521 PT, Enschede</w:t>
      </w:r>
    </w:p>
    <w:p>
      <w:pPr>
        <w:ind w:left="20"/>
        <w:spacing w:after="0"/>
        <w:rPr>
          <w:sz w:val="20"/>
          <w:szCs w:val="20"/>
          <w:color w:val="auto"/>
        </w:rPr>
      </w:pPr>
      <w:r>
        <w:rPr>
          <w:rFonts w:ascii="Arial" w:cs="Arial" w:eastAsia="Arial" w:hAnsi="Arial"/>
          <w:sz w:val="16"/>
          <w:szCs w:val="16"/>
          <w:color w:val="231F20"/>
        </w:rPr>
        <w:t>The Netherlands</w:t>
      </w:r>
    </w:p>
    <w:p>
      <w:pPr>
        <w:sectPr>
          <w:pgSz w:w="11880" w:h="15480" w:orient="portrait"/>
          <w:cols w:equalWidth="0" w:num="1">
            <w:col w:w="10500"/>
          </w:cols>
          <w:pgMar w:left="640" w:top="816" w:right="740" w:bottom="815"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36"/>
          <w:szCs w:val="36"/>
          <w:b w:val="1"/>
          <w:bCs w:val="1"/>
          <w:color w:val="454546"/>
        </w:rPr>
        <w:t>UNITED STATES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454546"/>
        </w:rPr>
        <w:t>SECURITIES AND EXCHANGE COMMISSION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54546"/>
        </w:rPr>
        <w:t>WASHINGTON, D.C. 20549</w:t>
      </w:r>
    </w:p>
    <w:p>
      <w:pPr>
        <w:spacing w:after="0" w:line="1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454546"/>
        </w:rPr>
        <w:t>_______________________________________</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454546"/>
        </w:rPr>
        <w:t>FORM 10-K</w:t>
      </w:r>
    </w:p>
    <w:p>
      <w:pPr>
        <w:spacing w:after="0" w:line="16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454546"/>
        </w:rPr>
        <w:t>_______________________________________</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454546"/>
        </w:rPr>
        <w:t>(Mark One)</w:t>
      </w:r>
    </w:p>
    <w:p>
      <w:pPr>
        <w:spacing w:after="0" w:line="127" w:lineRule="exact"/>
        <w:rPr>
          <w:sz w:val="20"/>
          <w:szCs w:val="20"/>
          <w:color w:val="auto"/>
        </w:rPr>
      </w:pPr>
    </w:p>
    <w:p>
      <w:pPr>
        <w:ind w:left="680" w:right="820" w:hanging="610"/>
        <w:spacing w:after="0" w:line="235" w:lineRule="auto"/>
        <w:tabs>
          <w:tab w:leader="none" w:pos="680" w:val="left"/>
        </w:tabs>
        <w:numPr>
          <w:ilvl w:val="0"/>
          <w:numId w:val="1"/>
        </w:numPr>
        <w:rPr>
          <w:rFonts w:ascii="PMingLiU" w:cs="PMingLiU" w:eastAsia="PMingLiU" w:hAnsi="PMingLiU"/>
          <w:sz w:val="24"/>
          <w:szCs w:val="24"/>
          <w:color w:val="454546"/>
        </w:rPr>
      </w:pPr>
      <w:r>
        <w:rPr>
          <w:rFonts w:ascii="Times New Roman" w:cs="Times New Roman" w:eastAsia="Times New Roman" w:hAnsi="Times New Roman"/>
          <w:sz w:val="24"/>
          <w:szCs w:val="24"/>
          <w:b w:val="1"/>
          <w:bCs w:val="1"/>
          <w:color w:val="454546"/>
        </w:rPr>
        <w:t>ANNUAL REPORT PURSUANT TO SECTION 13 OR 15(d) OF THE SECURITIES EXCHANGE ACT OF 1934</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54546"/>
        </w:rPr>
        <w:t>For the fiscal year ended December 31, 2025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54546"/>
        </w:rPr>
        <w:t>OR</w:t>
      </w:r>
    </w:p>
    <w:p>
      <w:pPr>
        <w:spacing w:after="0" w:line="165" w:lineRule="exact"/>
        <w:rPr>
          <w:sz w:val="20"/>
          <w:szCs w:val="20"/>
          <w:color w:val="auto"/>
        </w:rPr>
      </w:pPr>
    </w:p>
    <w:p>
      <w:pPr>
        <w:ind w:left="660" w:right="340" w:hanging="597"/>
        <w:spacing w:after="0" w:line="235" w:lineRule="auto"/>
        <w:tabs>
          <w:tab w:leader="none" w:pos="660" w:val="left"/>
        </w:tabs>
        <w:numPr>
          <w:ilvl w:val="0"/>
          <w:numId w:val="2"/>
        </w:numPr>
        <w:rPr>
          <w:rFonts w:ascii="PMingLiU" w:cs="PMingLiU" w:eastAsia="PMingLiU" w:hAnsi="PMingLiU"/>
          <w:sz w:val="24"/>
          <w:szCs w:val="24"/>
          <w:color w:val="454546"/>
        </w:rPr>
      </w:pPr>
      <w:r>
        <w:rPr>
          <w:rFonts w:ascii="Times New Roman" w:cs="Times New Roman" w:eastAsia="Times New Roman" w:hAnsi="Times New Roman"/>
          <w:sz w:val="24"/>
          <w:szCs w:val="24"/>
          <w:b w:val="1"/>
          <w:bCs w:val="1"/>
          <w:color w:val="454546"/>
        </w:rPr>
        <w:t>TRANSITION REPORT PURSUANT TO SECTION 13 OR 15(d) OF THE SECURITIES EXCHANGE ACT OF 1934</w:t>
      </w:r>
    </w:p>
    <w:p>
      <w:pPr>
        <w:spacing w:after="0" w:line="146" w:lineRule="exact"/>
        <w:rPr>
          <w:sz w:val="20"/>
          <w:szCs w:val="20"/>
          <w:color w:val="auto"/>
        </w:rPr>
      </w:pPr>
    </w:p>
    <w:p>
      <w:pPr>
        <w:ind w:left="500"/>
        <w:spacing w:after="0"/>
        <w:tabs>
          <w:tab w:leader="none" w:pos="4320" w:val="left"/>
        </w:tabs>
        <w:rPr>
          <w:sz w:val="20"/>
          <w:szCs w:val="20"/>
          <w:color w:val="auto"/>
        </w:rPr>
      </w:pPr>
      <w:r>
        <w:rPr>
          <w:rFonts w:ascii="Times New Roman" w:cs="Times New Roman" w:eastAsia="Times New Roman" w:hAnsi="Times New Roman"/>
          <w:sz w:val="24"/>
          <w:szCs w:val="24"/>
          <w:b w:val="1"/>
          <w:bCs w:val="1"/>
          <w:color w:val="454546"/>
        </w:rPr>
        <w:t>For the transition period from</w:t>
      </w:r>
      <w:r>
        <w:rPr>
          <w:sz w:val="20"/>
          <w:szCs w:val="20"/>
          <w:color w:val="auto"/>
        </w:rPr>
        <w:tab/>
      </w:r>
      <w:r>
        <w:rPr>
          <w:rFonts w:ascii="Times New Roman" w:cs="Times New Roman" w:eastAsia="Times New Roman" w:hAnsi="Times New Roman"/>
          <w:sz w:val="24"/>
          <w:szCs w:val="24"/>
          <w:b w:val="1"/>
          <w:bCs w:val="1"/>
          <w:color w:val="454546"/>
        </w:rPr>
        <w:t>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54546"/>
        </w:rPr>
        <w:t>Commission File Number: 0-21044</w:t>
      </w:r>
    </w:p>
    <w:p>
      <w:pPr>
        <w:spacing w:after="0" w:line="11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454546"/>
        </w:rPr>
        <w:t>_______________________________________</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231F20"/>
        </w:rPr>
        <w:t>UNIVERSAL ELECTRONICS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(Exact Name of Registrant as Specified in its Charter)</w:t>
      </w:r>
    </w:p>
    <w:p>
      <w:pPr>
        <w:spacing w:after="0" w:line="353" w:lineRule="exact"/>
        <w:rPr>
          <w:sz w:val="20"/>
          <w:szCs w:val="20"/>
          <w:color w:val="auto"/>
        </w:rPr>
      </w:pPr>
    </w:p>
    <w:tbl>
      <w:tblPr>
        <w:tblLayout w:type="fixed"/>
        <w:tblInd w:w="1400" w:type="dxa"/>
        <w:tblCellMar>
          <w:top w:w="0" w:type="dxa"/>
          <w:left w:w="0" w:type="dxa"/>
          <w:bottom w:w="0" w:type="dxa"/>
          <w:right w:w="0" w:type="dxa"/>
        </w:tblCellMar>
      </w:tblPr>
      <w:tr>
        <w:trPr>
          <w:trHeight w:val="264"/>
        </w:trPr>
        <w:tc>
          <w:tcPr>
            <w:tcW w:w="3960" w:type="dxa"/>
            <w:vAlign w:val="bottom"/>
          </w:tcPr>
          <w:p>
            <w:pPr>
              <w:jc w:val="center"/>
              <w:ind w:right="1713"/>
              <w:spacing w:after="0"/>
              <w:rPr>
                <w:sz w:val="20"/>
                <w:szCs w:val="20"/>
                <w:color w:val="auto"/>
              </w:rPr>
            </w:pPr>
            <w:r>
              <w:rPr>
                <w:rFonts w:ascii="Times New Roman" w:cs="Times New Roman" w:eastAsia="Times New Roman" w:hAnsi="Times New Roman"/>
                <w:sz w:val="20"/>
                <w:szCs w:val="20"/>
                <w:b w:val="1"/>
                <w:bCs w:val="1"/>
                <w:color w:val="454546"/>
                <w:w w:val="98"/>
              </w:rPr>
              <w:t>Delaware</w:t>
            </w:r>
          </w:p>
        </w:tc>
        <w:tc>
          <w:tcPr>
            <w:tcW w:w="3060" w:type="dxa"/>
            <w:vAlign w:val="bottom"/>
          </w:tcPr>
          <w:p>
            <w:pPr>
              <w:jc w:val="center"/>
              <w:ind w:left="1713"/>
              <w:spacing w:after="0"/>
              <w:rPr>
                <w:sz w:val="20"/>
                <w:szCs w:val="20"/>
                <w:color w:val="auto"/>
              </w:rPr>
            </w:pPr>
            <w:r>
              <w:rPr>
                <w:rFonts w:ascii="Times New Roman" w:cs="Times New Roman" w:eastAsia="Times New Roman" w:hAnsi="Times New Roman"/>
                <w:sz w:val="20"/>
                <w:szCs w:val="20"/>
                <w:b w:val="1"/>
                <w:bCs w:val="1"/>
                <w:color w:val="454546"/>
              </w:rPr>
              <w:t>33-0204817</w:t>
            </w:r>
          </w:p>
        </w:tc>
      </w:tr>
      <w:tr>
        <w:trPr>
          <w:trHeight w:val="233"/>
        </w:trPr>
        <w:tc>
          <w:tcPr>
            <w:tcW w:w="3960" w:type="dxa"/>
            <w:vAlign w:val="bottom"/>
          </w:tcPr>
          <w:p>
            <w:pPr>
              <w:jc w:val="center"/>
              <w:ind w:right="1713"/>
              <w:spacing w:after="0"/>
              <w:rPr>
                <w:sz w:val="20"/>
                <w:szCs w:val="20"/>
                <w:color w:val="auto"/>
              </w:rPr>
            </w:pPr>
            <w:r>
              <w:rPr>
                <w:rFonts w:ascii="Times New Roman" w:cs="Times New Roman" w:eastAsia="Times New Roman" w:hAnsi="Times New Roman"/>
                <w:sz w:val="16"/>
                <w:szCs w:val="16"/>
                <w:b w:val="1"/>
                <w:bCs w:val="1"/>
                <w:color w:val="454546"/>
              </w:rPr>
              <w:t>(State or Other Jurisdiction of</w:t>
            </w:r>
          </w:p>
        </w:tc>
        <w:tc>
          <w:tcPr>
            <w:tcW w:w="3060" w:type="dxa"/>
            <w:vAlign w:val="bottom"/>
          </w:tcPr>
          <w:p>
            <w:pPr>
              <w:jc w:val="center"/>
              <w:ind w:left="1713"/>
              <w:spacing w:after="0"/>
              <w:rPr>
                <w:sz w:val="20"/>
                <w:szCs w:val="20"/>
                <w:color w:val="auto"/>
              </w:rPr>
            </w:pPr>
            <w:r>
              <w:rPr>
                <w:rFonts w:ascii="Times New Roman" w:cs="Times New Roman" w:eastAsia="Times New Roman" w:hAnsi="Times New Roman"/>
                <w:sz w:val="16"/>
                <w:szCs w:val="16"/>
                <w:b w:val="1"/>
                <w:bCs w:val="1"/>
                <w:color w:val="454546"/>
                <w:w w:val="98"/>
              </w:rPr>
              <w:t>(I.R.S. Employer</w:t>
            </w:r>
          </w:p>
        </w:tc>
      </w:tr>
      <w:tr>
        <w:trPr>
          <w:trHeight w:val="211"/>
        </w:trPr>
        <w:tc>
          <w:tcPr>
            <w:tcW w:w="3960" w:type="dxa"/>
            <w:vAlign w:val="bottom"/>
          </w:tcPr>
          <w:p>
            <w:pPr>
              <w:jc w:val="center"/>
              <w:ind w:right="1713"/>
              <w:spacing w:after="0"/>
              <w:rPr>
                <w:sz w:val="20"/>
                <w:szCs w:val="20"/>
                <w:color w:val="auto"/>
              </w:rPr>
            </w:pPr>
            <w:r>
              <w:rPr>
                <w:rFonts w:ascii="Times New Roman" w:cs="Times New Roman" w:eastAsia="Times New Roman" w:hAnsi="Times New Roman"/>
                <w:sz w:val="16"/>
                <w:szCs w:val="16"/>
                <w:b w:val="1"/>
                <w:bCs w:val="1"/>
                <w:color w:val="454546"/>
              </w:rPr>
              <w:t>Incorporation or Organization)</w:t>
            </w:r>
          </w:p>
        </w:tc>
        <w:tc>
          <w:tcPr>
            <w:tcW w:w="3060" w:type="dxa"/>
            <w:vAlign w:val="bottom"/>
          </w:tcPr>
          <w:p>
            <w:pPr>
              <w:jc w:val="center"/>
              <w:ind w:left="1713"/>
              <w:spacing w:after="0"/>
              <w:rPr>
                <w:sz w:val="20"/>
                <w:szCs w:val="20"/>
                <w:color w:val="auto"/>
              </w:rPr>
            </w:pPr>
            <w:r>
              <w:rPr>
                <w:rFonts w:ascii="Times New Roman" w:cs="Times New Roman" w:eastAsia="Times New Roman" w:hAnsi="Times New Roman"/>
                <w:sz w:val="16"/>
                <w:szCs w:val="16"/>
                <w:b w:val="1"/>
                <w:bCs w:val="1"/>
                <w:color w:val="454546"/>
              </w:rPr>
              <w:t>Identification No.)</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54546"/>
        </w:rPr>
        <w:t>15147 N. Scottsdale Road, Suite H300, Scottsdale, Arizona 85254-2494</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(Address of principal executive offices and zip code)</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454546"/>
        </w:rPr>
        <w:t>(480) 530-3000</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(Registrant's telephone number, including area code)</w:t>
      </w:r>
    </w:p>
    <w:p>
      <w:pPr>
        <w:spacing w:after="0" w:line="3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454546"/>
        </w:rPr>
        <w:t>_____________________</w:t>
      </w: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6519545</wp:posOffset>
                </wp:positionH>
                <wp:positionV relativeFrom="paragraph">
                  <wp:posOffset>27305</wp:posOffset>
                </wp:positionV>
                <wp:extent cx="31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454546"/>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35pt,2.15pt" to="513.6pt,2.15pt" o:allowincell="f" strokecolor="#454546"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21590</wp:posOffset>
                </wp:positionV>
                <wp:extent cx="12700" cy="127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231F20"/>
                        </a:solidFill>
                      </wps:spPr>
                      <wps:bodyPr/>
                    </wps:wsp>
                  </a:graphicData>
                </a:graphic>
              </wp:anchor>
            </w:drawing>
          </mc:Choice>
          <mc:Fallback>
            <w:pict>
              <v:rect id="Shape 8" o:spid="_x0000_s1033" style="position:absolute;margin-left:0.05pt;margin-top:1.7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2466975</wp:posOffset>
                </wp:positionH>
                <wp:positionV relativeFrom="paragraph">
                  <wp:posOffset>21590</wp:posOffset>
                </wp:positionV>
                <wp:extent cx="12065" cy="1270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231F20"/>
                        </a:solidFill>
                      </wps:spPr>
                      <wps:bodyPr/>
                    </wps:wsp>
                  </a:graphicData>
                </a:graphic>
              </wp:anchor>
            </w:drawing>
          </mc:Choice>
          <mc:Fallback>
            <w:pict>
              <v:rect id="Shape 9" o:spid="_x0000_s1034" style="position:absolute;margin-left:194.25pt;margin-top:1.7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3733800</wp:posOffset>
                </wp:positionH>
                <wp:positionV relativeFrom="paragraph">
                  <wp:posOffset>21590</wp:posOffset>
                </wp:positionV>
                <wp:extent cx="12065" cy="127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231F20"/>
                        </a:solidFill>
                      </wps:spPr>
                      <wps:bodyPr/>
                    </wps:wsp>
                  </a:graphicData>
                </a:graphic>
              </wp:anchor>
            </w:drawing>
          </mc:Choice>
          <mc:Fallback>
            <w:pict>
              <v:rect id="Shape 10" o:spid="_x0000_s1035" style="position:absolute;margin-left:294pt;margin-top:1.7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6513830</wp:posOffset>
                </wp:positionH>
                <wp:positionV relativeFrom="paragraph">
                  <wp:posOffset>21590</wp:posOffset>
                </wp:positionV>
                <wp:extent cx="13335" cy="127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231F20"/>
                        </a:solidFill>
                      </wps:spPr>
                      <wps:bodyPr/>
                    </wps:wsp>
                  </a:graphicData>
                </a:graphic>
              </wp:anchor>
            </w:drawing>
          </mc:Choice>
          <mc:Fallback>
            <w:pict>
              <v:rect id="Shape 11" o:spid="_x0000_s1036" style="position:absolute;margin-left:512.9pt;margin-top:1.7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920" w:type="dxa"/>
            <w:vAlign w:val="bottom"/>
            <w:tcBorders>
              <w:top w:val="single" w:sz="8" w:color="454546"/>
              <w:left w:val="single" w:sz="8" w:color="454546"/>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20"/>
                <w:szCs w:val="20"/>
                <w:color w:val="454546"/>
              </w:rPr>
              <w:t>Title of each class</w:t>
            </w:r>
          </w:p>
        </w:tc>
        <w:tc>
          <w:tcPr>
            <w:tcW w:w="1980" w:type="dxa"/>
            <w:vAlign w:val="bottom"/>
            <w:tcBorders>
              <w:top w:val="single" w:sz="8" w:color="454546"/>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20"/>
                <w:szCs w:val="20"/>
                <w:color w:val="454546"/>
              </w:rPr>
              <w:t>Trading Symbol(s)</w:t>
            </w:r>
          </w:p>
        </w:tc>
        <w:tc>
          <w:tcPr>
            <w:tcW w:w="4380" w:type="dxa"/>
            <w:vAlign w:val="bottom"/>
            <w:tcBorders>
              <w:top w:val="single" w:sz="8" w:color="454546"/>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20"/>
                <w:szCs w:val="20"/>
                <w:color w:val="454546"/>
                <w:w w:val="99"/>
              </w:rPr>
              <w:t>Name of each exchange on which registered</w:t>
            </w:r>
          </w:p>
        </w:tc>
      </w:tr>
      <w:tr>
        <w:trPr>
          <w:trHeight w:val="280"/>
        </w:trPr>
        <w:tc>
          <w:tcPr>
            <w:tcW w:w="3920" w:type="dxa"/>
            <w:vAlign w:val="bottom"/>
            <w:tcBorders>
              <w:left w:val="single" w:sz="8" w:color="454546"/>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20"/>
                <w:szCs w:val="20"/>
                <w:color w:val="454546"/>
                <w:w w:val="99"/>
              </w:rPr>
              <w:t>Common Stock, par value $0.01 per share</w:t>
            </w:r>
          </w:p>
        </w:tc>
        <w:tc>
          <w:tcPr>
            <w:tcW w:w="1980" w:type="dxa"/>
            <w:vAlign w:val="bottom"/>
            <w:tcBorders>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20"/>
                <w:szCs w:val="20"/>
                <w:color w:val="454546"/>
                <w:w w:val="98"/>
              </w:rPr>
              <w:t>UEIC</w:t>
            </w:r>
          </w:p>
        </w:tc>
        <w:tc>
          <w:tcPr>
            <w:tcW w:w="4380" w:type="dxa"/>
            <w:vAlign w:val="bottom"/>
            <w:tcBorders>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20"/>
                <w:szCs w:val="20"/>
                <w:color w:val="454546"/>
                <w:w w:val="99"/>
              </w:rPr>
              <w:t>The Nasdaq Stock Market LLC</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-198120</wp:posOffset>
                </wp:positionV>
                <wp:extent cx="12700" cy="1206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231F20"/>
                        </a:solidFill>
                      </wps:spPr>
                      <wps:bodyPr/>
                    </wps:wsp>
                  </a:graphicData>
                </a:graphic>
              </wp:anchor>
            </w:drawing>
          </mc:Choice>
          <mc:Fallback>
            <w:pict>
              <v:rect id="Shape 12" o:spid="_x0000_s1037" style="position:absolute;margin-left:0.05pt;margin-top:-15.5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2466975</wp:posOffset>
                </wp:positionH>
                <wp:positionV relativeFrom="paragraph">
                  <wp:posOffset>-198120</wp:posOffset>
                </wp:positionV>
                <wp:extent cx="12065" cy="1206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231F20"/>
                        </a:solidFill>
                      </wps:spPr>
                      <wps:bodyPr/>
                    </wps:wsp>
                  </a:graphicData>
                </a:graphic>
              </wp:anchor>
            </w:drawing>
          </mc:Choice>
          <mc:Fallback>
            <w:pict>
              <v:rect id="Shape 13" o:spid="_x0000_s1038" style="position:absolute;margin-left:194.25pt;margin-top:-15.5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3733800</wp:posOffset>
                </wp:positionH>
                <wp:positionV relativeFrom="paragraph">
                  <wp:posOffset>-198120</wp:posOffset>
                </wp:positionV>
                <wp:extent cx="12065" cy="120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231F20"/>
                        </a:solidFill>
                      </wps:spPr>
                      <wps:bodyPr/>
                    </wps:wsp>
                  </a:graphicData>
                </a:graphic>
              </wp:anchor>
            </w:drawing>
          </mc:Choice>
          <mc:Fallback>
            <w:pict>
              <v:rect id="Shape 14" o:spid="_x0000_s1039" style="position:absolute;margin-left:294pt;margin-top:-15.5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6513830</wp:posOffset>
                </wp:positionH>
                <wp:positionV relativeFrom="paragraph">
                  <wp:posOffset>-198120</wp:posOffset>
                </wp:positionV>
                <wp:extent cx="13335" cy="1206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231F20"/>
                        </a:solidFill>
                      </wps:spPr>
                      <wps:bodyPr/>
                    </wps:wsp>
                  </a:graphicData>
                </a:graphic>
              </wp:anchor>
            </w:drawing>
          </mc:Choice>
          <mc:Fallback>
            <w:pict>
              <v:rect id="Shape 15" o:spid="_x0000_s1040" style="position:absolute;margin-left:512.9pt;margin-top:-15.5999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12700" cy="127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231F20"/>
                        </a:solidFill>
                      </wps:spPr>
                      <wps:bodyPr/>
                    </wps:wsp>
                  </a:graphicData>
                </a:graphic>
              </wp:anchor>
            </w:drawing>
          </mc:Choice>
          <mc:Fallback>
            <w:pict>
              <v:rect id="Shape 16" o:spid="_x0000_s1041" style="position:absolute;margin-left:0.05pt;margin-top:-0.6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2466975</wp:posOffset>
                </wp:positionH>
                <wp:positionV relativeFrom="paragraph">
                  <wp:posOffset>-8255</wp:posOffset>
                </wp:positionV>
                <wp:extent cx="12065" cy="127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231F20"/>
                        </a:solidFill>
                      </wps:spPr>
                      <wps:bodyPr/>
                    </wps:wsp>
                  </a:graphicData>
                </a:graphic>
              </wp:anchor>
            </w:drawing>
          </mc:Choice>
          <mc:Fallback>
            <w:pict>
              <v:rect id="Shape 17" o:spid="_x0000_s1042" style="position:absolute;margin-left:194.25pt;margin-top:-0.6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3733800</wp:posOffset>
                </wp:positionH>
                <wp:positionV relativeFrom="paragraph">
                  <wp:posOffset>-8255</wp:posOffset>
                </wp:positionV>
                <wp:extent cx="12065" cy="127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231F20"/>
                        </a:solidFill>
                      </wps:spPr>
                      <wps:bodyPr/>
                    </wps:wsp>
                  </a:graphicData>
                </a:graphic>
              </wp:anchor>
            </w:drawing>
          </mc:Choice>
          <mc:Fallback>
            <w:pict>
              <v:rect id="Shape 18" o:spid="_x0000_s1043" style="position:absolute;margin-left:294pt;margin-top:-0.6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6513830</wp:posOffset>
                </wp:positionH>
                <wp:positionV relativeFrom="paragraph">
                  <wp:posOffset>-8255</wp:posOffset>
                </wp:positionV>
                <wp:extent cx="13335" cy="12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231F20"/>
                        </a:solidFill>
                      </wps:spPr>
                      <wps:bodyPr/>
                    </wps:wsp>
                  </a:graphicData>
                </a:graphic>
              </wp:anchor>
            </w:drawing>
          </mc:Choice>
          <mc:Fallback>
            <w:pict>
              <v:rect id="Shape 19" o:spid="_x0000_s1044" style="position:absolute;margin-left:512.9pt;margin-top:-0.6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Securities registered pursuant to Section 12(g) of the Act: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None</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454546"/>
        </w:rPr>
        <w:t>_______________________________________</w:t>
      </w:r>
    </w:p>
    <w:p>
      <w:pPr>
        <w:spacing w:after="0" w:line="110" w:lineRule="exact"/>
        <w:rPr>
          <w:sz w:val="20"/>
          <w:szCs w:val="20"/>
          <w:color w:val="auto"/>
        </w:rPr>
      </w:pPr>
    </w:p>
    <w:p>
      <w:pPr>
        <w:ind w:left="20" w:right="1260"/>
        <w:spacing w:after="0" w:line="267" w:lineRule="exact"/>
        <w:rPr>
          <w:sz w:val="20"/>
          <w:szCs w:val="20"/>
          <w:color w:val="auto"/>
        </w:rPr>
      </w:pPr>
      <w:r>
        <w:rPr>
          <w:rFonts w:ascii="Times New Roman" w:cs="Times New Roman" w:eastAsia="Times New Roman" w:hAnsi="Times New Roman"/>
          <w:sz w:val="20"/>
          <w:szCs w:val="20"/>
          <w:color w:val="454546"/>
        </w:rPr>
        <w:t xml:space="preserve">Indicate by check mark if the registrant is a well-known seasoned issuer, as defined in Rule 405 of the Securities Act. Yes </w:t>
      </w:r>
      <w:r>
        <w:rPr>
          <w:rFonts w:ascii="PMingLiU" w:cs="PMingLiU" w:eastAsia="PMingLiU" w:hAnsi="PMingLiU"/>
          <w:sz w:val="20"/>
          <w:szCs w:val="20"/>
          <w:color w:val="454546"/>
        </w:rPr>
        <w:t/>
      </w:r>
      <w:r>
        <w:rPr>
          <w:rFonts w:ascii="Times New Roman" w:cs="Times New Roman" w:eastAsia="Times New Roman" w:hAnsi="Times New Roman"/>
          <w:sz w:val="20"/>
          <w:szCs w:val="20"/>
          <w:color w:val="454546"/>
        </w:rPr>
        <w:t xml:space="preserve"> No </w:t>
      </w:r>
      <w:r>
        <w:rPr>
          <w:rFonts w:ascii="PMingLiU" w:cs="PMingLiU" w:eastAsia="PMingLiU" w:hAnsi="PMingLiU"/>
          <w:sz w:val="20"/>
          <w:szCs w:val="20"/>
          <w:color w:val="454546"/>
        </w:rPr>
        <w:t/>
      </w:r>
    </w:p>
    <w:p>
      <w:pPr>
        <w:spacing w:after="0" w:line="128" w:lineRule="exact"/>
        <w:rPr>
          <w:sz w:val="20"/>
          <w:szCs w:val="20"/>
          <w:color w:val="auto"/>
        </w:rPr>
      </w:pPr>
    </w:p>
    <w:p>
      <w:pPr>
        <w:ind w:left="20" w:right="1100"/>
        <w:spacing w:after="0" w:line="267" w:lineRule="exact"/>
        <w:rPr>
          <w:sz w:val="20"/>
          <w:szCs w:val="20"/>
          <w:color w:val="auto"/>
        </w:rPr>
      </w:pPr>
      <w:r>
        <w:rPr>
          <w:rFonts w:ascii="Times New Roman" w:cs="Times New Roman" w:eastAsia="Times New Roman" w:hAnsi="Times New Roman"/>
          <w:sz w:val="20"/>
          <w:szCs w:val="20"/>
          <w:color w:val="454546"/>
        </w:rPr>
        <w:t xml:space="preserve">Indicate by check mark if the registrant is not required to file reports pursuant to Section 13 or Section 15(d) of the Act. Yes </w:t>
      </w:r>
      <w:r>
        <w:rPr>
          <w:rFonts w:ascii="PMingLiU" w:cs="PMingLiU" w:eastAsia="PMingLiU" w:hAnsi="PMingLiU"/>
          <w:sz w:val="20"/>
          <w:szCs w:val="20"/>
          <w:color w:val="454546"/>
        </w:rPr>
        <w:t/>
      </w:r>
      <w:r>
        <w:rPr>
          <w:rFonts w:ascii="Times New Roman" w:cs="Times New Roman" w:eastAsia="Times New Roman" w:hAnsi="Times New Roman"/>
          <w:sz w:val="20"/>
          <w:szCs w:val="20"/>
          <w:color w:val="454546"/>
        </w:rPr>
        <w:t xml:space="preserve"> No </w:t>
      </w:r>
      <w:r>
        <w:rPr>
          <w:rFonts w:ascii="PMingLiU" w:cs="PMingLiU" w:eastAsia="PMingLiU" w:hAnsi="PMingLiU"/>
          <w:sz w:val="20"/>
          <w:szCs w:val="20"/>
          <w:color w:val="454546"/>
        </w:rPr>
        <w:t/>
      </w:r>
    </w:p>
    <w:p>
      <w:pPr>
        <w:spacing w:after="0" w:line="128" w:lineRule="exact"/>
        <w:rPr>
          <w:sz w:val="20"/>
          <w:szCs w:val="20"/>
          <w:color w:val="auto"/>
        </w:rPr>
      </w:pPr>
    </w:p>
    <w:p>
      <w:pPr>
        <w:jc w:val="both"/>
        <w:ind w:left="20"/>
        <w:spacing w:after="0" w:line="258" w:lineRule="exact"/>
        <w:rPr>
          <w:sz w:val="20"/>
          <w:szCs w:val="20"/>
          <w:color w:val="auto"/>
        </w:rPr>
      </w:pPr>
      <w:r>
        <w:rPr>
          <w:rFonts w:ascii="Times New Roman" w:cs="Times New Roman" w:eastAsia="Times New Roman" w:hAnsi="Times New Roman"/>
          <w:sz w:val="20"/>
          <w:szCs w:val="20"/>
          <w:color w:val="45454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20"/>
          <w:szCs w:val="20"/>
          <w:color w:val="454546"/>
        </w:rPr>
        <w:t/>
      </w:r>
      <w:r>
        <w:rPr>
          <w:rFonts w:ascii="Times New Roman" w:cs="Times New Roman" w:eastAsia="Times New Roman" w:hAnsi="Times New Roman"/>
          <w:sz w:val="20"/>
          <w:szCs w:val="20"/>
          <w:color w:val="454546"/>
        </w:rPr>
        <w:t xml:space="preserve"> No </w:t>
      </w:r>
      <w:r>
        <w:rPr>
          <w:rFonts w:ascii="Wingdings" w:cs="Wingdings" w:eastAsia="Wingdings" w:hAnsi="Wingdings"/>
          <w:sz w:val="20"/>
          <w:szCs w:val="20"/>
          <w:color w:val="454546"/>
        </w:rPr>
        <w:t>¨</w:t>
      </w:r>
    </w:p>
    <w:p>
      <w:pPr>
        <w:sectPr>
          <w:pgSz w:w="11880" w:h="15480" w:orient="portrait"/>
          <w:cols w:equalWidth="0" w:num="1">
            <w:col w:w="10280"/>
          </w:cols>
          <w:pgMar w:left="800" w:top="727" w:right="800" w:bottom="0" w:gutter="0" w:footer="0" w:header="0"/>
        </w:sectPr>
      </w:pPr>
    </w:p>
    <w:bookmarkStart w:id="5" w:name="page6"/>
    <w:bookmarkEnd w:id="5"/>
    <w:p>
      <w:pPr>
        <w:jc w:val="both"/>
        <w:spacing w:after="0" w:line="258" w:lineRule="exact"/>
        <w:rPr>
          <w:sz w:val="20"/>
          <w:szCs w:val="20"/>
          <w:color w:val="auto"/>
        </w:rPr>
      </w:pPr>
      <w:r>
        <w:rPr>
          <w:rFonts w:ascii="Times New Roman" w:cs="Times New Roman" w:eastAsia="Times New Roman" w:hAnsi="Times New Roman"/>
          <w:sz w:val="20"/>
          <w:szCs w:val="20"/>
          <w:color w:val="45454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20"/>
          <w:szCs w:val="20"/>
          <w:color w:val="454546"/>
        </w:rPr>
        <w:t/>
      </w:r>
      <w:r>
        <w:rPr>
          <w:rFonts w:ascii="Times New Roman" w:cs="Times New Roman" w:eastAsia="Times New Roman" w:hAnsi="Times New Roman"/>
          <w:sz w:val="20"/>
          <w:szCs w:val="20"/>
          <w:color w:val="454546"/>
        </w:rPr>
        <w:t xml:space="preserve"> No </w:t>
      </w:r>
      <w:r>
        <w:rPr>
          <w:rFonts w:ascii="PMingLiU" w:cs="PMingLiU" w:eastAsia="PMingLiU" w:hAnsi="PMingLiU"/>
          <w:sz w:val="20"/>
          <w:szCs w:val="20"/>
          <w:color w:val="454546"/>
        </w:rPr>
        <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Times New Roman" w:cs="Times New Roman" w:eastAsia="Times New Roman" w:hAnsi="Times New Roman"/>
          <w:sz w:val="20"/>
          <w:szCs w:val="20"/>
          <w:color w:val="3B3A3C"/>
        </w:rPr>
        <w:t>"</w:t>
      </w:r>
      <w:r>
        <w:rPr>
          <w:rFonts w:ascii="Times New Roman" w:cs="Times New Roman" w:eastAsia="Times New Roman" w:hAnsi="Times New Roman"/>
          <w:sz w:val="20"/>
          <w:szCs w:val="20"/>
          <w:color w:val="454546"/>
        </w:rPr>
        <w:t xml:space="preserve"> in Rule 12b-2 of the Exchange Act.</w:t>
      </w:r>
    </w:p>
    <w:p>
      <w:pPr>
        <w:spacing w:after="0" w:line="345" w:lineRule="exact"/>
        <w:rPr>
          <w:sz w:val="20"/>
          <w:szCs w:val="20"/>
          <w:color w:val="auto"/>
        </w:rPr>
      </w:pPr>
    </w:p>
    <w:tbl>
      <w:tblPr>
        <w:tblLayout w:type="fixed"/>
        <w:tblInd w:w="2460" w:type="dxa"/>
        <w:tblCellMar>
          <w:top w:w="0" w:type="dxa"/>
          <w:left w:w="0" w:type="dxa"/>
          <w:bottom w:w="0" w:type="dxa"/>
          <w:right w:w="0" w:type="dxa"/>
        </w:tblCellMar>
      </w:tblPr>
      <w:tr>
        <w:trPr>
          <w:trHeight w:val="293"/>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454546"/>
              </w:rPr>
              <w:t>Large accelerated filer</w:t>
            </w:r>
          </w:p>
        </w:tc>
        <w:tc>
          <w:tcPr>
            <w:tcW w:w="56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454546"/>
              </w:rPr>
              <w:t/>
            </w:r>
          </w:p>
        </w:tc>
        <w:tc>
          <w:tcPr>
            <w:tcW w:w="2580" w:type="dxa"/>
            <w:vAlign w:val="bottom"/>
          </w:tcPr>
          <w:p>
            <w:pPr>
              <w:ind w:left="300"/>
              <w:spacing w:after="0"/>
              <w:rPr>
                <w:sz w:val="20"/>
                <w:szCs w:val="20"/>
                <w:color w:val="auto"/>
              </w:rPr>
            </w:pPr>
            <w:r>
              <w:rPr>
                <w:rFonts w:ascii="Times New Roman" w:cs="Times New Roman" w:eastAsia="Times New Roman" w:hAnsi="Times New Roman"/>
                <w:sz w:val="20"/>
                <w:szCs w:val="20"/>
                <w:color w:val="454546"/>
              </w:rPr>
              <w:t>Accelerated filer</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454546"/>
              </w:rPr>
              <w:t/>
            </w:r>
          </w:p>
        </w:tc>
      </w:tr>
      <w:tr>
        <w:trPr>
          <w:trHeight w:val="375"/>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454546"/>
              </w:rPr>
              <w:t>Non-accelerated filer</w:t>
            </w:r>
          </w:p>
        </w:tc>
        <w:tc>
          <w:tcPr>
            <w:tcW w:w="56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454546"/>
              </w:rPr>
              <w:t/>
            </w:r>
          </w:p>
        </w:tc>
        <w:tc>
          <w:tcPr>
            <w:tcW w:w="2580" w:type="dxa"/>
            <w:vAlign w:val="bottom"/>
          </w:tcPr>
          <w:p>
            <w:pPr>
              <w:ind w:left="300"/>
              <w:spacing w:after="0"/>
              <w:rPr>
                <w:sz w:val="20"/>
                <w:szCs w:val="20"/>
                <w:color w:val="auto"/>
              </w:rPr>
            </w:pPr>
            <w:r>
              <w:rPr>
                <w:rFonts w:ascii="Times New Roman" w:cs="Times New Roman" w:eastAsia="Times New Roman" w:hAnsi="Times New Roman"/>
                <w:sz w:val="20"/>
                <w:szCs w:val="20"/>
                <w:color w:val="454546"/>
              </w:rPr>
              <w:t>Smaller reporting company</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454546"/>
              </w:rPr>
              <w:t/>
            </w:r>
          </w:p>
        </w:tc>
      </w:tr>
      <w:tr>
        <w:trPr>
          <w:trHeight w:val="300"/>
        </w:trPr>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80" w:type="dxa"/>
            <w:vAlign w:val="bottom"/>
          </w:tcPr>
          <w:p>
            <w:pPr>
              <w:ind w:left="300"/>
              <w:spacing w:after="0"/>
              <w:rPr>
                <w:sz w:val="20"/>
                <w:szCs w:val="20"/>
                <w:color w:val="auto"/>
              </w:rPr>
            </w:pPr>
            <w:r>
              <w:rPr>
                <w:rFonts w:ascii="Times New Roman" w:cs="Times New Roman" w:eastAsia="Times New Roman" w:hAnsi="Times New Roman"/>
                <w:sz w:val="20"/>
                <w:szCs w:val="20"/>
                <w:color w:val="454546"/>
              </w:rPr>
              <w:t>Emerging growth company</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454546"/>
              </w:rPr>
              <w:t/>
            </w:r>
          </w:p>
        </w:tc>
      </w:tr>
    </w:tbl>
    <w:p>
      <w:pPr>
        <w:spacing w:after="0" w:line="2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454546"/>
        </w:rPr>
        <w:t/>
      </w:r>
    </w:p>
    <w:p>
      <w:pPr>
        <w:spacing w:after="0" w:line="220" w:lineRule="exact"/>
        <w:rPr>
          <w:sz w:val="20"/>
          <w:szCs w:val="20"/>
          <w:color w:val="auto"/>
        </w:rPr>
      </w:pPr>
    </w:p>
    <w:p>
      <w:pPr>
        <w:jc w:val="both"/>
        <w:spacing w:after="0" w:line="258" w:lineRule="exact"/>
        <w:rPr>
          <w:sz w:val="20"/>
          <w:szCs w:val="20"/>
          <w:color w:val="auto"/>
        </w:rPr>
      </w:pPr>
      <w:r>
        <w:rPr>
          <w:rFonts w:ascii="Times New Roman" w:cs="Times New Roman" w:eastAsia="Times New Roman" w:hAnsi="Times New Roman"/>
          <w:sz w:val="20"/>
          <w:szCs w:val="20"/>
          <w:color w:val="45454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20"/>
          <w:szCs w:val="20"/>
          <w:color w:val="454546"/>
        </w:rPr>
        <w:t/>
      </w:r>
    </w:p>
    <w:p>
      <w:pPr>
        <w:spacing w:after="0" w:line="234" w:lineRule="exact"/>
        <w:rPr>
          <w:sz w:val="20"/>
          <w:szCs w:val="20"/>
          <w:color w:val="auto"/>
        </w:rPr>
      </w:pPr>
    </w:p>
    <w:p>
      <w:pPr>
        <w:jc w:val="both"/>
        <w:ind w:right="20"/>
        <w:spacing w:after="0" w:line="273" w:lineRule="exact"/>
        <w:rPr>
          <w:sz w:val="20"/>
          <w:szCs w:val="20"/>
          <w:color w:val="auto"/>
        </w:rPr>
      </w:pPr>
      <w:r>
        <w:rPr>
          <w:rFonts w:ascii="Times New Roman" w:cs="Times New Roman" w:eastAsia="Times New Roman" w:hAnsi="Times New Roman"/>
          <w:sz w:val="20"/>
          <w:szCs w:val="20"/>
          <w:color w:val="45454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20"/>
          <w:szCs w:val="20"/>
          <w:color w:val="454546"/>
        </w:rPr>
        <w:t/>
      </w:r>
    </w:p>
    <w:p>
      <w:pPr>
        <w:spacing w:after="0" w:line="224" w:lineRule="exact"/>
        <w:rPr>
          <w:sz w:val="20"/>
          <w:szCs w:val="20"/>
          <w:color w:val="auto"/>
        </w:rPr>
      </w:pPr>
    </w:p>
    <w:p>
      <w:pPr>
        <w:jc w:val="both"/>
        <w:spacing w:after="0" w:line="262" w:lineRule="exact"/>
        <w:rPr>
          <w:sz w:val="20"/>
          <w:szCs w:val="20"/>
          <w:color w:val="auto"/>
        </w:rPr>
      </w:pPr>
      <w:r>
        <w:rPr>
          <w:rFonts w:ascii="Times New Roman" w:cs="Times New Roman" w:eastAsia="Times New Roman" w:hAnsi="Times New Roman"/>
          <w:sz w:val="20"/>
          <w:szCs w:val="20"/>
          <w:color w:val="45454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20"/>
          <w:szCs w:val="20"/>
          <w:color w:val="454546"/>
        </w:rPr>
        <w:t/>
      </w:r>
    </w:p>
    <w:p>
      <w:pPr>
        <w:spacing w:after="0" w:line="163" w:lineRule="exact"/>
        <w:rPr>
          <w:sz w:val="20"/>
          <w:szCs w:val="20"/>
          <w:color w:val="auto"/>
        </w:rPr>
      </w:pPr>
    </w:p>
    <w:p>
      <w:pPr>
        <w:jc w:val="both"/>
        <w:spacing w:after="0" w:line="267" w:lineRule="exact"/>
        <w:rPr>
          <w:sz w:val="20"/>
          <w:szCs w:val="20"/>
          <w:color w:val="auto"/>
        </w:rPr>
      </w:pPr>
      <w:r>
        <w:rPr>
          <w:rFonts w:ascii="Times New Roman" w:cs="Times New Roman" w:eastAsia="Times New Roman" w:hAnsi="Times New Roman"/>
          <w:sz w:val="20"/>
          <w:szCs w:val="20"/>
          <w:color w:val="454546"/>
        </w:rPr>
        <w:t xml:space="preserve">Indicate by check mark whether the registrant is a shell company (as defined in Rule 12b-2 of the Exchange Act). Yes </w:t>
      </w:r>
      <w:r>
        <w:rPr>
          <w:rFonts w:ascii="PMingLiU" w:cs="PMingLiU" w:eastAsia="PMingLiU" w:hAnsi="PMingLiU"/>
          <w:sz w:val="20"/>
          <w:szCs w:val="20"/>
          <w:color w:val="454546"/>
        </w:rPr>
        <w:t/>
      </w:r>
      <w:r>
        <w:rPr>
          <w:rFonts w:ascii="Times New Roman" w:cs="Times New Roman" w:eastAsia="Times New Roman" w:hAnsi="Times New Roman"/>
          <w:sz w:val="20"/>
          <w:szCs w:val="20"/>
          <w:color w:val="454546"/>
        </w:rPr>
        <w:t xml:space="preserve"> No </w:t>
      </w:r>
      <w:r>
        <w:rPr>
          <w:rFonts w:ascii="PMingLiU" w:cs="PMingLiU" w:eastAsia="PMingLiU" w:hAnsi="PMingLiU"/>
          <w:sz w:val="20"/>
          <w:szCs w:val="20"/>
          <w:color w:val="454546"/>
        </w:rPr>
        <w:t/>
      </w:r>
    </w:p>
    <w:p>
      <w:pPr>
        <w:spacing w:after="0" w:line="3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The aggregate market value of the voting and non-voting common equity held by non-affiliates of the registrant on June 30, 2025, the last business day of the registrant's most recently completed second fiscal quarter, was $74,352,689 based upon the closing sale price of the Company's common stock as reported on the Nasdaq Stock Market for that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On March 4, 2026, 12,864,412 shares of Common Stock, par value $.01 per share, of the registrant were outstanding.</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DOCUMENTS INCORPORATED BY REFERENCE:</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Portions of the registrant's notice of annual meeting of stockholders and proxy statement (the "Proxy Statement") to be filed pursuant to Regulation 14A within 120 days after registrant's fiscal year end of December 31, 2025 are incorporated by reference into Part III of this Form 10-K. The Proxy Statement will be filed with the Securities and Exchange Commission no later than April 30,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Except as otherwise stated, the information contained in this Form 10-K is as of December 31, 2025.</w:t>
      </w:r>
    </w:p>
    <w:p>
      <w:pPr>
        <w:sectPr>
          <w:pgSz w:w="11880" w:h="15480" w:orient="portrait"/>
          <w:cols w:equalWidth="0" w:num="1">
            <w:col w:w="10260"/>
          </w:cols>
          <w:pgMar w:left="820" w:top="298" w:right="80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0"/>
        </w:trPr>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60" w:type="dxa"/>
            <w:vAlign w:val="bottom"/>
            <w:gridSpan w:val="11"/>
          </w:tcPr>
          <w:p>
            <w:pPr>
              <w:jc w:val="center"/>
              <w:ind w:right="2540"/>
              <w:spacing w:after="0"/>
              <w:rPr>
                <w:sz w:val="20"/>
                <w:szCs w:val="20"/>
                <w:color w:val="auto"/>
              </w:rPr>
            </w:pPr>
            <w:r>
              <w:rPr>
                <w:rFonts w:ascii="Times New Roman" w:cs="Times New Roman" w:eastAsia="Times New Roman" w:hAnsi="Times New Roman"/>
                <w:sz w:val="20"/>
                <w:szCs w:val="20"/>
                <w:b w:val="1"/>
                <w:bCs w:val="1"/>
                <w:color w:val="454546"/>
              </w:rPr>
              <w:t>UNIVERSAL ELECTRONICS INC.</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20" w:type="dxa"/>
            <w:vAlign w:val="bottom"/>
            <w:gridSpan w:val="10"/>
          </w:tcPr>
          <w:p>
            <w:pPr>
              <w:jc w:val="center"/>
              <w:ind w:right="2880"/>
              <w:spacing w:after="0"/>
              <w:rPr>
                <w:sz w:val="20"/>
                <w:szCs w:val="20"/>
                <w:color w:val="auto"/>
              </w:rPr>
            </w:pPr>
            <w:r>
              <w:rPr>
                <w:rFonts w:ascii="Times New Roman" w:cs="Times New Roman" w:eastAsia="Times New Roman" w:hAnsi="Times New Roman"/>
                <w:sz w:val="20"/>
                <w:szCs w:val="20"/>
                <w:b w:val="1"/>
                <w:bCs w:val="1"/>
                <w:color w:val="454546"/>
              </w:rPr>
              <w:t>Annual Report on Form 10-K</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720" w:type="dxa"/>
            <w:vAlign w:val="bottom"/>
            <w:gridSpan w:val="12"/>
          </w:tcPr>
          <w:p>
            <w:pPr>
              <w:jc w:val="center"/>
              <w:ind w:right="1680"/>
              <w:spacing w:after="0"/>
              <w:rPr>
                <w:sz w:val="20"/>
                <w:szCs w:val="20"/>
                <w:color w:val="auto"/>
              </w:rPr>
            </w:pPr>
            <w:r>
              <w:rPr>
                <w:rFonts w:ascii="Times New Roman" w:cs="Times New Roman" w:eastAsia="Times New Roman" w:hAnsi="Times New Roman"/>
                <w:sz w:val="20"/>
                <w:szCs w:val="20"/>
                <w:b w:val="1"/>
                <w:bCs w:val="1"/>
                <w:color w:val="454546"/>
                <w:w w:val="99"/>
              </w:rPr>
              <w:t>For the Fiscal Year Ended December 31, 2025</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9"/>
          </w:tcPr>
          <w:p>
            <w:pPr>
              <w:jc w:val="center"/>
              <w:ind w:right="2960"/>
              <w:spacing w:after="0"/>
              <w:rPr>
                <w:sz w:val="20"/>
                <w:szCs w:val="20"/>
                <w:color w:val="auto"/>
              </w:rPr>
            </w:pPr>
            <w:r>
              <w:rPr>
                <w:rFonts w:ascii="Times New Roman" w:cs="Times New Roman" w:eastAsia="Times New Roman" w:hAnsi="Times New Roman"/>
                <w:sz w:val="20"/>
                <w:szCs w:val="20"/>
                <w:b w:val="1"/>
                <w:bCs w:val="1"/>
                <w:color w:val="454546"/>
                <w:w w:val="99"/>
              </w:rPr>
              <w:t>Table of Contents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928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454546"/>
              </w:rPr>
              <w:t>Item</w:t>
            </w:r>
          </w:p>
        </w:tc>
        <w:tc>
          <w:tcPr>
            <w:tcW w:w="180" w:type="dxa"/>
            <w:vAlign w:val="bottom"/>
          </w:tcPr>
          <w:p>
            <w:pPr>
              <w:spacing w:after="0"/>
              <w:rPr>
                <w:sz w:val="24"/>
                <w:szCs w:val="24"/>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454546"/>
              </w:rPr>
              <w:t>Page</w:t>
            </w:r>
          </w:p>
        </w:tc>
        <w:tc>
          <w:tcPr>
            <w:tcW w:w="0" w:type="dxa"/>
            <w:vAlign w:val="bottom"/>
          </w:tcPr>
          <w:p>
            <w:pPr>
              <w:spacing w:after="0"/>
              <w:rPr>
                <w:sz w:val="1"/>
                <w:szCs w:val="1"/>
                <w:color w:val="auto"/>
              </w:rPr>
            </w:pPr>
          </w:p>
        </w:tc>
      </w:tr>
      <w:tr>
        <w:trPr>
          <w:trHeight w:val="173"/>
        </w:trPr>
        <w:tc>
          <w:tcPr>
            <w:tcW w:w="580" w:type="dxa"/>
            <w:vAlign w:val="bottom"/>
            <w:gridSpan w:val="3"/>
          </w:tcPr>
          <w:p>
            <w:pP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Number</w:t>
            </w:r>
          </w:p>
        </w:tc>
        <w:tc>
          <w:tcPr>
            <w:tcW w:w="8700" w:type="dxa"/>
            <w:vAlign w:val="bottom"/>
            <w:gridSpan w:val="26"/>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454546"/>
                <w:w w:val="94"/>
              </w:rPr>
              <w:t>Number</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454546"/>
          </w:tcPr>
          <w:p>
            <w:pPr>
              <w:spacing w:after="0" w:line="20" w:lineRule="exact"/>
              <w:rPr>
                <w:sz w:val="1"/>
                <w:szCs w:val="1"/>
                <w:color w:val="auto"/>
              </w:rPr>
            </w:pPr>
          </w:p>
        </w:tc>
        <w:tc>
          <w:tcPr>
            <w:tcW w:w="220" w:type="dxa"/>
            <w:vAlign w:val="bottom"/>
            <w:shd w:val="clear" w:color="auto" w:fill="45454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454546"/>
          </w:tcPr>
          <w:p>
            <w:pPr>
              <w:spacing w:after="0" w:line="20" w:lineRule="exact"/>
              <w:rPr>
                <w:sz w:val="1"/>
                <w:szCs w:val="1"/>
                <w:color w:val="auto"/>
              </w:rPr>
            </w:pPr>
          </w:p>
        </w:tc>
        <w:tc>
          <w:tcPr>
            <w:tcW w:w="80" w:type="dxa"/>
            <w:vAlign w:val="bottom"/>
            <w:shd w:val="clear" w:color="auto" w:fill="45454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9280" w:type="dxa"/>
            <w:vAlign w:val="bottom"/>
            <w:gridSpan w:val="29"/>
          </w:tcPr>
          <w:p>
            <w:pPr>
              <w:spacing w:after="0"/>
              <w:rPr>
                <w:sz w:val="20"/>
                <w:szCs w:val="20"/>
                <w:color w:val="auto"/>
              </w:rPr>
            </w:pPr>
            <w:r>
              <w:rPr>
                <w:rFonts w:ascii="Times New Roman" w:cs="Times New Roman" w:eastAsia="Times New Roman" w:hAnsi="Times New Roman"/>
                <w:sz w:val="20"/>
                <w:szCs w:val="20"/>
                <w:color w:val="656769"/>
              </w:rPr>
              <w:t>Risk Factor Summary</w:t>
            </w: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656769"/>
              </w:rPr>
              <w:t>4</w:t>
            </w:r>
          </w:p>
        </w:tc>
        <w:tc>
          <w:tcPr>
            <w:tcW w:w="0" w:type="dxa"/>
            <w:vAlign w:val="bottom"/>
          </w:tcPr>
          <w:p>
            <w:pPr>
              <w:spacing w:after="0"/>
              <w:rPr>
                <w:sz w:val="1"/>
                <w:szCs w:val="1"/>
                <w:color w:val="auto"/>
              </w:rPr>
            </w:pPr>
          </w:p>
        </w:tc>
      </w:tr>
      <w:tr>
        <w:trPr>
          <w:trHeight w:val="121"/>
        </w:trPr>
        <w:tc>
          <w:tcPr>
            <w:tcW w:w="120" w:type="dxa"/>
            <w:vAlign w:val="bottom"/>
            <w:tcBorders>
              <w:top w:val="single" w:sz="8" w:color="656769"/>
            </w:tcBorders>
          </w:tcPr>
          <w:p>
            <w:pPr>
              <w:spacing w:after="0"/>
              <w:rPr>
                <w:sz w:val="10"/>
                <w:szCs w:val="10"/>
                <w:color w:val="auto"/>
              </w:rPr>
            </w:pPr>
          </w:p>
        </w:tc>
        <w:tc>
          <w:tcPr>
            <w:tcW w:w="240" w:type="dxa"/>
            <w:vAlign w:val="bottom"/>
            <w:tcBorders>
              <w:top w:val="single" w:sz="8" w:color="656769"/>
            </w:tcBorders>
          </w:tcPr>
          <w:p>
            <w:pPr>
              <w:spacing w:after="0"/>
              <w:rPr>
                <w:sz w:val="10"/>
                <w:szCs w:val="10"/>
                <w:color w:val="auto"/>
              </w:rPr>
            </w:pPr>
          </w:p>
        </w:tc>
        <w:tc>
          <w:tcPr>
            <w:tcW w:w="220" w:type="dxa"/>
            <w:vAlign w:val="bottom"/>
            <w:tcBorders>
              <w:top w:val="single" w:sz="8" w:color="656769"/>
            </w:tcBorders>
          </w:tcPr>
          <w:p>
            <w:pPr>
              <w:spacing w:after="0"/>
              <w:rPr>
                <w:sz w:val="10"/>
                <w:szCs w:val="10"/>
                <w:color w:val="auto"/>
              </w:rPr>
            </w:pPr>
          </w:p>
        </w:tc>
        <w:tc>
          <w:tcPr>
            <w:tcW w:w="280" w:type="dxa"/>
            <w:vAlign w:val="bottom"/>
            <w:tcBorders>
              <w:top w:val="single" w:sz="8" w:color="656769"/>
            </w:tcBorders>
          </w:tcPr>
          <w:p>
            <w:pPr>
              <w:spacing w:after="0"/>
              <w:rPr>
                <w:sz w:val="10"/>
                <w:szCs w:val="10"/>
                <w:color w:val="auto"/>
              </w:rPr>
            </w:pPr>
          </w:p>
        </w:tc>
        <w:tc>
          <w:tcPr>
            <w:tcW w:w="100" w:type="dxa"/>
            <w:vAlign w:val="bottom"/>
            <w:tcBorders>
              <w:top w:val="single" w:sz="8" w:color="656769"/>
            </w:tcBorders>
          </w:tcPr>
          <w:p>
            <w:pPr>
              <w:spacing w:after="0"/>
              <w:rPr>
                <w:sz w:val="10"/>
                <w:szCs w:val="10"/>
                <w:color w:val="auto"/>
              </w:rPr>
            </w:pPr>
          </w:p>
        </w:tc>
        <w:tc>
          <w:tcPr>
            <w:tcW w:w="60" w:type="dxa"/>
            <w:vAlign w:val="bottom"/>
            <w:tcBorders>
              <w:top w:val="single" w:sz="8" w:color="656769"/>
            </w:tcBorders>
          </w:tcPr>
          <w:p>
            <w:pPr>
              <w:spacing w:after="0"/>
              <w:rPr>
                <w:sz w:val="10"/>
                <w:szCs w:val="10"/>
                <w:color w:val="auto"/>
              </w:rPr>
            </w:pPr>
          </w:p>
        </w:tc>
        <w:tc>
          <w:tcPr>
            <w:tcW w:w="180" w:type="dxa"/>
            <w:vAlign w:val="bottom"/>
            <w:tcBorders>
              <w:top w:val="single" w:sz="8" w:color="656769"/>
            </w:tcBorders>
          </w:tcPr>
          <w:p>
            <w:pPr>
              <w:spacing w:after="0"/>
              <w:rPr>
                <w:sz w:val="10"/>
                <w:szCs w:val="10"/>
                <w:color w:val="auto"/>
              </w:rPr>
            </w:pPr>
          </w:p>
        </w:tc>
        <w:tc>
          <w:tcPr>
            <w:tcW w:w="100" w:type="dxa"/>
            <w:vAlign w:val="bottom"/>
            <w:tcBorders>
              <w:top w:val="single" w:sz="8" w:color="656769"/>
            </w:tcBorders>
          </w:tcPr>
          <w:p>
            <w:pPr>
              <w:spacing w:after="0"/>
              <w:rPr>
                <w:sz w:val="10"/>
                <w:szCs w:val="10"/>
                <w:color w:val="auto"/>
              </w:rPr>
            </w:pPr>
          </w:p>
        </w:tc>
        <w:tc>
          <w:tcPr>
            <w:tcW w:w="100" w:type="dxa"/>
            <w:vAlign w:val="bottom"/>
            <w:tcBorders>
              <w:top w:val="single" w:sz="8" w:color="656769"/>
            </w:tcBorders>
          </w:tcPr>
          <w:p>
            <w:pPr>
              <w:spacing w:after="0"/>
              <w:rPr>
                <w:sz w:val="10"/>
                <w:szCs w:val="10"/>
                <w:color w:val="auto"/>
              </w:rPr>
            </w:pPr>
          </w:p>
        </w:tc>
        <w:tc>
          <w:tcPr>
            <w:tcW w:w="240" w:type="dxa"/>
            <w:vAlign w:val="bottom"/>
            <w:tcBorders>
              <w:top w:val="single" w:sz="8" w:color="656769"/>
            </w:tcBorders>
          </w:tcPr>
          <w:p>
            <w:pPr>
              <w:spacing w:after="0"/>
              <w:rPr>
                <w:sz w:val="10"/>
                <w:szCs w:val="10"/>
                <w:color w:val="auto"/>
              </w:rPr>
            </w:pPr>
          </w:p>
        </w:tc>
        <w:tc>
          <w:tcPr>
            <w:tcW w:w="100" w:type="dxa"/>
            <w:vAlign w:val="bottom"/>
            <w:tcBorders>
              <w:top w:val="single" w:sz="8" w:color="656769"/>
            </w:tcBorders>
          </w:tcPr>
          <w:p>
            <w:pPr>
              <w:spacing w:after="0"/>
              <w:rPr>
                <w:sz w:val="10"/>
                <w:szCs w:val="10"/>
                <w:color w:val="auto"/>
              </w:rPr>
            </w:pPr>
          </w:p>
        </w:tc>
        <w:tc>
          <w:tcPr>
            <w:tcW w:w="20" w:type="dxa"/>
            <w:vAlign w:val="bottom"/>
            <w:tcBorders>
              <w:top w:val="single" w:sz="8" w:color="656769"/>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40" w:type="dxa"/>
            <w:vAlign w:val="bottom"/>
            <w:gridSpan w:val="9"/>
            <w:vMerge w:val="restart"/>
          </w:tcPr>
          <w:p>
            <w:pPr>
              <w:jc w:val="center"/>
              <w:ind w:right="2980"/>
              <w:spacing w:after="0"/>
              <w:rPr>
                <w:sz w:val="20"/>
                <w:szCs w:val="20"/>
                <w:color w:val="auto"/>
              </w:rPr>
            </w:pPr>
            <w:r>
              <w:rPr>
                <w:rFonts w:ascii="Times New Roman" w:cs="Times New Roman" w:eastAsia="Times New Roman" w:hAnsi="Times New Roman"/>
                <w:sz w:val="20"/>
                <w:szCs w:val="20"/>
                <w:b w:val="1"/>
                <w:bCs w:val="1"/>
                <w:color w:val="454546"/>
                <w:w w:val="98"/>
              </w:rPr>
              <w:t>PART I</w:t>
            </w:r>
          </w:p>
        </w:tc>
        <w:tc>
          <w:tcPr>
            <w:tcW w:w="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9"/>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656769"/>
            </w:tcBorders>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20" w:type="dxa"/>
            <w:vAlign w:val="bottom"/>
            <w:tcBorders>
              <w:bottom w:val="single" w:sz="8" w:color="656769"/>
            </w:tcBorders>
          </w:tcPr>
          <w:p>
            <w:pPr>
              <w:spacing w:after="0"/>
              <w:rPr>
                <w:sz w:val="20"/>
                <w:szCs w:val="20"/>
                <w:color w:val="auto"/>
              </w:rPr>
            </w:pPr>
            <w:r>
              <w:rPr>
                <w:rFonts w:ascii="Times New Roman" w:cs="Times New Roman" w:eastAsia="Times New Roman" w:hAnsi="Times New Roman"/>
                <w:sz w:val="20"/>
                <w:szCs w:val="20"/>
                <w:color w:val="656769"/>
                <w:w w:val="99"/>
              </w:rPr>
              <w:t>1</w:t>
            </w:r>
          </w:p>
        </w:tc>
        <w:tc>
          <w:tcPr>
            <w:tcW w:w="740" w:type="dxa"/>
            <w:vAlign w:val="bottom"/>
            <w:tcBorders>
              <w:bottom w:val="single" w:sz="8" w:color="656769"/>
            </w:tcBorders>
            <w:gridSpan w:val="3"/>
          </w:tcPr>
          <w:p>
            <w:pPr>
              <w:ind w:left="40"/>
              <w:spacing w:after="0"/>
              <w:rPr>
                <w:sz w:val="20"/>
                <w:szCs w:val="20"/>
                <w:color w:val="auto"/>
              </w:rPr>
            </w:pPr>
            <w:r>
              <w:rPr>
                <w:rFonts w:ascii="Times New Roman" w:cs="Times New Roman" w:eastAsia="Times New Roman" w:hAnsi="Times New Roman"/>
                <w:sz w:val="20"/>
                <w:szCs w:val="20"/>
                <w:color w:val="656769"/>
                <w:w w:val="95"/>
              </w:rPr>
              <w:t>Business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40" w:type="dxa"/>
            <w:vAlign w:val="bottom"/>
            <w:gridSpan w:val="2"/>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86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96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58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9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000" w:type="dxa"/>
            <w:vAlign w:val="bottom"/>
            <w:vMerge w:val="restart"/>
          </w:tcPr>
          <w:p>
            <w:pPr>
              <w:spacing w:after="0"/>
              <w:rPr>
                <w:sz w:val="24"/>
                <w:szCs w:val="24"/>
                <w:color w:val="auto"/>
              </w:rPr>
            </w:pPr>
          </w:p>
        </w:tc>
        <w:tc>
          <w:tcPr>
            <w:tcW w:w="78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760" w:type="dxa"/>
            <w:vAlign w:val="bottom"/>
            <w:gridSpan w:val="4"/>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656769"/>
                <w:w w:val="79"/>
              </w:rPr>
              <w:t>5</w:t>
            </w:r>
          </w:p>
        </w:tc>
        <w:tc>
          <w:tcPr>
            <w:tcW w:w="0" w:type="dxa"/>
            <w:vAlign w:val="bottom"/>
          </w:tcPr>
          <w:p>
            <w:pPr>
              <w:spacing w:after="0"/>
              <w:rPr>
                <w:sz w:val="1"/>
                <w:szCs w:val="1"/>
                <w:color w:val="auto"/>
              </w:rPr>
            </w:pPr>
          </w:p>
        </w:tc>
      </w:tr>
      <w:tr>
        <w:trPr>
          <w:trHeight w:val="25"/>
        </w:trPr>
        <w:tc>
          <w:tcPr>
            <w:tcW w:w="130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656769"/>
                <w:w w:val="98"/>
              </w:rPr>
              <w:t>1A Risk Factors</w:t>
            </w:r>
          </w:p>
        </w:tc>
        <w:tc>
          <w:tcPr>
            <w:tcW w:w="1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100" w:type="dxa"/>
            <w:vAlign w:val="bottom"/>
            <w:tcBorders>
              <w:bottom w:val="single" w:sz="8" w:color="6567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tcBorders>
              <w:bottom w:val="single" w:sz="8" w:color="656769"/>
            </w:tcBorders>
            <w:gridSpan w:val="8"/>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9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98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78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15</w:t>
            </w:r>
          </w:p>
        </w:tc>
        <w:tc>
          <w:tcPr>
            <w:tcW w:w="0" w:type="dxa"/>
            <w:vAlign w:val="bottom"/>
          </w:tcPr>
          <w:p>
            <w:pPr>
              <w:spacing w:after="0"/>
              <w:rPr>
                <w:sz w:val="1"/>
                <w:szCs w:val="1"/>
                <w:color w:val="auto"/>
              </w:rPr>
            </w:pPr>
          </w:p>
        </w:tc>
      </w:tr>
      <w:tr>
        <w:trPr>
          <w:trHeight w:val="25"/>
        </w:trPr>
        <w:tc>
          <w:tcPr>
            <w:tcW w:w="2560" w:type="dxa"/>
            <w:vAlign w:val="bottom"/>
            <w:gridSpan w:val="17"/>
            <w:vMerge w:val="restart"/>
          </w:tcPr>
          <w:p>
            <w:pPr>
              <w:spacing w:after="0"/>
              <w:rPr>
                <w:sz w:val="20"/>
                <w:szCs w:val="20"/>
                <w:color w:val="auto"/>
              </w:rPr>
            </w:pPr>
            <w:r>
              <w:rPr>
                <w:rFonts w:ascii="Times New Roman" w:cs="Times New Roman" w:eastAsia="Times New Roman" w:hAnsi="Times New Roman"/>
                <w:sz w:val="20"/>
                <w:szCs w:val="20"/>
                <w:color w:val="656769"/>
                <w:w w:val="99"/>
              </w:rPr>
              <w:t>1B Unresolved Staff Comments</w:t>
            </w:r>
          </w:p>
        </w:tc>
        <w:tc>
          <w:tcPr>
            <w:tcW w:w="8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60" w:type="dxa"/>
            <w:vAlign w:val="bottom"/>
            <w:tcBorders>
              <w:bottom w:val="single" w:sz="8" w:color="656769"/>
            </w:tcBorders>
            <w:gridSpan w:val="17"/>
            <w:vMerge w:val="continue"/>
          </w:tcPr>
          <w:p>
            <w:pPr>
              <w:spacing w:after="0"/>
              <w:rPr>
                <w:sz w:val="20"/>
                <w:szCs w:val="20"/>
                <w:color w:val="auto"/>
              </w:rPr>
            </w:pPr>
          </w:p>
        </w:tc>
        <w:tc>
          <w:tcPr>
            <w:tcW w:w="8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9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98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78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30</w:t>
            </w:r>
          </w:p>
        </w:tc>
        <w:tc>
          <w:tcPr>
            <w:tcW w:w="0" w:type="dxa"/>
            <w:vAlign w:val="bottom"/>
          </w:tcPr>
          <w:p>
            <w:pPr>
              <w:spacing w:after="0"/>
              <w:rPr>
                <w:sz w:val="1"/>
                <w:szCs w:val="1"/>
                <w:color w:val="auto"/>
              </w:rPr>
            </w:pPr>
          </w:p>
        </w:tc>
      </w:tr>
      <w:tr>
        <w:trPr>
          <w:trHeight w:val="25"/>
        </w:trPr>
        <w:tc>
          <w:tcPr>
            <w:tcW w:w="140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656769"/>
                <w:w w:val="98"/>
              </w:rPr>
              <w:t>1C Cybersecurity</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00" w:type="dxa"/>
            <w:vAlign w:val="bottom"/>
            <w:tcBorders>
              <w:bottom w:val="single" w:sz="8" w:color="656769"/>
            </w:tcBorders>
            <w:gridSpan w:val="9"/>
            <w:vMerge w:val="continue"/>
          </w:tcPr>
          <w:p>
            <w:pPr>
              <w:spacing w:after="0"/>
              <w:rPr>
                <w:sz w:val="20"/>
                <w:szCs w:val="20"/>
                <w:color w:val="auto"/>
              </w:rPr>
            </w:pPr>
          </w:p>
        </w:tc>
        <w:tc>
          <w:tcPr>
            <w:tcW w:w="24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240" w:type="dxa"/>
            <w:vAlign w:val="bottom"/>
            <w:gridSpan w:val="2"/>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140" w:type="dxa"/>
            <w:vAlign w:val="bottom"/>
            <w:gridSpan w:val="2"/>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9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98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78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30</w:t>
            </w:r>
          </w:p>
        </w:tc>
        <w:tc>
          <w:tcPr>
            <w:tcW w:w="0" w:type="dxa"/>
            <w:vAlign w:val="bottom"/>
          </w:tcPr>
          <w:p>
            <w:pPr>
              <w:spacing w:after="0"/>
              <w:rPr>
                <w:sz w:val="1"/>
                <w:szCs w:val="1"/>
                <w:color w:val="auto"/>
              </w:rPr>
            </w:pPr>
          </w:p>
        </w:tc>
      </w:tr>
      <w:tr>
        <w:trPr>
          <w:trHeight w:val="25"/>
        </w:trPr>
        <w:tc>
          <w:tcPr>
            <w:tcW w:w="3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0" w:type="dxa"/>
            <w:vAlign w:val="bottom"/>
            <w:tcBorders>
              <w:bottom w:val="single" w:sz="8" w:color="656769"/>
            </w:tcBorders>
          </w:tcPr>
          <w:p>
            <w:pPr>
              <w:spacing w:after="0" w:line="224" w:lineRule="exact"/>
              <w:rPr>
                <w:sz w:val="20"/>
                <w:szCs w:val="20"/>
                <w:color w:val="auto"/>
              </w:rPr>
            </w:pPr>
            <w:r>
              <w:rPr>
                <w:rFonts w:ascii="Times New Roman" w:cs="Times New Roman" w:eastAsia="Times New Roman" w:hAnsi="Times New Roman"/>
                <w:sz w:val="20"/>
                <w:szCs w:val="20"/>
                <w:color w:val="656769"/>
                <w:w w:val="99"/>
              </w:rPr>
              <w:t>2</w:t>
            </w:r>
          </w:p>
        </w:tc>
        <w:tc>
          <w:tcPr>
            <w:tcW w:w="840" w:type="dxa"/>
            <w:vAlign w:val="bottom"/>
            <w:tcBorders>
              <w:bottom w:val="single" w:sz="8" w:color="656769"/>
            </w:tcBorders>
            <w:gridSpan w:val="4"/>
          </w:tcPr>
          <w:p>
            <w:pPr>
              <w:ind w:left="40"/>
              <w:spacing w:after="0" w:line="224" w:lineRule="exact"/>
              <w:rPr>
                <w:sz w:val="20"/>
                <w:szCs w:val="20"/>
                <w:color w:val="auto"/>
              </w:rPr>
            </w:pPr>
            <w:r>
              <w:rPr>
                <w:rFonts w:ascii="Times New Roman" w:cs="Times New Roman" w:eastAsia="Times New Roman" w:hAnsi="Times New Roman"/>
                <w:sz w:val="20"/>
                <w:szCs w:val="20"/>
                <w:color w:val="656769"/>
                <w:w w:val="96"/>
              </w:rPr>
              <w:t>Properties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3"/>
          </w:tcPr>
          <w:p>
            <w:pPr>
              <w:spacing w:after="0"/>
              <w:rPr>
                <w:sz w:val="20"/>
                <w:szCs w:val="20"/>
                <w:color w:val="auto"/>
              </w:rPr>
            </w:pPr>
          </w:p>
        </w:tc>
        <w:tc>
          <w:tcPr>
            <w:tcW w:w="100" w:type="dxa"/>
            <w:vAlign w:val="bottom"/>
            <w:vMerge w:val="restart"/>
          </w:tcPr>
          <w:p>
            <w:pPr>
              <w:spacing w:after="0"/>
              <w:rPr>
                <w:sz w:val="20"/>
                <w:szCs w:val="20"/>
                <w:color w:val="auto"/>
              </w:rPr>
            </w:pPr>
          </w:p>
        </w:tc>
        <w:tc>
          <w:tcPr>
            <w:tcW w:w="240" w:type="dxa"/>
            <w:vAlign w:val="bottom"/>
            <w:gridSpan w:val="2"/>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140" w:type="dxa"/>
            <w:vAlign w:val="bottom"/>
            <w:gridSpan w:val="2"/>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9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98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78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32</w:t>
            </w:r>
          </w:p>
        </w:tc>
        <w:tc>
          <w:tcPr>
            <w:tcW w:w="0" w:type="dxa"/>
            <w:vAlign w:val="bottom"/>
          </w:tcPr>
          <w:p>
            <w:pPr>
              <w:spacing w:after="0"/>
              <w:rPr>
                <w:sz w:val="1"/>
                <w:szCs w:val="1"/>
                <w:color w:val="auto"/>
              </w:rPr>
            </w:pPr>
          </w:p>
        </w:tc>
      </w:tr>
      <w:tr>
        <w:trPr>
          <w:trHeight w:val="25"/>
        </w:trPr>
        <w:tc>
          <w:tcPr>
            <w:tcW w:w="120" w:type="dxa"/>
            <w:vAlign w:val="bottom"/>
            <w:vMerge w:val="restart"/>
          </w:tcPr>
          <w:p>
            <w:pPr>
              <w:spacing w:after="0"/>
              <w:rPr>
                <w:sz w:val="20"/>
                <w:szCs w:val="20"/>
                <w:color w:val="auto"/>
              </w:rPr>
            </w:pPr>
            <w:r>
              <w:rPr>
                <w:rFonts w:ascii="Times New Roman" w:cs="Times New Roman" w:eastAsia="Times New Roman" w:hAnsi="Times New Roman"/>
                <w:sz w:val="20"/>
                <w:szCs w:val="20"/>
                <w:color w:val="656769"/>
                <w:w w:val="99"/>
              </w:rPr>
              <w:t>3</w:t>
            </w:r>
          </w:p>
        </w:tc>
        <w:tc>
          <w:tcPr>
            <w:tcW w:w="1520" w:type="dxa"/>
            <w:vAlign w:val="bottom"/>
            <w:gridSpan w:val="9"/>
            <w:vMerge w:val="restart"/>
          </w:tcPr>
          <w:p>
            <w:pPr>
              <w:ind w:left="40"/>
              <w:spacing w:after="0"/>
              <w:rPr>
                <w:sz w:val="20"/>
                <w:szCs w:val="20"/>
                <w:color w:val="auto"/>
              </w:rPr>
            </w:pPr>
            <w:r>
              <w:rPr>
                <w:rFonts w:ascii="Times New Roman" w:cs="Times New Roman" w:eastAsia="Times New Roman" w:hAnsi="Times New Roman"/>
                <w:sz w:val="20"/>
                <w:szCs w:val="20"/>
                <w:color w:val="656769"/>
                <w:w w:val="98"/>
              </w:rPr>
              <w:t>Legal Proceedings</w:t>
            </w:r>
          </w:p>
        </w:tc>
        <w:tc>
          <w:tcPr>
            <w:tcW w:w="10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Borders>
              <w:bottom w:val="single" w:sz="8" w:color="656769"/>
            </w:tcBorders>
            <w:vMerge w:val="continue"/>
          </w:tcPr>
          <w:p>
            <w:pPr>
              <w:spacing w:after="0"/>
              <w:rPr>
                <w:sz w:val="20"/>
                <w:szCs w:val="20"/>
                <w:color w:val="auto"/>
              </w:rPr>
            </w:pPr>
          </w:p>
        </w:tc>
        <w:tc>
          <w:tcPr>
            <w:tcW w:w="1520" w:type="dxa"/>
            <w:vAlign w:val="bottom"/>
            <w:tcBorders>
              <w:bottom w:val="single" w:sz="8" w:color="656769"/>
            </w:tcBorders>
            <w:gridSpan w:val="9"/>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140" w:type="dxa"/>
            <w:vAlign w:val="bottom"/>
            <w:gridSpan w:val="2"/>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96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80" w:type="dxa"/>
            <w:vAlign w:val="bottom"/>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98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78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32</w:t>
            </w:r>
          </w:p>
        </w:tc>
        <w:tc>
          <w:tcPr>
            <w:tcW w:w="0" w:type="dxa"/>
            <w:vAlign w:val="bottom"/>
          </w:tcPr>
          <w:p>
            <w:pPr>
              <w:spacing w:after="0"/>
              <w:rPr>
                <w:sz w:val="1"/>
                <w:szCs w:val="1"/>
                <w:color w:val="auto"/>
              </w:rPr>
            </w:pPr>
          </w:p>
        </w:tc>
      </w:tr>
      <w:tr>
        <w:trPr>
          <w:trHeight w:val="25"/>
        </w:trPr>
        <w:tc>
          <w:tcPr>
            <w:tcW w:w="120" w:type="dxa"/>
            <w:vAlign w:val="bottom"/>
            <w:vMerge w:val="restart"/>
          </w:tcPr>
          <w:p>
            <w:pPr>
              <w:spacing w:after="0"/>
              <w:rPr>
                <w:sz w:val="20"/>
                <w:szCs w:val="20"/>
                <w:color w:val="auto"/>
              </w:rPr>
            </w:pPr>
            <w:r>
              <w:rPr>
                <w:rFonts w:ascii="Times New Roman" w:cs="Times New Roman" w:eastAsia="Times New Roman" w:hAnsi="Times New Roman"/>
                <w:sz w:val="20"/>
                <w:szCs w:val="20"/>
                <w:color w:val="656769"/>
                <w:w w:val="99"/>
              </w:rPr>
              <w:t>4</w:t>
            </w:r>
          </w:p>
        </w:tc>
        <w:tc>
          <w:tcPr>
            <w:tcW w:w="2000" w:type="dxa"/>
            <w:vAlign w:val="bottom"/>
            <w:gridSpan w:val="13"/>
            <w:vMerge w:val="restart"/>
          </w:tcPr>
          <w:p>
            <w:pPr>
              <w:ind w:left="40"/>
              <w:spacing w:after="0"/>
              <w:rPr>
                <w:sz w:val="20"/>
                <w:szCs w:val="20"/>
                <w:color w:val="auto"/>
              </w:rPr>
            </w:pPr>
            <w:r>
              <w:rPr>
                <w:rFonts w:ascii="Times New Roman" w:cs="Times New Roman" w:eastAsia="Times New Roman" w:hAnsi="Times New Roman"/>
                <w:sz w:val="20"/>
                <w:szCs w:val="20"/>
                <w:color w:val="656769"/>
                <w:w w:val="98"/>
              </w:rPr>
              <w:t>Mine Safety Disclosures</w:t>
            </w: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Borders>
              <w:bottom w:val="single" w:sz="8" w:color="656769"/>
            </w:tcBorders>
            <w:vMerge w:val="continue"/>
          </w:tcPr>
          <w:p>
            <w:pPr>
              <w:spacing w:after="0"/>
              <w:rPr>
                <w:sz w:val="20"/>
                <w:szCs w:val="20"/>
                <w:color w:val="auto"/>
              </w:rPr>
            </w:pPr>
          </w:p>
        </w:tc>
        <w:tc>
          <w:tcPr>
            <w:tcW w:w="2000" w:type="dxa"/>
            <w:vAlign w:val="bottom"/>
            <w:tcBorders>
              <w:bottom w:val="single" w:sz="8" w:color="656769"/>
            </w:tcBorders>
            <w:gridSpan w:val="13"/>
            <w:vMerge w:val="continue"/>
          </w:tcPr>
          <w:p>
            <w:pPr>
              <w:spacing w:after="0"/>
              <w:rPr>
                <w:sz w:val="20"/>
                <w:szCs w:val="20"/>
                <w:color w:val="auto"/>
              </w:rPr>
            </w:pPr>
          </w:p>
        </w:tc>
        <w:tc>
          <w:tcPr>
            <w:tcW w:w="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140" w:type="dxa"/>
            <w:vAlign w:val="bottom"/>
            <w:gridSpan w:val="2"/>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656769"/>
              </w:rPr>
              <w:t>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440" w:type="dxa"/>
            <w:vAlign w:val="bottom"/>
            <w:gridSpan w:val="9"/>
            <w:vMerge w:val="restart"/>
          </w:tcPr>
          <w:p>
            <w:pPr>
              <w:jc w:val="center"/>
              <w:ind w:right="2980"/>
              <w:spacing w:after="0"/>
              <w:rPr>
                <w:sz w:val="20"/>
                <w:szCs w:val="20"/>
                <w:color w:val="auto"/>
              </w:rPr>
            </w:pPr>
            <w:r>
              <w:rPr>
                <w:rFonts w:ascii="Times New Roman" w:cs="Times New Roman" w:eastAsia="Times New Roman" w:hAnsi="Times New Roman"/>
                <w:sz w:val="20"/>
                <w:szCs w:val="20"/>
                <w:b w:val="1"/>
                <w:bCs w:val="1"/>
                <w:color w:val="454546"/>
                <w:w w:val="98"/>
              </w:rPr>
              <w:t>PART II</w:t>
            </w:r>
          </w:p>
        </w:tc>
        <w:tc>
          <w:tcPr>
            <w:tcW w:w="8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9"/>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656769"/>
            </w:tcBorders>
          </w:tcPr>
          <w:p>
            <w:pPr>
              <w:spacing w:after="0"/>
              <w:rPr>
                <w:sz w:val="24"/>
                <w:szCs w:val="24"/>
                <w:color w:val="auto"/>
              </w:rPr>
            </w:pPr>
          </w:p>
        </w:tc>
        <w:tc>
          <w:tcPr>
            <w:tcW w:w="20" w:type="dxa"/>
            <w:vAlign w:val="bottom"/>
            <w:tcBorders>
              <w:top w:val="single" w:sz="8" w:color="656769"/>
            </w:tcBorders>
          </w:tcPr>
          <w:p>
            <w:pPr>
              <w:spacing w:after="0"/>
              <w:rPr>
                <w:sz w:val="24"/>
                <w:szCs w:val="24"/>
                <w:color w:val="auto"/>
              </w:rPr>
            </w:pPr>
          </w:p>
        </w:tc>
        <w:tc>
          <w:tcPr>
            <w:tcW w:w="100" w:type="dxa"/>
            <w:vAlign w:val="bottom"/>
            <w:tcBorders>
              <w:top w:val="single" w:sz="8" w:color="656769"/>
            </w:tcBorders>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20" w:type="dxa"/>
            <w:vAlign w:val="bottom"/>
            <w:tcBorders>
              <w:bottom w:val="single" w:sz="8" w:color="656769"/>
            </w:tcBorders>
          </w:tcPr>
          <w:p>
            <w:pPr>
              <w:spacing w:after="0"/>
              <w:rPr>
                <w:sz w:val="20"/>
                <w:szCs w:val="20"/>
                <w:color w:val="auto"/>
              </w:rPr>
            </w:pPr>
            <w:r>
              <w:rPr>
                <w:rFonts w:ascii="Times New Roman" w:cs="Times New Roman" w:eastAsia="Times New Roman" w:hAnsi="Times New Roman"/>
                <w:sz w:val="20"/>
                <w:szCs w:val="20"/>
                <w:color w:val="656769"/>
                <w:w w:val="99"/>
              </w:rPr>
              <w:t>5</w:t>
            </w:r>
          </w:p>
        </w:tc>
        <w:tc>
          <w:tcPr>
            <w:tcW w:w="9000" w:type="dxa"/>
            <w:vAlign w:val="bottom"/>
            <w:tcBorders>
              <w:bottom w:val="single" w:sz="8" w:color="656769"/>
            </w:tcBorders>
            <w:gridSpan w:val="27"/>
          </w:tcPr>
          <w:p>
            <w:pPr>
              <w:ind w:left="40"/>
              <w:spacing w:after="0"/>
              <w:rPr>
                <w:sz w:val="20"/>
                <w:szCs w:val="20"/>
                <w:color w:val="auto"/>
              </w:rPr>
            </w:pPr>
            <w:r>
              <w:rPr>
                <w:rFonts w:ascii="Times New Roman" w:cs="Times New Roman" w:eastAsia="Times New Roman" w:hAnsi="Times New Roman"/>
                <w:sz w:val="20"/>
                <w:szCs w:val="20"/>
                <w:color w:val="656769"/>
                <w:w w:val="99"/>
              </w:rPr>
              <w:t>Market for Registrant's Common Equity, Related Stockholder Matters and Issuer Purchases of Equity Securities</w:t>
            </w:r>
          </w:p>
        </w:tc>
        <w:tc>
          <w:tcPr>
            <w:tcW w:w="160" w:type="dxa"/>
            <w:vAlign w:val="bottom"/>
            <w:vMerge w:val="restart"/>
          </w:tcPr>
          <w:p>
            <w:pPr>
              <w:spacing w:after="0"/>
              <w:rPr>
                <w:sz w:val="24"/>
                <w:szCs w:val="24"/>
                <w:color w:val="auto"/>
              </w:rPr>
            </w:pPr>
          </w:p>
        </w:tc>
        <w:tc>
          <w:tcPr>
            <w:tcW w:w="660" w:type="dxa"/>
            <w:vAlign w:val="bottom"/>
            <w:gridSpan w:val="2"/>
            <w:vMerge w:val="restart"/>
          </w:tcPr>
          <w:p>
            <w:pPr>
              <w:spacing w:after="0"/>
              <w:rPr>
                <w:sz w:val="24"/>
                <w:szCs w:val="24"/>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33</w:t>
            </w:r>
          </w:p>
        </w:tc>
        <w:tc>
          <w:tcPr>
            <w:tcW w:w="0" w:type="dxa"/>
            <w:vAlign w:val="bottom"/>
          </w:tcPr>
          <w:p>
            <w:pPr>
              <w:spacing w:after="0"/>
              <w:rPr>
                <w:sz w:val="1"/>
                <w:szCs w:val="1"/>
                <w:color w:val="auto"/>
              </w:rPr>
            </w:pPr>
          </w:p>
        </w:tc>
      </w:tr>
      <w:tr>
        <w:trPr>
          <w:trHeight w:val="25"/>
        </w:trPr>
        <w:tc>
          <w:tcPr>
            <w:tcW w:w="120" w:type="dxa"/>
            <w:vAlign w:val="bottom"/>
            <w:vMerge w:val="restart"/>
          </w:tcPr>
          <w:p>
            <w:pPr>
              <w:spacing w:after="0"/>
              <w:rPr>
                <w:sz w:val="20"/>
                <w:szCs w:val="20"/>
                <w:color w:val="auto"/>
              </w:rPr>
            </w:pPr>
            <w:r>
              <w:rPr>
                <w:rFonts w:ascii="Times New Roman" w:cs="Times New Roman" w:eastAsia="Times New Roman" w:hAnsi="Times New Roman"/>
                <w:sz w:val="20"/>
                <w:szCs w:val="20"/>
                <w:color w:val="656769"/>
                <w:w w:val="99"/>
              </w:rPr>
              <w:t>6</w:t>
            </w:r>
          </w:p>
        </w:tc>
        <w:tc>
          <w:tcPr>
            <w:tcW w:w="900" w:type="dxa"/>
            <w:vAlign w:val="bottom"/>
            <w:gridSpan w:val="5"/>
            <w:vMerge w:val="restart"/>
          </w:tcPr>
          <w:p>
            <w:pPr>
              <w:ind w:left="40"/>
              <w:spacing w:after="0"/>
              <w:rPr>
                <w:sz w:val="20"/>
                <w:szCs w:val="20"/>
                <w:color w:val="auto"/>
              </w:rPr>
            </w:pPr>
            <w:r>
              <w:rPr>
                <w:rFonts w:ascii="Times New Roman" w:cs="Times New Roman" w:eastAsia="Times New Roman" w:hAnsi="Times New Roman"/>
                <w:sz w:val="20"/>
                <w:szCs w:val="20"/>
                <w:color w:val="656769"/>
                <w:w w:val="95"/>
              </w:rPr>
              <w:t>[Reserved]</w:t>
            </w: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Borders>
              <w:bottom w:val="single" w:sz="8" w:color="656769"/>
            </w:tcBorders>
            <w:vMerge w:val="continue"/>
          </w:tcPr>
          <w:p>
            <w:pPr>
              <w:spacing w:after="0"/>
              <w:rPr>
                <w:sz w:val="20"/>
                <w:szCs w:val="20"/>
                <w:color w:val="auto"/>
              </w:rPr>
            </w:pPr>
          </w:p>
        </w:tc>
        <w:tc>
          <w:tcPr>
            <w:tcW w:w="900" w:type="dxa"/>
            <w:vAlign w:val="bottom"/>
            <w:tcBorders>
              <w:bottom w:val="single" w:sz="8" w:color="656769"/>
            </w:tcBorders>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4"/>
          </w:tcPr>
          <w:p>
            <w:pPr>
              <w:spacing w:after="0"/>
              <w:rPr>
                <w:sz w:val="20"/>
                <w:szCs w:val="20"/>
                <w:color w:val="auto"/>
              </w:rPr>
            </w:pPr>
          </w:p>
        </w:tc>
        <w:tc>
          <w:tcPr>
            <w:tcW w:w="240" w:type="dxa"/>
            <w:vAlign w:val="bottom"/>
            <w:gridSpan w:val="2"/>
          </w:tcPr>
          <w:p>
            <w:pPr>
              <w:spacing w:after="0"/>
              <w:rPr>
                <w:sz w:val="20"/>
                <w:szCs w:val="20"/>
                <w:color w:val="auto"/>
              </w:rPr>
            </w:pPr>
          </w:p>
        </w:tc>
        <w:tc>
          <w:tcPr>
            <w:tcW w:w="2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33</w:t>
            </w:r>
          </w:p>
        </w:tc>
        <w:tc>
          <w:tcPr>
            <w:tcW w:w="0" w:type="dxa"/>
            <w:vAlign w:val="bottom"/>
          </w:tcPr>
          <w:p>
            <w:pPr>
              <w:spacing w:after="0"/>
              <w:rPr>
                <w:sz w:val="1"/>
                <w:szCs w:val="1"/>
                <w:color w:val="auto"/>
              </w:rPr>
            </w:pPr>
          </w:p>
        </w:tc>
      </w:tr>
      <w:tr>
        <w:trPr>
          <w:trHeight w:val="25"/>
        </w:trPr>
        <w:tc>
          <w:tcPr>
            <w:tcW w:w="120" w:type="dxa"/>
            <w:vAlign w:val="bottom"/>
            <w:vMerge w:val="restart"/>
          </w:tcPr>
          <w:p>
            <w:pPr>
              <w:spacing w:after="0"/>
              <w:rPr>
                <w:sz w:val="20"/>
                <w:szCs w:val="20"/>
                <w:color w:val="auto"/>
              </w:rPr>
            </w:pPr>
            <w:r>
              <w:rPr>
                <w:rFonts w:ascii="Times New Roman" w:cs="Times New Roman" w:eastAsia="Times New Roman" w:hAnsi="Times New Roman"/>
                <w:sz w:val="20"/>
                <w:szCs w:val="20"/>
                <w:color w:val="656769"/>
                <w:w w:val="99"/>
              </w:rPr>
              <w:t>7</w:t>
            </w:r>
          </w:p>
        </w:tc>
        <w:tc>
          <w:tcPr>
            <w:tcW w:w="7180" w:type="dxa"/>
            <w:vAlign w:val="bottom"/>
            <w:gridSpan w:val="24"/>
            <w:vMerge w:val="restart"/>
          </w:tcPr>
          <w:p>
            <w:pPr>
              <w:ind w:left="40"/>
              <w:spacing w:after="0"/>
              <w:rPr>
                <w:sz w:val="20"/>
                <w:szCs w:val="20"/>
                <w:color w:val="auto"/>
              </w:rPr>
            </w:pPr>
            <w:r>
              <w:rPr>
                <w:rFonts w:ascii="Times New Roman" w:cs="Times New Roman" w:eastAsia="Times New Roman" w:hAnsi="Times New Roman"/>
                <w:sz w:val="20"/>
                <w:szCs w:val="20"/>
                <w:color w:val="656769"/>
                <w:w w:val="99"/>
              </w:rPr>
              <w:t>Management's Discussion and Analysis of Financial Condition and Results of Operations</w:t>
            </w: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Borders>
              <w:bottom w:val="single" w:sz="8" w:color="656769"/>
            </w:tcBorders>
            <w:vMerge w:val="continue"/>
          </w:tcPr>
          <w:p>
            <w:pPr>
              <w:spacing w:after="0"/>
              <w:rPr>
                <w:sz w:val="20"/>
                <w:szCs w:val="20"/>
                <w:color w:val="auto"/>
              </w:rPr>
            </w:pPr>
          </w:p>
        </w:tc>
        <w:tc>
          <w:tcPr>
            <w:tcW w:w="7180" w:type="dxa"/>
            <w:vAlign w:val="bottom"/>
            <w:tcBorders>
              <w:bottom w:val="single" w:sz="8" w:color="656769"/>
            </w:tcBorders>
            <w:gridSpan w:val="24"/>
            <w:vMerge w:val="continue"/>
          </w:tcPr>
          <w:p>
            <w:pPr>
              <w:spacing w:after="0"/>
              <w:rPr>
                <w:sz w:val="20"/>
                <w:szCs w:val="20"/>
                <w:color w:val="auto"/>
              </w:rPr>
            </w:pPr>
          </w:p>
        </w:tc>
        <w:tc>
          <w:tcPr>
            <w:tcW w:w="40" w:type="dxa"/>
            <w:vAlign w:val="bottom"/>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34</w:t>
            </w:r>
          </w:p>
        </w:tc>
        <w:tc>
          <w:tcPr>
            <w:tcW w:w="0" w:type="dxa"/>
            <w:vAlign w:val="bottom"/>
          </w:tcPr>
          <w:p>
            <w:pPr>
              <w:spacing w:after="0"/>
              <w:rPr>
                <w:sz w:val="1"/>
                <w:szCs w:val="1"/>
                <w:color w:val="auto"/>
              </w:rPr>
            </w:pPr>
          </w:p>
        </w:tc>
      </w:tr>
      <w:tr>
        <w:trPr>
          <w:trHeight w:val="25"/>
        </w:trPr>
        <w:tc>
          <w:tcPr>
            <w:tcW w:w="5140" w:type="dxa"/>
            <w:vAlign w:val="bottom"/>
            <w:gridSpan w:val="22"/>
            <w:vMerge w:val="restart"/>
          </w:tcPr>
          <w:p>
            <w:pPr>
              <w:spacing w:after="0"/>
              <w:rPr>
                <w:sz w:val="20"/>
                <w:szCs w:val="20"/>
                <w:color w:val="auto"/>
              </w:rPr>
            </w:pPr>
            <w:r>
              <w:rPr>
                <w:rFonts w:ascii="Times New Roman" w:cs="Times New Roman" w:eastAsia="Times New Roman" w:hAnsi="Times New Roman"/>
                <w:sz w:val="20"/>
                <w:szCs w:val="20"/>
                <w:color w:val="656769"/>
                <w:w w:val="99"/>
              </w:rPr>
              <w:t>7A Quantitative and Qualitative Disclosures About Market Risk</w:t>
            </w: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40" w:type="dxa"/>
            <w:vAlign w:val="bottom"/>
            <w:tcBorders>
              <w:bottom w:val="single" w:sz="8" w:color="656769"/>
            </w:tcBorders>
            <w:gridSpan w:val="22"/>
            <w:vMerge w:val="continue"/>
          </w:tcPr>
          <w:p>
            <w:pPr>
              <w:spacing w:after="0"/>
              <w:rPr>
                <w:sz w:val="20"/>
                <w:szCs w:val="20"/>
                <w:color w:val="auto"/>
              </w:rPr>
            </w:pPr>
          </w:p>
        </w:tc>
        <w:tc>
          <w:tcPr>
            <w:tcW w:w="580" w:type="dxa"/>
            <w:vAlign w:val="bottom"/>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1020" w:type="dxa"/>
            <w:vAlign w:val="bottom"/>
            <w:gridSpan w:val="2"/>
            <w:vMerge w:val="restart"/>
          </w:tcPr>
          <w:p>
            <w:pPr>
              <w:spacing w:after="0"/>
              <w:rPr>
                <w:sz w:val="20"/>
                <w:szCs w:val="20"/>
                <w:color w:val="auto"/>
              </w:rPr>
            </w:pPr>
          </w:p>
        </w:tc>
        <w:tc>
          <w:tcPr>
            <w:tcW w:w="1000" w:type="dxa"/>
            <w:vAlign w:val="bottom"/>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41</w:t>
            </w:r>
          </w:p>
        </w:tc>
        <w:tc>
          <w:tcPr>
            <w:tcW w:w="0" w:type="dxa"/>
            <w:vAlign w:val="bottom"/>
          </w:tcPr>
          <w:p>
            <w:pPr>
              <w:spacing w:after="0"/>
              <w:rPr>
                <w:sz w:val="1"/>
                <w:szCs w:val="1"/>
                <w:color w:val="auto"/>
              </w:rPr>
            </w:pPr>
          </w:p>
        </w:tc>
      </w:tr>
      <w:tr>
        <w:trPr>
          <w:trHeight w:val="25"/>
        </w:trPr>
        <w:tc>
          <w:tcPr>
            <w:tcW w:w="36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0" w:type="dxa"/>
            <w:vAlign w:val="bottom"/>
            <w:tcBorders>
              <w:bottom w:val="single" w:sz="8" w:color="656769"/>
            </w:tcBorders>
          </w:tcPr>
          <w:p>
            <w:pPr>
              <w:spacing w:after="0" w:line="224" w:lineRule="exact"/>
              <w:rPr>
                <w:sz w:val="20"/>
                <w:szCs w:val="20"/>
                <w:color w:val="auto"/>
              </w:rPr>
            </w:pPr>
            <w:r>
              <w:rPr>
                <w:rFonts w:ascii="Times New Roman" w:cs="Times New Roman" w:eastAsia="Times New Roman" w:hAnsi="Times New Roman"/>
                <w:sz w:val="20"/>
                <w:szCs w:val="20"/>
                <w:color w:val="656769"/>
                <w:w w:val="99"/>
              </w:rPr>
              <w:t>8</w:t>
            </w:r>
          </w:p>
        </w:tc>
        <w:tc>
          <w:tcPr>
            <w:tcW w:w="3720" w:type="dxa"/>
            <w:vAlign w:val="bottom"/>
            <w:tcBorders>
              <w:bottom w:val="single" w:sz="8" w:color="656769"/>
            </w:tcBorders>
            <w:gridSpan w:val="19"/>
          </w:tcPr>
          <w:p>
            <w:pPr>
              <w:ind w:left="40"/>
              <w:spacing w:after="0" w:line="224" w:lineRule="exact"/>
              <w:rPr>
                <w:sz w:val="20"/>
                <w:szCs w:val="20"/>
                <w:color w:val="auto"/>
              </w:rPr>
            </w:pPr>
            <w:r>
              <w:rPr>
                <w:rFonts w:ascii="Times New Roman" w:cs="Times New Roman" w:eastAsia="Times New Roman" w:hAnsi="Times New Roman"/>
                <w:sz w:val="20"/>
                <w:szCs w:val="20"/>
                <w:color w:val="656769"/>
                <w:w w:val="98"/>
              </w:rPr>
              <w:t>Financial Statements and Supplementary Data</w:t>
            </w:r>
          </w:p>
        </w:tc>
        <w:tc>
          <w:tcPr>
            <w:tcW w:w="96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000" w:type="dxa"/>
            <w:vAlign w:val="bottom"/>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42</w:t>
            </w:r>
          </w:p>
        </w:tc>
        <w:tc>
          <w:tcPr>
            <w:tcW w:w="0" w:type="dxa"/>
            <w:vAlign w:val="bottom"/>
          </w:tcPr>
          <w:p>
            <w:pPr>
              <w:spacing w:after="0"/>
              <w:rPr>
                <w:sz w:val="1"/>
                <w:szCs w:val="1"/>
                <w:color w:val="auto"/>
              </w:rPr>
            </w:pPr>
          </w:p>
        </w:tc>
      </w:tr>
      <w:tr>
        <w:trPr>
          <w:trHeight w:val="25"/>
        </w:trPr>
        <w:tc>
          <w:tcPr>
            <w:tcW w:w="120" w:type="dxa"/>
            <w:vAlign w:val="bottom"/>
            <w:vMerge w:val="restart"/>
          </w:tcPr>
          <w:p>
            <w:pPr>
              <w:spacing w:after="0"/>
              <w:rPr>
                <w:sz w:val="20"/>
                <w:szCs w:val="20"/>
                <w:color w:val="auto"/>
              </w:rPr>
            </w:pPr>
            <w:r>
              <w:rPr>
                <w:rFonts w:ascii="Times New Roman" w:cs="Times New Roman" w:eastAsia="Times New Roman" w:hAnsi="Times New Roman"/>
                <w:sz w:val="20"/>
                <w:szCs w:val="20"/>
                <w:color w:val="656769"/>
                <w:w w:val="99"/>
              </w:rPr>
              <w:t>9</w:t>
            </w:r>
          </w:p>
        </w:tc>
        <w:tc>
          <w:tcPr>
            <w:tcW w:w="7220" w:type="dxa"/>
            <w:vAlign w:val="bottom"/>
            <w:gridSpan w:val="25"/>
            <w:vMerge w:val="restart"/>
          </w:tcPr>
          <w:p>
            <w:pPr>
              <w:ind w:left="40"/>
              <w:spacing w:after="0"/>
              <w:rPr>
                <w:sz w:val="20"/>
                <w:szCs w:val="20"/>
                <w:color w:val="auto"/>
              </w:rPr>
            </w:pPr>
            <w:r>
              <w:rPr>
                <w:rFonts w:ascii="Times New Roman" w:cs="Times New Roman" w:eastAsia="Times New Roman" w:hAnsi="Times New Roman"/>
                <w:sz w:val="20"/>
                <w:szCs w:val="20"/>
                <w:color w:val="656769"/>
                <w:w w:val="99"/>
              </w:rPr>
              <w:t>Changes in and Disagreements with Accountants on Accounting and Financial Disclosure</w:t>
            </w:r>
          </w:p>
        </w:tc>
        <w:tc>
          <w:tcPr>
            <w:tcW w:w="1000" w:type="dxa"/>
            <w:vAlign w:val="bottom"/>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Borders>
              <w:bottom w:val="single" w:sz="8" w:color="656769"/>
            </w:tcBorders>
            <w:vMerge w:val="continue"/>
          </w:tcPr>
          <w:p>
            <w:pPr>
              <w:spacing w:after="0"/>
              <w:rPr>
                <w:sz w:val="20"/>
                <w:szCs w:val="20"/>
                <w:color w:val="auto"/>
              </w:rPr>
            </w:pPr>
          </w:p>
        </w:tc>
        <w:tc>
          <w:tcPr>
            <w:tcW w:w="7220" w:type="dxa"/>
            <w:vAlign w:val="bottom"/>
            <w:tcBorders>
              <w:bottom w:val="single" w:sz="8" w:color="656769"/>
            </w:tcBorders>
            <w:gridSpan w:val="25"/>
            <w:vMerge w:val="continue"/>
          </w:tcPr>
          <w:p>
            <w:pPr>
              <w:spacing w:after="0"/>
              <w:rPr>
                <w:sz w:val="20"/>
                <w:szCs w:val="20"/>
                <w:color w:val="auto"/>
              </w:rPr>
            </w:pPr>
          </w:p>
        </w:tc>
        <w:tc>
          <w:tcPr>
            <w:tcW w:w="1000" w:type="dxa"/>
            <w:vAlign w:val="bottom"/>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84</w:t>
            </w:r>
          </w:p>
        </w:tc>
        <w:tc>
          <w:tcPr>
            <w:tcW w:w="0" w:type="dxa"/>
            <w:vAlign w:val="bottom"/>
          </w:tcPr>
          <w:p>
            <w:pPr>
              <w:spacing w:after="0"/>
              <w:rPr>
                <w:sz w:val="1"/>
                <w:szCs w:val="1"/>
                <w:color w:val="auto"/>
              </w:rPr>
            </w:pPr>
          </w:p>
        </w:tc>
      </w:tr>
      <w:tr>
        <w:trPr>
          <w:trHeight w:val="25"/>
        </w:trPr>
        <w:tc>
          <w:tcPr>
            <w:tcW w:w="2280" w:type="dxa"/>
            <w:vAlign w:val="bottom"/>
            <w:gridSpan w:val="16"/>
            <w:vMerge w:val="restart"/>
          </w:tcPr>
          <w:p>
            <w:pPr>
              <w:spacing w:after="0"/>
              <w:rPr>
                <w:sz w:val="20"/>
                <w:szCs w:val="20"/>
                <w:color w:val="auto"/>
              </w:rPr>
            </w:pPr>
            <w:r>
              <w:rPr>
                <w:rFonts w:ascii="Times New Roman" w:cs="Times New Roman" w:eastAsia="Times New Roman" w:hAnsi="Times New Roman"/>
                <w:sz w:val="20"/>
                <w:szCs w:val="20"/>
                <w:color w:val="656769"/>
                <w:w w:val="99"/>
              </w:rPr>
              <w:t>9A Controls and Procedures</w:t>
            </w: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80" w:type="dxa"/>
            <w:vAlign w:val="bottom"/>
            <w:tcBorders>
              <w:bottom w:val="single" w:sz="8" w:color="656769"/>
            </w:tcBorders>
            <w:gridSpan w:val="16"/>
            <w:vMerge w:val="continue"/>
          </w:tcPr>
          <w:p>
            <w:pPr>
              <w:spacing w:after="0"/>
              <w:rPr>
                <w:sz w:val="20"/>
                <w:szCs w:val="20"/>
                <w:color w:val="auto"/>
              </w:rPr>
            </w:pPr>
          </w:p>
        </w:tc>
        <w:tc>
          <w:tcPr>
            <w:tcW w:w="1140" w:type="dxa"/>
            <w:vAlign w:val="bottom"/>
            <w:gridSpan w:val="2"/>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1040" w:type="dxa"/>
            <w:vAlign w:val="bottom"/>
            <w:gridSpan w:val="2"/>
            <w:vMerge w:val="restart"/>
          </w:tcPr>
          <w:p>
            <w:pPr>
              <w:spacing w:after="0"/>
              <w:rPr>
                <w:sz w:val="20"/>
                <w:szCs w:val="20"/>
                <w:color w:val="auto"/>
              </w:rPr>
            </w:pPr>
          </w:p>
        </w:tc>
        <w:tc>
          <w:tcPr>
            <w:tcW w:w="920" w:type="dxa"/>
            <w:vAlign w:val="bottom"/>
            <w:gridSpan w:val="2"/>
            <w:vMerge w:val="restart"/>
          </w:tcPr>
          <w:p>
            <w:pPr>
              <w:spacing w:after="0"/>
              <w:rPr>
                <w:sz w:val="20"/>
                <w:szCs w:val="20"/>
                <w:color w:val="auto"/>
              </w:rPr>
            </w:pPr>
          </w:p>
        </w:tc>
        <w:tc>
          <w:tcPr>
            <w:tcW w:w="600" w:type="dxa"/>
            <w:vAlign w:val="bottom"/>
            <w:vMerge w:val="restart"/>
          </w:tcPr>
          <w:p>
            <w:pPr>
              <w:spacing w:after="0"/>
              <w:rPr>
                <w:sz w:val="20"/>
                <w:szCs w:val="20"/>
                <w:color w:val="auto"/>
              </w:rPr>
            </w:pPr>
          </w:p>
        </w:tc>
        <w:tc>
          <w:tcPr>
            <w:tcW w:w="2020" w:type="dxa"/>
            <w:vAlign w:val="bottom"/>
            <w:gridSpan w:val="3"/>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84</w:t>
            </w:r>
          </w:p>
        </w:tc>
        <w:tc>
          <w:tcPr>
            <w:tcW w:w="0" w:type="dxa"/>
            <w:vAlign w:val="bottom"/>
          </w:tcPr>
          <w:p>
            <w:pPr>
              <w:spacing w:after="0"/>
              <w:rPr>
                <w:sz w:val="1"/>
                <w:szCs w:val="1"/>
                <w:color w:val="auto"/>
              </w:rPr>
            </w:pPr>
          </w:p>
        </w:tc>
      </w:tr>
      <w:tr>
        <w:trPr>
          <w:trHeight w:val="25"/>
        </w:trPr>
        <w:tc>
          <w:tcPr>
            <w:tcW w:w="1740" w:type="dxa"/>
            <w:vAlign w:val="bottom"/>
            <w:gridSpan w:val="11"/>
            <w:vMerge w:val="restart"/>
          </w:tcPr>
          <w:p>
            <w:pPr>
              <w:spacing w:after="0"/>
              <w:rPr>
                <w:sz w:val="20"/>
                <w:szCs w:val="20"/>
                <w:color w:val="auto"/>
              </w:rPr>
            </w:pPr>
            <w:r>
              <w:rPr>
                <w:rFonts w:ascii="Times New Roman" w:cs="Times New Roman" w:eastAsia="Times New Roman" w:hAnsi="Times New Roman"/>
                <w:sz w:val="20"/>
                <w:szCs w:val="20"/>
                <w:color w:val="656769"/>
                <w:w w:val="98"/>
              </w:rPr>
              <w:t>9B Other Information</w:t>
            </w: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2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40" w:type="dxa"/>
            <w:vAlign w:val="bottom"/>
            <w:tcBorders>
              <w:bottom w:val="single" w:sz="8" w:color="656769"/>
            </w:tcBorders>
            <w:gridSpan w:val="11"/>
            <w:vMerge w:val="continue"/>
          </w:tcPr>
          <w:p>
            <w:pPr>
              <w:spacing w:after="0"/>
              <w:rPr>
                <w:sz w:val="20"/>
                <w:szCs w:val="20"/>
                <w:color w:val="auto"/>
              </w:rPr>
            </w:pPr>
          </w:p>
        </w:tc>
        <w:tc>
          <w:tcPr>
            <w:tcW w:w="240" w:type="dxa"/>
            <w:vAlign w:val="bottom"/>
            <w:gridSpan w:val="2"/>
          </w:tcPr>
          <w:p>
            <w:pPr>
              <w:spacing w:after="0"/>
              <w:rPr>
                <w:sz w:val="20"/>
                <w:szCs w:val="20"/>
                <w:color w:val="auto"/>
              </w:rPr>
            </w:pPr>
          </w:p>
        </w:tc>
        <w:tc>
          <w:tcPr>
            <w:tcW w:w="280" w:type="dxa"/>
            <w:vAlign w:val="bottom"/>
            <w:gridSpan w:val="2"/>
          </w:tcPr>
          <w:p>
            <w:pPr>
              <w:spacing w:after="0"/>
              <w:rPr>
                <w:sz w:val="20"/>
                <w:szCs w:val="20"/>
                <w:color w:val="auto"/>
              </w:rPr>
            </w:pPr>
          </w:p>
        </w:tc>
        <w:tc>
          <w:tcPr>
            <w:tcW w:w="116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920" w:type="dxa"/>
            <w:vAlign w:val="bottom"/>
            <w:gridSpan w:val="2"/>
          </w:tcPr>
          <w:p>
            <w:pPr>
              <w:spacing w:after="0"/>
              <w:rPr>
                <w:sz w:val="20"/>
                <w:szCs w:val="20"/>
                <w:color w:val="auto"/>
              </w:rPr>
            </w:pPr>
          </w:p>
        </w:tc>
        <w:tc>
          <w:tcPr>
            <w:tcW w:w="600" w:type="dxa"/>
            <w:vAlign w:val="bottom"/>
            <w:vMerge w:val="restart"/>
          </w:tcPr>
          <w:p>
            <w:pPr>
              <w:spacing w:after="0"/>
              <w:rPr>
                <w:sz w:val="20"/>
                <w:szCs w:val="20"/>
                <w:color w:val="auto"/>
              </w:rPr>
            </w:pPr>
          </w:p>
        </w:tc>
        <w:tc>
          <w:tcPr>
            <w:tcW w:w="2020" w:type="dxa"/>
            <w:vAlign w:val="bottom"/>
            <w:gridSpan w:val="3"/>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86</w:t>
            </w:r>
          </w:p>
        </w:tc>
        <w:tc>
          <w:tcPr>
            <w:tcW w:w="0" w:type="dxa"/>
            <w:vAlign w:val="bottom"/>
          </w:tcPr>
          <w:p>
            <w:pPr>
              <w:spacing w:after="0"/>
              <w:rPr>
                <w:sz w:val="1"/>
                <w:szCs w:val="1"/>
                <w:color w:val="auto"/>
              </w:rPr>
            </w:pPr>
          </w:p>
        </w:tc>
      </w:tr>
      <w:tr>
        <w:trPr>
          <w:trHeight w:val="25"/>
        </w:trPr>
        <w:tc>
          <w:tcPr>
            <w:tcW w:w="5720" w:type="dxa"/>
            <w:vAlign w:val="bottom"/>
            <w:gridSpan w:val="23"/>
            <w:vMerge w:val="restart"/>
          </w:tcPr>
          <w:p>
            <w:pPr>
              <w:spacing w:after="0"/>
              <w:rPr>
                <w:sz w:val="20"/>
                <w:szCs w:val="20"/>
                <w:color w:val="auto"/>
              </w:rPr>
            </w:pPr>
            <w:r>
              <w:rPr>
                <w:rFonts w:ascii="Times New Roman" w:cs="Times New Roman" w:eastAsia="Times New Roman" w:hAnsi="Times New Roman"/>
                <w:sz w:val="20"/>
                <w:szCs w:val="20"/>
                <w:color w:val="656769"/>
                <w:w w:val="99"/>
              </w:rPr>
              <w:t>9C Disclosure Regarding Foreign Jurisdictions that Prevent Inspections</w:t>
            </w:r>
          </w:p>
        </w:tc>
        <w:tc>
          <w:tcPr>
            <w:tcW w:w="600" w:type="dxa"/>
            <w:vAlign w:val="bottom"/>
            <w:vMerge w:val="continue"/>
          </w:tcPr>
          <w:p>
            <w:pPr>
              <w:spacing w:after="0" w:line="20" w:lineRule="exact"/>
              <w:rPr>
                <w:sz w:val="1"/>
                <w:szCs w:val="1"/>
                <w:color w:val="auto"/>
              </w:rPr>
            </w:pPr>
          </w:p>
        </w:tc>
        <w:tc>
          <w:tcPr>
            <w:tcW w:w="202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656769"/>
            </w:tcBorders>
            <w:gridSpan w:val="23"/>
            <w:vMerge w:val="continue"/>
          </w:tcPr>
          <w:p>
            <w:pPr>
              <w:spacing w:after="0"/>
              <w:rPr>
                <w:sz w:val="20"/>
                <w:szCs w:val="20"/>
                <w:color w:val="auto"/>
              </w:rPr>
            </w:pPr>
          </w:p>
        </w:tc>
        <w:tc>
          <w:tcPr>
            <w:tcW w:w="600" w:type="dxa"/>
            <w:vAlign w:val="bottom"/>
            <w:vMerge w:val="restart"/>
          </w:tcPr>
          <w:p>
            <w:pPr>
              <w:spacing w:after="0"/>
              <w:rPr>
                <w:sz w:val="20"/>
                <w:szCs w:val="20"/>
                <w:color w:val="auto"/>
              </w:rPr>
            </w:pPr>
          </w:p>
        </w:tc>
        <w:tc>
          <w:tcPr>
            <w:tcW w:w="2020" w:type="dxa"/>
            <w:vAlign w:val="bottom"/>
            <w:gridSpan w:val="3"/>
            <w:vMerge w:val="restart"/>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656769"/>
              </w:rPr>
              <w:t>86</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2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9"/>
          </w:tcPr>
          <w:p>
            <w:pPr>
              <w:jc w:val="center"/>
              <w:ind w:right="2980"/>
              <w:spacing w:after="0"/>
              <w:rPr>
                <w:sz w:val="20"/>
                <w:szCs w:val="20"/>
                <w:color w:val="auto"/>
              </w:rPr>
            </w:pPr>
            <w:r>
              <w:rPr>
                <w:rFonts w:ascii="Times New Roman" w:cs="Times New Roman" w:eastAsia="Times New Roman" w:hAnsi="Times New Roman"/>
                <w:sz w:val="20"/>
                <w:szCs w:val="20"/>
                <w:b w:val="1"/>
                <w:bCs w:val="1"/>
                <w:color w:val="454546"/>
                <w:w w:val="98"/>
              </w:rPr>
              <w:t>PART III</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656769"/>
            </w:tcBorders>
          </w:tcPr>
          <w:p>
            <w:pPr>
              <w:spacing w:after="0"/>
              <w:rPr>
                <w:sz w:val="24"/>
                <w:szCs w:val="24"/>
                <w:color w:val="auto"/>
              </w:rPr>
            </w:pPr>
          </w:p>
        </w:tc>
        <w:tc>
          <w:tcPr>
            <w:tcW w:w="20" w:type="dxa"/>
            <w:vAlign w:val="bottom"/>
            <w:tcBorders>
              <w:top w:val="single" w:sz="8" w:color="656769"/>
            </w:tcBorders>
          </w:tcPr>
          <w:p>
            <w:pPr>
              <w:spacing w:after="0"/>
              <w:rPr>
                <w:sz w:val="24"/>
                <w:szCs w:val="24"/>
                <w:color w:val="auto"/>
              </w:rPr>
            </w:pPr>
          </w:p>
        </w:tc>
        <w:tc>
          <w:tcPr>
            <w:tcW w:w="100" w:type="dxa"/>
            <w:vAlign w:val="bottom"/>
            <w:tcBorders>
              <w:top w:val="single" w:sz="8" w:color="656769"/>
            </w:tcBorders>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4800" w:type="dxa"/>
            <w:vAlign w:val="bottom"/>
            <w:tcBorders>
              <w:bottom w:val="single" w:sz="8" w:color="656769"/>
            </w:tcBorders>
            <w:gridSpan w:val="21"/>
          </w:tcPr>
          <w:p>
            <w:pPr>
              <w:spacing w:after="0"/>
              <w:rPr>
                <w:sz w:val="20"/>
                <w:szCs w:val="20"/>
                <w:color w:val="auto"/>
              </w:rPr>
            </w:pPr>
            <w:r>
              <w:rPr>
                <w:rFonts w:ascii="Times New Roman" w:cs="Times New Roman" w:eastAsia="Times New Roman" w:hAnsi="Times New Roman"/>
                <w:sz w:val="20"/>
                <w:szCs w:val="20"/>
                <w:color w:val="656769"/>
                <w:w w:val="99"/>
              </w:rPr>
              <w:t>10 Directors, Executive Officers and Corporate Governance</w:t>
            </w:r>
          </w:p>
        </w:tc>
        <w:tc>
          <w:tcPr>
            <w:tcW w:w="1520" w:type="dxa"/>
            <w:vAlign w:val="bottom"/>
            <w:gridSpan w:val="3"/>
            <w:vMerge w:val="restart"/>
          </w:tcPr>
          <w:p>
            <w:pPr>
              <w:spacing w:after="0"/>
              <w:rPr>
                <w:sz w:val="24"/>
                <w:szCs w:val="24"/>
                <w:color w:val="auto"/>
              </w:rPr>
            </w:pPr>
          </w:p>
        </w:tc>
        <w:tc>
          <w:tcPr>
            <w:tcW w:w="2020" w:type="dxa"/>
            <w:vAlign w:val="bottom"/>
            <w:gridSpan w:val="3"/>
            <w:vMerge w:val="restart"/>
          </w:tcPr>
          <w:p>
            <w:pPr>
              <w:spacing w:after="0"/>
              <w:rPr>
                <w:sz w:val="24"/>
                <w:szCs w:val="24"/>
                <w:color w:val="auto"/>
              </w:rPr>
            </w:pPr>
          </w:p>
        </w:tc>
        <w:tc>
          <w:tcPr>
            <w:tcW w:w="940" w:type="dxa"/>
            <w:vAlign w:val="bottom"/>
            <w:gridSpan w:val="2"/>
            <w:vMerge w:val="restart"/>
          </w:tcPr>
          <w:p>
            <w:pPr>
              <w:spacing w:after="0"/>
              <w:rPr>
                <w:sz w:val="24"/>
                <w:szCs w:val="24"/>
                <w:color w:val="auto"/>
              </w:rPr>
            </w:pPr>
          </w:p>
        </w:tc>
        <w:tc>
          <w:tcPr>
            <w:tcW w:w="660" w:type="dxa"/>
            <w:vAlign w:val="bottom"/>
            <w:gridSpan w:val="2"/>
            <w:vMerge w:val="restart"/>
          </w:tcPr>
          <w:p>
            <w:pPr>
              <w:spacing w:after="0"/>
              <w:rPr>
                <w:sz w:val="24"/>
                <w:szCs w:val="24"/>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86</w:t>
            </w:r>
          </w:p>
        </w:tc>
        <w:tc>
          <w:tcPr>
            <w:tcW w:w="0" w:type="dxa"/>
            <w:vAlign w:val="bottom"/>
          </w:tcPr>
          <w:p>
            <w:pPr>
              <w:spacing w:after="0"/>
              <w:rPr>
                <w:sz w:val="1"/>
                <w:szCs w:val="1"/>
                <w:color w:val="auto"/>
              </w:rPr>
            </w:pPr>
          </w:p>
        </w:tc>
      </w:tr>
      <w:tr>
        <w:trPr>
          <w:trHeight w:val="25"/>
        </w:trPr>
        <w:tc>
          <w:tcPr>
            <w:tcW w:w="226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656769"/>
                <w:w w:val="99"/>
              </w:rPr>
              <w:t>11 Executive Compensation</w:t>
            </w: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202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60" w:type="dxa"/>
            <w:vAlign w:val="bottom"/>
            <w:tcBorders>
              <w:bottom w:val="single" w:sz="8" w:color="656769"/>
            </w:tcBorders>
            <w:gridSpan w:val="15"/>
            <w:vMerge w:val="continue"/>
          </w:tcPr>
          <w:p>
            <w:pPr>
              <w:spacing w:after="0"/>
              <w:rPr>
                <w:sz w:val="20"/>
                <w:szCs w:val="20"/>
                <w:color w:val="auto"/>
              </w:rPr>
            </w:pPr>
          </w:p>
        </w:tc>
        <w:tc>
          <w:tcPr>
            <w:tcW w:w="116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5"/>
          </w:tcPr>
          <w:p>
            <w:pPr>
              <w:spacing w:after="0"/>
              <w:rPr>
                <w:sz w:val="20"/>
                <w:szCs w:val="20"/>
                <w:color w:val="auto"/>
              </w:rPr>
            </w:pPr>
          </w:p>
        </w:tc>
        <w:tc>
          <w:tcPr>
            <w:tcW w:w="2020" w:type="dxa"/>
            <w:vAlign w:val="bottom"/>
            <w:gridSpan w:val="3"/>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86</w:t>
            </w:r>
          </w:p>
        </w:tc>
        <w:tc>
          <w:tcPr>
            <w:tcW w:w="0" w:type="dxa"/>
            <w:vAlign w:val="bottom"/>
          </w:tcPr>
          <w:p>
            <w:pPr>
              <w:spacing w:after="0"/>
              <w:rPr>
                <w:sz w:val="1"/>
                <w:szCs w:val="1"/>
                <w:color w:val="auto"/>
              </w:rPr>
            </w:pPr>
          </w:p>
        </w:tc>
      </w:tr>
      <w:tr>
        <w:trPr>
          <w:trHeight w:val="25"/>
        </w:trPr>
        <w:tc>
          <w:tcPr>
            <w:tcW w:w="8340" w:type="dxa"/>
            <w:vAlign w:val="bottom"/>
            <w:gridSpan w:val="27"/>
            <w:vMerge w:val="restart"/>
          </w:tcPr>
          <w:p>
            <w:pPr>
              <w:spacing w:after="0"/>
              <w:rPr>
                <w:sz w:val="20"/>
                <w:szCs w:val="20"/>
                <w:color w:val="auto"/>
              </w:rPr>
            </w:pPr>
            <w:r>
              <w:rPr>
                <w:rFonts w:ascii="Times New Roman" w:cs="Times New Roman" w:eastAsia="Times New Roman" w:hAnsi="Times New Roman"/>
                <w:sz w:val="20"/>
                <w:szCs w:val="20"/>
                <w:color w:val="656769"/>
                <w:w w:val="99"/>
              </w:rPr>
              <w:t>12 Security Ownership of Certain Beneficial Owners and Management and Related Stockholder Matters</w:t>
            </w: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tcBorders>
              <w:bottom w:val="single" w:sz="8" w:color="656769"/>
            </w:tcBorders>
            <w:gridSpan w:val="27"/>
            <w:vMerge w:val="continue"/>
          </w:tcPr>
          <w:p>
            <w:pPr>
              <w:spacing w:after="0"/>
              <w:rPr>
                <w:sz w:val="20"/>
                <w:szCs w:val="20"/>
                <w:color w:val="auto"/>
              </w:rPr>
            </w:pPr>
          </w:p>
        </w:tc>
        <w:tc>
          <w:tcPr>
            <w:tcW w:w="940" w:type="dxa"/>
            <w:vAlign w:val="bottom"/>
            <w:gridSpan w:val="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87</w:t>
            </w:r>
          </w:p>
        </w:tc>
        <w:tc>
          <w:tcPr>
            <w:tcW w:w="0" w:type="dxa"/>
            <w:vAlign w:val="bottom"/>
          </w:tcPr>
          <w:p>
            <w:pPr>
              <w:spacing w:after="0"/>
              <w:rPr>
                <w:sz w:val="1"/>
                <w:szCs w:val="1"/>
                <w:color w:val="auto"/>
              </w:rPr>
            </w:pPr>
          </w:p>
        </w:tc>
      </w:tr>
      <w:tr>
        <w:trPr>
          <w:trHeight w:val="25"/>
        </w:trPr>
        <w:tc>
          <w:tcPr>
            <w:tcW w:w="632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656769"/>
                <w:w w:val="99"/>
              </w:rPr>
              <w:t>13 Certain Relationships and Related Transactions, and Director Independence</w:t>
            </w:r>
          </w:p>
        </w:tc>
        <w:tc>
          <w:tcPr>
            <w:tcW w:w="2020" w:type="dxa"/>
            <w:vAlign w:val="bottom"/>
            <w:gridSpan w:val="3"/>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320" w:type="dxa"/>
            <w:vAlign w:val="bottom"/>
            <w:tcBorders>
              <w:bottom w:val="single" w:sz="8" w:color="656769"/>
            </w:tcBorders>
            <w:gridSpan w:val="24"/>
            <w:vMerge w:val="continue"/>
          </w:tcPr>
          <w:p>
            <w:pPr>
              <w:spacing w:after="0"/>
              <w:rPr>
                <w:sz w:val="20"/>
                <w:szCs w:val="20"/>
                <w:color w:val="auto"/>
              </w:rPr>
            </w:pPr>
          </w:p>
        </w:tc>
        <w:tc>
          <w:tcPr>
            <w:tcW w:w="2960" w:type="dxa"/>
            <w:vAlign w:val="bottom"/>
            <w:gridSpan w:val="5"/>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87</w:t>
            </w:r>
          </w:p>
        </w:tc>
        <w:tc>
          <w:tcPr>
            <w:tcW w:w="0" w:type="dxa"/>
            <w:vAlign w:val="bottom"/>
          </w:tcPr>
          <w:p>
            <w:pPr>
              <w:spacing w:after="0"/>
              <w:rPr>
                <w:sz w:val="1"/>
                <w:szCs w:val="1"/>
                <w:color w:val="auto"/>
              </w:rPr>
            </w:pPr>
          </w:p>
        </w:tc>
      </w:tr>
      <w:tr>
        <w:trPr>
          <w:trHeight w:val="25"/>
        </w:trPr>
        <w:tc>
          <w:tcPr>
            <w:tcW w:w="342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656769"/>
                <w:w w:val="99"/>
              </w:rPr>
              <w:t>14 Principal Accountant Fees and Services</w:t>
            </w: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960" w:type="dxa"/>
            <w:vAlign w:val="bottom"/>
            <w:gridSpan w:val="5"/>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420" w:type="dxa"/>
            <w:vAlign w:val="bottom"/>
            <w:tcBorders>
              <w:bottom w:val="single" w:sz="8" w:color="656769"/>
            </w:tcBorders>
            <w:gridSpan w:val="18"/>
            <w:vMerge w:val="continue"/>
          </w:tcPr>
          <w:p>
            <w:pPr>
              <w:spacing w:after="0"/>
              <w:rPr>
                <w:sz w:val="20"/>
                <w:szCs w:val="20"/>
                <w:color w:val="auto"/>
              </w:rPr>
            </w:pPr>
          </w:p>
        </w:tc>
        <w:tc>
          <w:tcPr>
            <w:tcW w:w="340" w:type="dxa"/>
            <w:vAlign w:val="bottom"/>
            <w:vMerge w:val="restart"/>
          </w:tcPr>
          <w:p>
            <w:pPr>
              <w:spacing w:after="0"/>
              <w:rPr>
                <w:sz w:val="20"/>
                <w:szCs w:val="20"/>
                <w:color w:val="auto"/>
              </w:rPr>
            </w:pPr>
          </w:p>
        </w:tc>
        <w:tc>
          <w:tcPr>
            <w:tcW w:w="5520" w:type="dxa"/>
            <w:vAlign w:val="bottom"/>
            <w:gridSpan w:val="10"/>
            <w:vMerge w:val="restart"/>
          </w:tcPr>
          <w:p>
            <w:pPr>
              <w:spacing w:after="0"/>
              <w:rPr>
                <w:sz w:val="20"/>
                <w:szCs w:val="20"/>
                <w:color w:val="auto"/>
              </w:rPr>
            </w:pP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656769"/>
              </w:rPr>
              <w:t>87</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520" w:type="dxa"/>
            <w:vAlign w:val="bottom"/>
            <w:gridSpan w:val="10"/>
            <w:vMerge w:val="continue"/>
          </w:tcPr>
          <w:p>
            <w:pPr>
              <w:spacing w:after="0" w:line="20" w:lineRule="exact"/>
              <w:rPr>
                <w:sz w:val="1"/>
                <w:szCs w:val="1"/>
                <w:color w:val="auto"/>
              </w:rPr>
            </w:pPr>
          </w:p>
        </w:tc>
        <w:tc>
          <w:tcPr>
            <w:tcW w:w="8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9"/>
          </w:tcPr>
          <w:p>
            <w:pPr>
              <w:jc w:val="center"/>
              <w:ind w:right="2980"/>
              <w:spacing w:after="0"/>
              <w:rPr>
                <w:sz w:val="20"/>
                <w:szCs w:val="20"/>
                <w:color w:val="auto"/>
              </w:rPr>
            </w:pPr>
            <w:r>
              <w:rPr>
                <w:rFonts w:ascii="Times New Roman" w:cs="Times New Roman" w:eastAsia="Times New Roman" w:hAnsi="Times New Roman"/>
                <w:sz w:val="20"/>
                <w:szCs w:val="20"/>
                <w:b w:val="1"/>
                <w:bCs w:val="1"/>
                <w:color w:val="454546"/>
              </w:rPr>
              <w:t>PART IV</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656769"/>
            </w:tcBorders>
          </w:tcPr>
          <w:p>
            <w:pPr>
              <w:spacing w:after="0"/>
              <w:rPr>
                <w:sz w:val="24"/>
                <w:szCs w:val="24"/>
                <w:color w:val="auto"/>
              </w:rPr>
            </w:pPr>
          </w:p>
        </w:tc>
        <w:tc>
          <w:tcPr>
            <w:tcW w:w="20" w:type="dxa"/>
            <w:vAlign w:val="bottom"/>
            <w:tcBorders>
              <w:top w:val="single" w:sz="8" w:color="656769"/>
            </w:tcBorders>
          </w:tcPr>
          <w:p>
            <w:pPr>
              <w:spacing w:after="0"/>
              <w:rPr>
                <w:sz w:val="24"/>
                <w:szCs w:val="24"/>
                <w:color w:val="auto"/>
              </w:rPr>
            </w:pPr>
          </w:p>
        </w:tc>
        <w:tc>
          <w:tcPr>
            <w:tcW w:w="100" w:type="dxa"/>
            <w:vAlign w:val="bottom"/>
            <w:tcBorders>
              <w:top w:val="single" w:sz="8" w:color="656769"/>
            </w:tcBorders>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3760" w:type="dxa"/>
            <w:vAlign w:val="bottom"/>
            <w:tcBorders>
              <w:bottom w:val="single" w:sz="8" w:color="656769"/>
            </w:tcBorders>
            <w:gridSpan w:val="19"/>
          </w:tcPr>
          <w:p>
            <w:pPr>
              <w:spacing w:after="0"/>
              <w:rPr>
                <w:sz w:val="20"/>
                <w:szCs w:val="20"/>
                <w:color w:val="auto"/>
              </w:rPr>
            </w:pPr>
            <w:r>
              <w:rPr>
                <w:rFonts w:ascii="Times New Roman" w:cs="Times New Roman" w:eastAsia="Times New Roman" w:hAnsi="Times New Roman"/>
                <w:sz w:val="20"/>
                <w:szCs w:val="20"/>
                <w:color w:val="656769"/>
                <w:w w:val="99"/>
              </w:rPr>
              <w:t>15 Exhibits and Financial Statement Schedules</w:t>
            </w:r>
          </w:p>
        </w:tc>
        <w:tc>
          <w:tcPr>
            <w:tcW w:w="5520" w:type="dxa"/>
            <w:vAlign w:val="bottom"/>
            <w:gridSpan w:val="10"/>
            <w:vMerge w:val="restart"/>
          </w:tcPr>
          <w:p>
            <w:pPr>
              <w:spacing w:after="0"/>
              <w:rPr>
                <w:sz w:val="24"/>
                <w:szCs w:val="24"/>
                <w:color w:val="auto"/>
              </w:rPr>
            </w:pPr>
          </w:p>
        </w:tc>
        <w:tc>
          <w:tcPr>
            <w:tcW w:w="660" w:type="dxa"/>
            <w:vAlign w:val="bottom"/>
            <w:gridSpan w:val="2"/>
            <w:vMerge w:val="restart"/>
          </w:tcPr>
          <w:p>
            <w:pPr>
              <w:spacing w:after="0"/>
              <w:rPr>
                <w:sz w:val="24"/>
                <w:szCs w:val="24"/>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87</w:t>
            </w:r>
          </w:p>
        </w:tc>
        <w:tc>
          <w:tcPr>
            <w:tcW w:w="0" w:type="dxa"/>
            <w:vAlign w:val="bottom"/>
          </w:tcPr>
          <w:p>
            <w:pPr>
              <w:spacing w:after="0"/>
              <w:rPr>
                <w:sz w:val="1"/>
                <w:szCs w:val="1"/>
                <w:color w:val="auto"/>
              </w:rPr>
            </w:pPr>
          </w:p>
        </w:tc>
      </w:tr>
      <w:tr>
        <w:trPr>
          <w:trHeight w:val="25"/>
        </w:trPr>
        <w:tc>
          <w:tcPr>
            <w:tcW w:w="1980" w:type="dxa"/>
            <w:vAlign w:val="bottom"/>
            <w:gridSpan w:val="13"/>
            <w:vMerge w:val="restart"/>
          </w:tcPr>
          <w:p>
            <w:pPr>
              <w:spacing w:after="0"/>
              <w:rPr>
                <w:sz w:val="20"/>
                <w:szCs w:val="20"/>
                <w:color w:val="auto"/>
              </w:rPr>
            </w:pPr>
            <w:r>
              <w:rPr>
                <w:rFonts w:ascii="Times New Roman" w:cs="Times New Roman" w:eastAsia="Times New Roman" w:hAnsi="Times New Roman"/>
                <w:sz w:val="20"/>
                <w:szCs w:val="20"/>
                <w:color w:val="656769"/>
                <w:w w:val="99"/>
              </w:rPr>
              <w:t>16 Form 10-K Summary</w:t>
            </w:r>
          </w:p>
        </w:tc>
        <w:tc>
          <w:tcPr>
            <w:tcW w:w="1780" w:type="dxa"/>
            <w:vAlign w:val="bottom"/>
            <w:gridSpan w:val="6"/>
          </w:tcPr>
          <w:p>
            <w:pPr>
              <w:spacing w:after="0" w:line="20" w:lineRule="exact"/>
              <w:rPr>
                <w:sz w:val="1"/>
                <w:szCs w:val="1"/>
                <w:color w:val="auto"/>
              </w:rPr>
            </w:pPr>
          </w:p>
        </w:tc>
        <w:tc>
          <w:tcPr>
            <w:tcW w:w="5520" w:type="dxa"/>
            <w:vAlign w:val="bottom"/>
            <w:gridSpan w:val="10"/>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80" w:type="dxa"/>
            <w:vAlign w:val="bottom"/>
            <w:tcBorders>
              <w:bottom w:val="single" w:sz="8" w:color="656769"/>
            </w:tcBorders>
            <w:gridSpan w:val="13"/>
            <w:vMerge w:val="continue"/>
          </w:tcPr>
          <w:p>
            <w:pPr>
              <w:spacing w:after="0"/>
              <w:rPr>
                <w:sz w:val="20"/>
                <w:szCs w:val="20"/>
                <w:color w:val="auto"/>
              </w:rPr>
            </w:pPr>
          </w:p>
        </w:tc>
        <w:tc>
          <w:tcPr>
            <w:tcW w:w="7300" w:type="dxa"/>
            <w:vAlign w:val="bottom"/>
            <w:gridSpan w:val="16"/>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91</w:t>
            </w:r>
          </w:p>
        </w:tc>
        <w:tc>
          <w:tcPr>
            <w:tcW w:w="0" w:type="dxa"/>
            <w:vAlign w:val="bottom"/>
          </w:tcPr>
          <w:p>
            <w:pPr>
              <w:spacing w:after="0"/>
              <w:rPr>
                <w:sz w:val="1"/>
                <w:szCs w:val="1"/>
                <w:color w:val="auto"/>
              </w:rPr>
            </w:pPr>
          </w:p>
        </w:tc>
      </w:tr>
      <w:tr>
        <w:trPr>
          <w:trHeight w:val="25"/>
        </w:trPr>
        <w:tc>
          <w:tcPr>
            <w:tcW w:w="360" w:type="dxa"/>
            <w:vAlign w:val="bottom"/>
            <w:gridSpan w:val="2"/>
          </w:tcPr>
          <w:p>
            <w:pPr>
              <w:spacing w:after="0" w:line="20" w:lineRule="exact"/>
              <w:rPr>
                <w:sz w:val="1"/>
                <w:szCs w:val="1"/>
                <w:color w:val="auto"/>
              </w:rPr>
            </w:pP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656769"/>
                <w:w w:val="97"/>
              </w:rPr>
              <w:t>Signatures</w:t>
            </w:r>
          </w:p>
        </w:tc>
        <w:tc>
          <w:tcPr>
            <w:tcW w:w="780" w:type="dxa"/>
            <w:vAlign w:val="bottom"/>
            <w:gridSpan w:val="6"/>
          </w:tcPr>
          <w:p>
            <w:pPr>
              <w:spacing w:after="0" w:line="20" w:lineRule="exact"/>
              <w:rPr>
                <w:sz w:val="1"/>
                <w:szCs w:val="1"/>
                <w:color w:val="auto"/>
              </w:rPr>
            </w:pPr>
          </w:p>
        </w:tc>
        <w:tc>
          <w:tcPr>
            <w:tcW w:w="7300" w:type="dxa"/>
            <w:vAlign w:val="bottom"/>
            <w:gridSpan w:val="16"/>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bottom w:val="single" w:sz="8" w:color="656769"/>
            </w:tcBorders>
            <w:gridSpan w:val="5"/>
            <w:vMerge w:val="continue"/>
          </w:tcPr>
          <w:p>
            <w:pPr>
              <w:spacing w:after="0"/>
              <w:rPr>
                <w:sz w:val="20"/>
                <w:szCs w:val="20"/>
                <w:color w:val="auto"/>
              </w:rPr>
            </w:pPr>
          </w:p>
        </w:tc>
        <w:tc>
          <w:tcPr>
            <w:tcW w:w="8080" w:type="dxa"/>
            <w:vAlign w:val="bottom"/>
            <w:gridSpan w:val="22"/>
            <w:vMerge w:val="restart"/>
          </w:tcPr>
          <w:p>
            <w:pPr>
              <w:spacing w:after="0"/>
              <w:rPr>
                <w:sz w:val="20"/>
                <w:szCs w:val="20"/>
                <w:color w:val="auto"/>
              </w:rPr>
            </w:pPr>
          </w:p>
        </w:tc>
        <w:tc>
          <w:tcPr>
            <w:tcW w:w="660" w:type="dxa"/>
            <w:vAlign w:val="bottom"/>
            <w:gridSpan w:val="2"/>
            <w:vMerge w:val="restart"/>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92</w:t>
            </w:r>
          </w:p>
        </w:tc>
        <w:tc>
          <w:tcPr>
            <w:tcW w:w="0" w:type="dxa"/>
            <w:vAlign w:val="bottom"/>
          </w:tcPr>
          <w:p>
            <w:pPr>
              <w:spacing w:after="0"/>
              <w:rPr>
                <w:sz w:val="1"/>
                <w:szCs w:val="1"/>
                <w:color w:val="auto"/>
              </w:rPr>
            </w:pPr>
          </w:p>
        </w:tc>
      </w:tr>
      <w:tr>
        <w:trPr>
          <w:trHeight w:val="25"/>
        </w:trPr>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80" w:type="dxa"/>
            <w:vAlign w:val="bottom"/>
            <w:gridSpan w:val="2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880" w:h="15480" w:orient="portrait"/>
          <w:cols w:equalWidth="0" w:num="1">
            <w:col w:w="10140"/>
          </w:cols>
          <w:pgMar w:left="860" w:top="606" w:right="880" w:bottom="351"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RISK FACTOR SUMMARY</w:t>
      </w:r>
    </w:p>
    <w:p>
      <w:pPr>
        <w:spacing w:after="0" w:line="2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454546"/>
        </w:rPr>
        <w:t>Our business is subject to varying degrees of risk and uncertainty. Investors should consider the risks and uncertainties summarized below, as well as the risks and uncertainties discussed in Part I, Item 1A</w:t>
      </w:r>
      <w:r>
        <w:rPr>
          <w:rFonts w:ascii="Times New Roman" w:cs="Times New Roman" w:eastAsia="Times New Roman" w:hAnsi="Times New Roman"/>
          <w:sz w:val="20"/>
          <w:szCs w:val="20"/>
          <w:color w:val="656769"/>
        </w:rPr>
        <w:t>.</w:t>
      </w:r>
      <w:r>
        <w:rPr>
          <w:rFonts w:ascii="Times New Roman" w:cs="Times New Roman" w:eastAsia="Times New Roman" w:hAnsi="Times New Roman"/>
          <w:sz w:val="20"/>
          <w:szCs w:val="20"/>
          <w:color w:val="454546"/>
        </w:rPr>
        <w:t>“Risk Factors” of this Annual Report on Form 10-K. Additional risks not presently known to us or that we currently deem immaterial may also affect us. If any of these risks occur, our business, financial condition, or results of operations could be materially and adversely affected.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Our business is subject to the following principal risks and uncertainties:</w:t>
      </w:r>
    </w:p>
    <w:p>
      <w:pPr>
        <w:spacing w:after="0" w:line="238" w:lineRule="exact"/>
        <w:rPr>
          <w:sz w:val="20"/>
          <w:szCs w:val="20"/>
          <w:color w:val="auto"/>
        </w:rPr>
      </w:pPr>
    </w:p>
    <w:p>
      <w:pPr>
        <w:ind w:left="720" w:hanging="370"/>
        <w:spacing w:after="0"/>
        <w:tabs>
          <w:tab w:leader="none" w:pos="720" w:val="left"/>
        </w:tabs>
        <w:numPr>
          <w:ilvl w:val="0"/>
          <w:numId w:val="3"/>
        </w:numPr>
        <w:rPr>
          <w:rFonts w:ascii="Arial" w:cs="Arial" w:eastAsia="Arial" w:hAnsi="Arial"/>
          <w:sz w:val="24"/>
          <w:szCs w:val="24"/>
          <w:color w:val="454546"/>
        </w:rPr>
      </w:pPr>
      <w:r>
        <w:rPr>
          <w:rFonts w:ascii="Times New Roman" w:cs="Times New Roman" w:eastAsia="Times New Roman" w:hAnsi="Times New Roman"/>
          <w:sz w:val="20"/>
          <w:szCs w:val="20"/>
          <w:color w:val="454546"/>
        </w:rPr>
        <w:t>We have incurred losses from operations and our future profitability is not certain;</w:t>
      </w:r>
    </w:p>
    <w:p>
      <w:pPr>
        <w:spacing w:after="0" w:line="18" w:lineRule="exact"/>
        <w:rPr>
          <w:rFonts w:ascii="Arial" w:cs="Arial" w:eastAsia="Arial" w:hAnsi="Arial"/>
          <w:sz w:val="24"/>
          <w:szCs w:val="24"/>
          <w:color w:val="454546"/>
        </w:rPr>
      </w:pPr>
    </w:p>
    <w:p>
      <w:pPr>
        <w:ind w:left="720" w:hanging="370"/>
        <w:spacing w:after="0" w:line="210"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We may not be able to obtain capital when desired on favorable terms, if at all, or without dilution to stockholders;</w:t>
      </w:r>
    </w:p>
    <w:p>
      <w:pPr>
        <w:spacing w:after="0" w:line="13" w:lineRule="exact"/>
        <w:rPr>
          <w:rFonts w:ascii="Times New Roman" w:cs="Times New Roman" w:eastAsia="Times New Roman" w:hAnsi="Times New Roman"/>
          <w:sz w:val="24"/>
          <w:szCs w:val="24"/>
          <w:color w:val="454546"/>
        </w:rPr>
      </w:pPr>
    </w:p>
    <w:p>
      <w:pPr>
        <w:ind w:left="720" w:hanging="370"/>
        <w:spacing w:after="0" w:line="249"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Our secured credit facility contains financial and restrictive covenants that we may not satisfy, and that, if not satisfied, could result in the acceleration of any outstanding indebtedness and limit our ability to borrow additional funds;</w:t>
      </w:r>
    </w:p>
    <w:p>
      <w:pPr>
        <w:spacing w:after="0" w:line="9" w:lineRule="exact"/>
        <w:rPr>
          <w:rFonts w:ascii="Times New Roman" w:cs="Times New Roman" w:eastAsia="Times New Roman" w:hAnsi="Times New Roman"/>
          <w:sz w:val="24"/>
          <w:szCs w:val="24"/>
          <w:color w:val="454546"/>
        </w:rPr>
      </w:pPr>
    </w:p>
    <w:p>
      <w:pPr>
        <w:ind w:left="720" w:hanging="370"/>
        <w:spacing w:after="0" w:line="250"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We may be unable to realize the level of the anticipated benefits that we expect from exiting facilities and restructuring our operations, which may adversely impact our business and results of operations;</w:t>
      </w:r>
    </w:p>
    <w:p>
      <w:pPr>
        <w:spacing w:after="0" w:line="1" w:lineRule="exact"/>
        <w:rPr>
          <w:rFonts w:ascii="Times New Roman" w:cs="Times New Roman" w:eastAsia="Times New Roman" w:hAnsi="Times New Roman"/>
          <w:sz w:val="24"/>
          <w:szCs w:val="24"/>
          <w:color w:val="454546"/>
        </w:rPr>
      </w:pPr>
    </w:p>
    <w:p>
      <w:pPr>
        <w:ind w:left="720" w:hanging="370"/>
        <w:spacing w:after="0" w:line="23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Our growth projections may differ from our actual results;</w:t>
      </w:r>
    </w:p>
    <w:p>
      <w:pPr>
        <w:spacing w:after="0" w:line="12" w:lineRule="exact"/>
        <w:rPr>
          <w:rFonts w:ascii="Times New Roman" w:cs="Times New Roman" w:eastAsia="Times New Roman" w:hAnsi="Times New Roman"/>
          <w:sz w:val="24"/>
          <w:szCs w:val="24"/>
          <w:color w:val="454546"/>
        </w:rPr>
      </w:pPr>
    </w:p>
    <w:p>
      <w:pPr>
        <w:ind w:left="720" w:hanging="370"/>
        <w:spacing w:after="0" w:line="22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Market projections and data are forward-looking in nature;</w:t>
      </w:r>
    </w:p>
    <w:p>
      <w:pPr>
        <w:spacing w:after="0" w:line="12" w:lineRule="exact"/>
        <w:rPr>
          <w:rFonts w:ascii="Times New Roman" w:cs="Times New Roman" w:eastAsia="Times New Roman" w:hAnsi="Times New Roman"/>
          <w:sz w:val="24"/>
          <w:szCs w:val="24"/>
          <w:color w:val="454546"/>
        </w:rPr>
      </w:pPr>
    </w:p>
    <w:p>
      <w:pPr>
        <w:ind w:left="720" w:hanging="370"/>
        <w:spacing w:after="0" w:line="22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Our quarterly results are subject to fluctuation;</w:t>
      </w:r>
    </w:p>
    <w:p>
      <w:pPr>
        <w:spacing w:after="0" w:line="12" w:lineRule="exact"/>
        <w:rPr>
          <w:rFonts w:ascii="Times New Roman" w:cs="Times New Roman" w:eastAsia="Times New Roman" w:hAnsi="Times New Roman"/>
          <w:sz w:val="24"/>
          <w:szCs w:val="24"/>
          <w:color w:val="454546"/>
        </w:rPr>
      </w:pPr>
    </w:p>
    <w:p>
      <w:pPr>
        <w:ind w:left="720" w:hanging="370"/>
        <w:spacing w:after="0" w:line="249"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Fluctuations in foreign currency exchange rates or interest rates may adversely affect our results of operations, cash flow, liquidity or financial condition;</w:t>
      </w:r>
    </w:p>
    <w:p>
      <w:pPr>
        <w:ind w:left="720" w:hanging="370"/>
        <w:spacing w:after="0" w:line="23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Our ability to generate cash depends on many factors beyond our control;</w:t>
      </w:r>
    </w:p>
    <w:p>
      <w:pPr>
        <w:spacing w:after="0" w:line="12" w:lineRule="exact"/>
        <w:rPr>
          <w:rFonts w:ascii="Times New Roman" w:cs="Times New Roman" w:eastAsia="Times New Roman" w:hAnsi="Times New Roman"/>
          <w:sz w:val="24"/>
          <w:szCs w:val="24"/>
          <w:color w:val="454546"/>
        </w:rPr>
      </w:pPr>
    </w:p>
    <w:p>
      <w:pPr>
        <w:ind w:left="720" w:hanging="370"/>
        <w:spacing w:after="0" w:line="249"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Cybersecurity incidents, failure to maintain the integrity of and protect internal or customer data may result in faulty business decisions, operational inefficiencies, damage to our reputation and/or subject us to costs, fines, or lawsuits;</w:t>
      </w:r>
    </w:p>
    <w:p>
      <w:pPr>
        <w:ind w:left="720" w:hanging="370"/>
        <w:spacing w:after="0" w:line="23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Our technology development activities may experience delays;</w:t>
      </w:r>
    </w:p>
    <w:p>
      <w:pPr>
        <w:spacing w:after="0" w:line="12" w:lineRule="exact"/>
        <w:rPr>
          <w:rFonts w:ascii="Times New Roman" w:cs="Times New Roman" w:eastAsia="Times New Roman" w:hAnsi="Times New Roman"/>
          <w:sz w:val="24"/>
          <w:szCs w:val="24"/>
          <w:color w:val="454546"/>
        </w:rPr>
      </w:pPr>
    </w:p>
    <w:p>
      <w:pPr>
        <w:ind w:left="720" w:hanging="370"/>
        <w:spacing w:after="0" w:line="249"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Difficulty in ordering integrated circuits and increases in commodities and freight costs have adversely affected and will continue to adversely affect our business;</w:t>
      </w:r>
    </w:p>
    <w:p>
      <w:pPr>
        <w:ind w:left="720" w:hanging="370"/>
        <w:spacing w:after="0" w:line="23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Disruptions caused by labor disputes or organized labor activities could materially harm our business and reputation;</w:t>
      </w:r>
    </w:p>
    <w:p>
      <w:pPr>
        <w:spacing w:after="0" w:line="12" w:lineRule="exact"/>
        <w:rPr>
          <w:rFonts w:ascii="Times New Roman" w:cs="Times New Roman" w:eastAsia="Times New Roman" w:hAnsi="Times New Roman"/>
          <w:sz w:val="24"/>
          <w:szCs w:val="24"/>
          <w:color w:val="454546"/>
        </w:rPr>
      </w:pPr>
    </w:p>
    <w:p>
      <w:pPr>
        <w:ind w:left="720" w:hanging="370"/>
        <w:spacing w:after="0" w:line="22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The fluctuation of the Chinese Yuan Renminbi may adversely impact our manufacturing costs;</w:t>
      </w:r>
    </w:p>
    <w:p>
      <w:pPr>
        <w:spacing w:after="0" w:line="12" w:lineRule="exact"/>
        <w:rPr>
          <w:rFonts w:ascii="Times New Roman" w:cs="Times New Roman" w:eastAsia="Times New Roman" w:hAnsi="Times New Roman"/>
          <w:sz w:val="24"/>
          <w:szCs w:val="24"/>
          <w:color w:val="454546"/>
        </w:rPr>
      </w:pPr>
    </w:p>
    <w:p>
      <w:pPr>
        <w:ind w:left="720" w:hanging="370"/>
        <w:spacing w:after="0" w:line="249"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Changes in the policies of the PRC government may have a significant impact upon the business we conduct in the PRC and the profitability of such business;</w:t>
      </w:r>
    </w:p>
    <w:p>
      <w:pPr>
        <w:ind w:left="720" w:hanging="370"/>
        <w:spacing w:after="0" w:line="233"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Significant developments from potential changes in U.S. trade policies could have a material adverse effect on us;</w:t>
      </w:r>
    </w:p>
    <w:p>
      <w:pPr>
        <w:spacing w:after="0" w:line="12" w:lineRule="exact"/>
        <w:rPr>
          <w:rFonts w:ascii="Times New Roman" w:cs="Times New Roman" w:eastAsia="Times New Roman" w:hAnsi="Times New Roman"/>
          <w:sz w:val="24"/>
          <w:szCs w:val="24"/>
          <w:color w:val="454546"/>
        </w:rPr>
      </w:pPr>
    </w:p>
    <w:p>
      <w:pPr>
        <w:ind w:left="720" w:hanging="370"/>
        <w:spacing w:after="0" w:line="249"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Policy changes affecting international trade could adversely impact the demand for our products and our competitive position;</w:t>
      </w:r>
    </w:p>
    <w:p>
      <w:pPr>
        <w:spacing w:after="0" w:line="9" w:lineRule="exact"/>
        <w:rPr>
          <w:rFonts w:ascii="Times New Roman" w:cs="Times New Roman" w:eastAsia="Times New Roman" w:hAnsi="Times New Roman"/>
          <w:sz w:val="24"/>
          <w:szCs w:val="24"/>
          <w:color w:val="454546"/>
        </w:rPr>
      </w:pPr>
    </w:p>
    <w:p>
      <w:pPr>
        <w:ind w:left="720" w:hanging="370"/>
        <w:spacing w:after="0" w:line="250"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Risks and uncertainties associated with our expansion into and our operations outside of the United States may adversely affect our results of operations, cash flow, liquidity or financial condition; and</w:t>
      </w:r>
    </w:p>
    <w:p>
      <w:pPr>
        <w:spacing w:after="0" w:line="10" w:lineRule="exact"/>
        <w:rPr>
          <w:rFonts w:ascii="Times New Roman" w:cs="Times New Roman" w:eastAsia="Times New Roman" w:hAnsi="Times New Roman"/>
          <w:sz w:val="24"/>
          <w:szCs w:val="24"/>
          <w:color w:val="454546"/>
        </w:rPr>
      </w:pPr>
    </w:p>
    <w:p>
      <w:pPr>
        <w:ind w:left="720" w:hanging="370"/>
        <w:spacing w:after="0" w:line="264" w:lineRule="auto"/>
        <w:tabs>
          <w:tab w:leader="none" w:pos="720" w:val="left"/>
        </w:tabs>
        <w:numPr>
          <w:ilvl w:val="0"/>
          <w:numId w:val="3"/>
        </w:numPr>
        <w:rPr>
          <w:rFonts w:ascii="Times New Roman" w:cs="Times New Roman" w:eastAsia="Times New Roman" w:hAnsi="Times New Roman"/>
          <w:sz w:val="24"/>
          <w:szCs w:val="24"/>
          <w:color w:val="454546"/>
        </w:rPr>
      </w:pPr>
      <w:r>
        <w:rPr>
          <w:rFonts w:ascii="Times New Roman" w:cs="Times New Roman" w:eastAsia="Times New Roman" w:hAnsi="Times New Roman"/>
          <w:sz w:val="20"/>
          <w:szCs w:val="20"/>
          <w:color w:val="454546"/>
        </w:rPr>
        <w:t>Failure by our international operations to comply with anti-corruption laws or trade sanctions could increase our costs, reduce our profits, limit our growth, harm our reputation, or subject us to broader liability.</w:t>
      </w:r>
    </w:p>
    <w:p>
      <w:pPr>
        <w:sectPr>
          <w:pgSz w:w="11880" w:h="15480" w:orient="portrait"/>
          <w:cols w:equalWidth="0" w:num="1">
            <w:col w:w="10260"/>
          </w:cols>
          <w:pgMar w:left="820" w:top="846" w:right="80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 BUSINESS</w:t>
      </w: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Universal Electronics Inc. ("UEI", "we", "our", "us", or the "Company")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the contrary.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(the "SEC"). The SEC maintains a website at www.sec.gov that contains the reports, proxy and other information that we file electronically with the SEC.</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Our business is comprised of one reportable segment. We have two domestic subsidiaries and 22 international subsidiaries located in Brazil, France, Germany, Hong Kong (3), India, Italy, Japan, Korea, Mexico (2), the Netherlands, the People's Republic of China (the "PRC") (5), Singapore, Spain, United Kingdom and Vietnam.</w:t>
      </w:r>
    </w:p>
    <w:p>
      <w:pPr>
        <w:spacing w:after="0" w:line="19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454546"/>
        </w:rPr>
        <w:t>Our mission is to create products and technologies that help everyday people easily discover and interact with the devices and services in their home. We aim to provide universal and interoperable control solutions that automatically set up and deliver consistent and intuitive control of connected devices, content and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Sales</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design, develop, manufacture, ship and support home entertainment control products, technology and software solutions, climate control solutions, wireless sensor and smart home control products and audio-video ("AV") accessories, that are used by the world's leading brands in the home entertainment, climate control, consumer electronics, security, home automation and home appliance markets. Our product and technology offerings include:</w:t>
      </w:r>
    </w:p>
    <w:p>
      <w:pPr>
        <w:spacing w:after="0" w:line="214" w:lineRule="exact"/>
        <w:rPr>
          <w:sz w:val="20"/>
          <w:szCs w:val="20"/>
          <w:color w:val="auto"/>
        </w:rPr>
      </w:pPr>
    </w:p>
    <w:p>
      <w:pPr>
        <w:ind w:left="720" w:hanging="370"/>
        <w:spacing w:after="0"/>
        <w:tabs>
          <w:tab w:leader="none" w:pos="720" w:val="left"/>
        </w:tabs>
        <w:numPr>
          <w:ilvl w:val="0"/>
          <w:numId w:val="4"/>
        </w:numPr>
        <w:rPr>
          <w:rFonts w:ascii="Arial" w:cs="Arial" w:eastAsia="Arial" w:hAnsi="Arial"/>
          <w:sz w:val="24"/>
          <w:szCs w:val="24"/>
          <w:color w:val="454546"/>
        </w:rPr>
      </w:pPr>
      <w:r>
        <w:rPr>
          <w:rFonts w:ascii="Times New Roman" w:cs="Times New Roman" w:eastAsia="Times New Roman" w:hAnsi="Times New Roman"/>
          <w:sz w:val="20"/>
          <w:szCs w:val="20"/>
          <w:b w:val="1"/>
          <w:bCs w:val="1"/>
          <w:color w:val="454546"/>
        </w:rPr>
        <w:t>Connected Home:</w:t>
      </w:r>
    </w:p>
    <w:p>
      <w:pPr>
        <w:spacing w:after="0" w:line="59" w:lineRule="exact"/>
        <w:rPr>
          <w:rFonts w:ascii="Arial" w:cs="Arial" w:eastAsia="Arial" w:hAnsi="Arial"/>
          <w:sz w:val="24"/>
          <w:szCs w:val="24"/>
          <w:color w:val="454546"/>
        </w:rPr>
      </w:pPr>
    </w:p>
    <w:p>
      <w:pPr>
        <w:jc w:val="both"/>
        <w:ind w:left="1440" w:hanging="370"/>
        <w:spacing w:after="0" w:line="253" w:lineRule="auto"/>
        <w:tabs>
          <w:tab w:leader="none" w:pos="1440" w:val="left"/>
        </w:tabs>
        <w:numPr>
          <w:ilvl w:val="1"/>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Climate Control Solutions. </w:t>
      </w:r>
      <w:r>
        <w:rPr>
          <w:rFonts w:ascii="Times New Roman" w:cs="Times New Roman" w:eastAsia="Times New Roman" w:hAnsi="Times New Roman"/>
          <w:sz w:val="20"/>
          <w:szCs w:val="20"/>
          <w:color w:val="454546"/>
        </w:rPr>
        <w:t>We offer a portfolio of wireless and wired thermostat controllers, smart</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thermostats and connected accessories sold primarily to HVAC original equipment manufacturers (“OEMs”), utilities, hospitality and multi</w:t>
      </w:r>
      <w:r>
        <w:rPr>
          <w:rFonts w:ascii="Arial" w:cs="Arial" w:eastAsia="Arial" w:hAnsi="Arial"/>
          <w:sz w:val="20"/>
          <w:szCs w:val="20"/>
          <w:color w:val="454546"/>
        </w:rPr>
        <w:t>-</w:t>
      </w:r>
      <w:r>
        <w:rPr>
          <w:rFonts w:ascii="Times New Roman" w:cs="Times New Roman" w:eastAsia="Times New Roman" w:hAnsi="Times New Roman"/>
          <w:sz w:val="20"/>
          <w:szCs w:val="20"/>
          <w:color w:val="454546"/>
        </w:rPr>
        <w:t>dwelling unit (“MDU”) system integrators. Our UEI TIDE™ family integrates Wi</w:t>
      </w:r>
      <w:r>
        <w:rPr>
          <w:rFonts w:ascii="Arial" w:cs="Arial" w:eastAsia="Arial" w:hAnsi="Arial"/>
          <w:sz w:val="20"/>
          <w:szCs w:val="20"/>
          <w:color w:val="454546"/>
        </w:rPr>
        <w:t>-</w:t>
      </w:r>
      <w:r>
        <w:rPr>
          <w:rFonts w:ascii="Times New Roman" w:cs="Times New Roman" w:eastAsia="Times New Roman" w:hAnsi="Times New Roman"/>
          <w:sz w:val="20"/>
          <w:szCs w:val="20"/>
          <w:color w:val="454546"/>
        </w:rPr>
        <w:t>Fi, Bluetooth® Low Energy, Zigbee® and Matter, as well as advanced sensing for temperature, humidity, proximity, occupancy and carbon dioxide. The platform supports intelligent energy management and comfort features enabled by QuickSet® homeSense, our privacy</w:t>
      </w:r>
      <w:r>
        <w:rPr>
          <w:rFonts w:ascii="Arial" w:cs="Arial" w:eastAsia="Arial" w:hAnsi="Arial"/>
          <w:sz w:val="20"/>
          <w:szCs w:val="20"/>
          <w:color w:val="454546"/>
        </w:rPr>
        <w:t>-</w:t>
      </w:r>
      <w:r>
        <w:rPr>
          <w:rFonts w:ascii="Times New Roman" w:cs="Times New Roman" w:eastAsia="Times New Roman" w:hAnsi="Times New Roman"/>
          <w:sz w:val="20"/>
          <w:szCs w:val="20"/>
          <w:color w:val="454546"/>
        </w:rPr>
        <w:t>first software</w:t>
      </w:r>
      <w:r>
        <w:rPr>
          <w:rFonts w:ascii="Arial" w:cs="Arial" w:eastAsia="Arial" w:hAnsi="Arial"/>
          <w:sz w:val="20"/>
          <w:szCs w:val="20"/>
          <w:color w:val="454546"/>
        </w:rPr>
        <w:t>-</w:t>
      </w:r>
      <w:r>
        <w:rPr>
          <w:rFonts w:ascii="Times New Roman" w:cs="Times New Roman" w:eastAsia="Times New Roman" w:hAnsi="Times New Roman"/>
          <w:sz w:val="20"/>
          <w:szCs w:val="20"/>
          <w:color w:val="454546"/>
        </w:rPr>
        <w:t>defined occupancy and presence detection technology.</w:t>
      </w:r>
    </w:p>
    <w:p>
      <w:pPr>
        <w:spacing w:after="0" w:line="4" w:lineRule="exact"/>
        <w:rPr>
          <w:rFonts w:ascii="Times New Roman" w:cs="Times New Roman" w:eastAsia="Times New Roman" w:hAnsi="Times New Roman"/>
          <w:sz w:val="20"/>
          <w:szCs w:val="20"/>
          <w:color w:val="454546"/>
        </w:rPr>
      </w:pPr>
    </w:p>
    <w:p>
      <w:pPr>
        <w:jc w:val="both"/>
        <w:ind w:left="1440" w:hanging="370"/>
        <w:spacing w:after="0" w:line="252" w:lineRule="auto"/>
        <w:tabs>
          <w:tab w:leader="none" w:pos="1440" w:val="left"/>
        </w:tabs>
        <w:numPr>
          <w:ilvl w:val="1"/>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Smart Home and Security. </w:t>
      </w:r>
      <w:r>
        <w:rPr>
          <w:rFonts w:ascii="Times New Roman" w:cs="Times New Roman" w:eastAsia="Times New Roman" w:hAnsi="Times New Roman"/>
          <w:sz w:val="20"/>
          <w:szCs w:val="20"/>
          <w:color w:val="454546"/>
        </w:rPr>
        <w:t>We provide radio</w:t>
      </w:r>
      <w:r>
        <w:rPr>
          <w:rFonts w:ascii="Arial" w:cs="Arial" w:eastAsia="Arial" w:hAnsi="Arial"/>
          <w:sz w:val="20"/>
          <w:szCs w:val="20"/>
          <w:color w:val="454546"/>
        </w:rPr>
        <w:t>-</w:t>
      </w:r>
      <w:r>
        <w:rPr>
          <w:rFonts w:ascii="Times New Roman" w:cs="Times New Roman" w:eastAsia="Times New Roman" w:hAnsi="Times New Roman"/>
          <w:sz w:val="20"/>
          <w:szCs w:val="20"/>
          <w:color w:val="454546"/>
        </w:rPr>
        <w:t>frequency sensors and control modules for residential security,</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safety and home automation applications. These products support major standards, including Zigbee, Z</w:t>
      </w:r>
      <w:r>
        <w:rPr>
          <w:rFonts w:ascii="Arial" w:cs="Arial" w:eastAsia="Arial" w:hAnsi="Arial"/>
          <w:sz w:val="20"/>
          <w:szCs w:val="20"/>
          <w:color w:val="454546"/>
        </w:rPr>
        <w:t>-</w:t>
      </w:r>
      <w:r>
        <w:rPr>
          <w:rFonts w:ascii="Times New Roman" w:cs="Times New Roman" w:eastAsia="Times New Roman" w:hAnsi="Times New Roman"/>
          <w:sz w:val="20"/>
          <w:szCs w:val="20"/>
          <w:color w:val="454546"/>
        </w:rPr>
        <w:t>Wave and sub</w:t>
      </w:r>
      <w:r>
        <w:rPr>
          <w:rFonts w:ascii="Arial" w:cs="Arial" w:eastAsia="Arial" w:hAnsi="Arial"/>
          <w:sz w:val="20"/>
          <w:szCs w:val="20"/>
          <w:color w:val="454546"/>
        </w:rPr>
        <w:t>-</w:t>
      </w:r>
      <w:r>
        <w:rPr>
          <w:rFonts w:ascii="Times New Roman" w:cs="Times New Roman" w:eastAsia="Times New Roman" w:hAnsi="Times New Roman"/>
          <w:sz w:val="20"/>
          <w:szCs w:val="20"/>
          <w:color w:val="454546"/>
        </w:rPr>
        <w:t>GHz proprietary protocols, and are sold to OEMs, service providers and professional security channel partners.</w:t>
      </w:r>
    </w:p>
    <w:p>
      <w:pPr>
        <w:spacing w:after="0" w:line="267"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4"/>
        </w:numPr>
        <w:rPr>
          <w:rFonts w:ascii="Arial" w:cs="Arial" w:eastAsia="Arial" w:hAnsi="Arial"/>
          <w:sz w:val="24"/>
          <w:szCs w:val="24"/>
          <w:color w:val="454546"/>
        </w:rPr>
      </w:pPr>
      <w:r>
        <w:rPr>
          <w:rFonts w:ascii="Times New Roman" w:cs="Times New Roman" w:eastAsia="Times New Roman" w:hAnsi="Times New Roman"/>
          <w:sz w:val="20"/>
          <w:szCs w:val="20"/>
          <w:b w:val="1"/>
          <w:bCs w:val="1"/>
          <w:color w:val="454546"/>
        </w:rPr>
        <w:t>Home Entertainment:</w:t>
      </w:r>
    </w:p>
    <w:p>
      <w:pPr>
        <w:spacing w:after="0" w:line="48" w:lineRule="exact"/>
        <w:rPr>
          <w:rFonts w:ascii="Arial" w:cs="Arial" w:eastAsia="Arial" w:hAnsi="Arial"/>
          <w:sz w:val="24"/>
          <w:szCs w:val="24"/>
          <w:color w:val="454546"/>
        </w:rPr>
      </w:pPr>
    </w:p>
    <w:p>
      <w:pPr>
        <w:jc w:val="both"/>
        <w:ind w:left="1440" w:hanging="370"/>
        <w:spacing w:after="0" w:line="257" w:lineRule="auto"/>
        <w:tabs>
          <w:tab w:leader="none" w:pos="1440" w:val="left"/>
        </w:tabs>
        <w:numPr>
          <w:ilvl w:val="1"/>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Home Entertainment Products. </w:t>
      </w:r>
      <w:r>
        <w:rPr>
          <w:rFonts w:ascii="Times New Roman" w:cs="Times New Roman" w:eastAsia="Times New Roman" w:hAnsi="Times New Roman"/>
          <w:sz w:val="20"/>
          <w:szCs w:val="20"/>
          <w:color w:val="454546"/>
        </w:rPr>
        <w:t>Our home entertainment portfolio includes RF</w:t>
      </w:r>
      <w:r>
        <w:rPr>
          <w:rFonts w:ascii="Arial" w:cs="Arial" w:eastAsia="Arial" w:hAnsi="Arial"/>
          <w:sz w:val="20"/>
          <w:szCs w:val="20"/>
          <w:color w:val="454546"/>
        </w:rPr>
        <w:t>-</w:t>
      </w:r>
      <w:r>
        <w:rPr>
          <w:rFonts w:ascii="Times New Roman" w:cs="Times New Roman" w:eastAsia="Times New Roman" w:hAnsi="Times New Roman"/>
          <w:sz w:val="20"/>
          <w:szCs w:val="20"/>
          <w:color w:val="454546"/>
        </w:rPr>
        <w:t>capable, voice</w:t>
      </w:r>
      <w:r>
        <w:rPr>
          <w:rFonts w:ascii="Arial" w:cs="Arial" w:eastAsia="Arial" w:hAnsi="Arial"/>
          <w:sz w:val="20"/>
          <w:szCs w:val="20"/>
          <w:color w:val="454546"/>
        </w:rPr>
        <w:t>-</w:t>
      </w:r>
      <w:r>
        <w:rPr>
          <w:rFonts w:ascii="Times New Roman" w:cs="Times New Roman" w:eastAsia="Times New Roman" w:hAnsi="Times New Roman"/>
          <w:sz w:val="20"/>
          <w:szCs w:val="20"/>
          <w:color w:val="454546"/>
        </w:rPr>
        <w:t>enabled</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remote controls; low</w:t>
      </w:r>
      <w:r>
        <w:rPr>
          <w:rFonts w:ascii="Arial" w:cs="Arial" w:eastAsia="Arial" w:hAnsi="Arial"/>
          <w:sz w:val="20"/>
          <w:szCs w:val="20"/>
          <w:color w:val="454546"/>
        </w:rPr>
        <w:t>-</w:t>
      </w:r>
      <w:r>
        <w:rPr>
          <w:rFonts w:ascii="Times New Roman" w:cs="Times New Roman" w:eastAsia="Times New Roman" w:hAnsi="Times New Roman"/>
          <w:sz w:val="20"/>
          <w:szCs w:val="20"/>
          <w:color w:val="454546"/>
        </w:rPr>
        <w:t>power microcontrollers; and embedded and cloud</w:t>
      </w:r>
      <w:r>
        <w:rPr>
          <w:rFonts w:ascii="Arial" w:cs="Arial" w:eastAsia="Arial" w:hAnsi="Arial"/>
          <w:sz w:val="20"/>
          <w:szCs w:val="20"/>
          <w:color w:val="454546"/>
        </w:rPr>
        <w:t>-</w:t>
      </w:r>
      <w:r>
        <w:rPr>
          <w:rFonts w:ascii="Times New Roman" w:cs="Times New Roman" w:eastAsia="Times New Roman" w:hAnsi="Times New Roman"/>
          <w:sz w:val="20"/>
          <w:szCs w:val="20"/>
          <w:color w:val="454546"/>
        </w:rPr>
        <w:t>based software for audio</w:t>
      </w:r>
      <w:r>
        <w:rPr>
          <w:rFonts w:ascii="Arial" w:cs="Arial" w:eastAsia="Arial" w:hAnsi="Arial"/>
          <w:sz w:val="20"/>
          <w:szCs w:val="20"/>
          <w:color w:val="454546"/>
        </w:rPr>
        <w:t>-</w:t>
      </w:r>
      <w:r>
        <w:rPr>
          <w:rFonts w:ascii="Times New Roman" w:cs="Times New Roman" w:eastAsia="Times New Roman" w:hAnsi="Times New Roman"/>
          <w:sz w:val="20"/>
          <w:szCs w:val="20"/>
          <w:color w:val="454546"/>
        </w:rPr>
        <w:t>video and smart device discovery and control. These solutions are sold to video service providers and consumer electronics OEMs. In retail, our One For All® brand offers replacement remotes, antennas, mounting solutions, as well as home office and gaming furniture and accessories in key global markets.</w:t>
      </w:r>
    </w:p>
    <w:p>
      <w:pPr>
        <w:spacing w:after="0" w:line="1" w:lineRule="exact"/>
        <w:rPr>
          <w:rFonts w:ascii="Times New Roman" w:cs="Times New Roman" w:eastAsia="Times New Roman" w:hAnsi="Times New Roman"/>
          <w:sz w:val="20"/>
          <w:szCs w:val="20"/>
          <w:color w:val="454546"/>
        </w:rPr>
      </w:pPr>
    </w:p>
    <w:p>
      <w:pPr>
        <w:jc w:val="both"/>
        <w:ind w:left="1440" w:hanging="370"/>
        <w:spacing w:after="0" w:line="250" w:lineRule="auto"/>
        <w:tabs>
          <w:tab w:leader="none" w:pos="1440" w:val="left"/>
        </w:tabs>
        <w:numPr>
          <w:ilvl w:val="1"/>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Software and Cloud Services. </w:t>
      </w:r>
      <w:r>
        <w:rPr>
          <w:rFonts w:ascii="Times New Roman" w:cs="Times New Roman" w:eastAsia="Times New Roman" w:hAnsi="Times New Roman"/>
          <w:sz w:val="20"/>
          <w:szCs w:val="20"/>
          <w:color w:val="454546"/>
        </w:rPr>
        <w:t>We license our technology and software solutions—including QuickSet®,</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QuickSet Cloud and lifecycle device</w:t>
      </w:r>
      <w:r>
        <w:rPr>
          <w:rFonts w:ascii="Arial" w:cs="Arial" w:eastAsia="Arial" w:hAnsi="Arial"/>
          <w:sz w:val="20"/>
          <w:szCs w:val="20"/>
          <w:color w:val="454546"/>
        </w:rPr>
        <w:t>-</w:t>
      </w:r>
      <w:r>
        <w:rPr>
          <w:rFonts w:ascii="Times New Roman" w:cs="Times New Roman" w:eastAsia="Times New Roman" w:hAnsi="Times New Roman"/>
          <w:sz w:val="20"/>
          <w:szCs w:val="20"/>
          <w:color w:val="454546"/>
        </w:rPr>
        <w:t>management services—to OEMs, video service providers and consumer electronics brands. These services support interoperability, app and content discovery, diagnostics, secure firmware updates and data</w:t>
      </w:r>
      <w:r>
        <w:rPr>
          <w:rFonts w:ascii="Arial" w:cs="Arial" w:eastAsia="Arial" w:hAnsi="Arial"/>
          <w:sz w:val="20"/>
          <w:szCs w:val="20"/>
          <w:color w:val="454546"/>
        </w:rPr>
        <w:t>-</w:t>
      </w:r>
      <w:r>
        <w:rPr>
          <w:rFonts w:ascii="Times New Roman" w:cs="Times New Roman" w:eastAsia="Times New Roman" w:hAnsi="Times New Roman"/>
          <w:sz w:val="20"/>
          <w:szCs w:val="20"/>
          <w:color w:val="454546"/>
        </w:rPr>
        <w:t>driven personalization.</w:t>
      </w:r>
    </w:p>
    <w:p>
      <w:pPr>
        <w:spacing w:after="0" w:line="1" w:lineRule="exact"/>
        <w:rPr>
          <w:rFonts w:ascii="Times New Roman" w:cs="Times New Roman" w:eastAsia="Times New Roman" w:hAnsi="Times New Roman"/>
          <w:sz w:val="20"/>
          <w:szCs w:val="20"/>
          <w:color w:val="454546"/>
        </w:rPr>
      </w:pPr>
    </w:p>
    <w:p>
      <w:pPr>
        <w:jc w:val="both"/>
        <w:ind w:left="1440" w:hanging="370"/>
        <w:spacing w:after="0" w:line="254" w:lineRule="auto"/>
        <w:tabs>
          <w:tab w:leader="none" w:pos="1440" w:val="left"/>
        </w:tabs>
        <w:numPr>
          <w:ilvl w:val="1"/>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Intellectual Property and Licensing. </w:t>
      </w:r>
      <w:r>
        <w:rPr>
          <w:rFonts w:ascii="Times New Roman" w:cs="Times New Roman" w:eastAsia="Times New Roman" w:hAnsi="Times New Roman"/>
          <w:sz w:val="20"/>
          <w:szCs w:val="20"/>
          <w:color w:val="454546"/>
        </w:rPr>
        <w:t>We license our device knowledge libraries, embedded firmware and</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cloud</w:t>
      </w:r>
      <w:r>
        <w:rPr>
          <w:rFonts w:ascii="Arial" w:cs="Arial" w:eastAsia="Arial" w:hAnsi="Arial"/>
          <w:sz w:val="20"/>
          <w:szCs w:val="20"/>
          <w:color w:val="454546"/>
        </w:rPr>
        <w:t>-</w:t>
      </w:r>
      <w:r>
        <w:rPr>
          <w:rFonts w:ascii="Times New Roman" w:cs="Times New Roman" w:eastAsia="Times New Roman" w:hAnsi="Times New Roman"/>
          <w:sz w:val="20"/>
          <w:szCs w:val="20"/>
          <w:color w:val="454546"/>
        </w:rPr>
        <w:t>based services to customers worldwide. Our intellectual property includes patented discovery, setup and control technologies deployed across entertainment, climate control and smart home ecosystems.</w:t>
      </w: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w:t>
      </w:r>
    </w:p>
    <w:p>
      <w:pPr>
        <w:sectPr>
          <w:pgSz w:w="11880" w:h="15480" w:orient="portrait"/>
          <w:cols w:equalWidth="0" w:num="1">
            <w:col w:w="10260"/>
          </w:cols>
          <w:pgMar w:left="820" w:top="606" w:right="800" w:bottom="0" w:gutter="0" w:footer="0" w:header="0"/>
          <w:type w:val="continuous"/>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20"/>
          <w:szCs w:val="20"/>
          <w:color w:val="454546"/>
        </w:rPr>
        <w:t>Our overall business strategy is focused on expanding our presence in the climate control market. This focus is driven by the growing demand for energy-efficient and smart climate control solutions in both residential and commercial applications. We have a strong presence in the global market, with a top-tier customer base that includes major global smart TV brands and HVAC OEM brands. Our products are used by major video service providers, consumer electronics companies and home automation and security brands.</w:t>
      </w:r>
    </w:p>
    <w:p>
      <w:pPr>
        <w:spacing w:after="0" w:line="232"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0"/>
          <w:szCs w:val="20"/>
          <w:color w:val="454546"/>
        </w:rPr>
        <w:t>Our channel strategy is to partner with customers who are leaders in their respective industries. In climate control, Daikin Industries Ltd., Fujitsu General, Mitsubishi Electric, LG HVAC and Carrier Global Corporation are customers that represent top market share leaders in the global HVAC industry. In security, safety and home automation, Vivint Smart Home, Somfy SA, SimpliSafe, and Hunter Douglas NV are channel leaders in their respective connected home markets. In consumer electronics, we consider Samsung Electronics Co., Sony Group Corporation, Vizio and LG Electronics as long-term accounts that represent a significant share of their industry. In cable video services, Comcast Corporation, Charter, Cox Communications, Liberty Global and Vodafone Group rank amongst the largest video service providers in their respective markets; and in satellite services, Dish Network Corporation, Sky plc, Bharti Airtel Limited and DIRECTV represent the majority of global service providers.</w:t>
      </w:r>
    </w:p>
    <w:p>
      <w:pPr>
        <w:spacing w:after="0" w:line="19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454546"/>
        </w:rPr>
        <w:t>As part of our channel diversification strategy, we are also expanding our connected home growth strategy beyond core HVAC OEM offerings, entering adjacent markets such as utilities and multi-dwelling unit property management, while also increasing</w:t>
      </w:r>
    </w:p>
    <w:p>
      <w:pPr>
        <w:spacing w:after="0" w:line="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0"/>
          <w:szCs w:val="20"/>
          <w:color w:val="454546"/>
        </w:rPr>
        <w:t>our presence in the security channel. Energy management is a growing priority in Western Europe -- to meet this demand, we are enhancing Tide Touch with new features that support energy efficiency and provide utilities with actionable insights. We are applying a similar approach to serve multi-dwelling unit property managers. By integrating interoperability with smart devices such as door locks and water leak detectors, Tide Touch offers a turnkey solution, delivering energy efficiency, convenience and remote management capabilities while reducing the risk of costly failures.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454546"/>
        </w:rPr>
        <w:t>Distribution methods for our control solutions vary depending on the sales channel. We distribute remote control devices, connected thermostats, integrated circuits ("ICs"), home security sensors and AV accessories directly to video and security service providers and OEMs, both domestically and internationally. We distribute connected thermostats and home security sensors to pro-security installers and hospitality system integrators in the United States and Europe through a network of national and regional distributors and dealers. Additionally, we sell our wireless control devices and AV accessories under the One For All</w:t>
      </w:r>
      <w:r>
        <w:rPr>
          <w:rFonts w:ascii="Times New Roman" w:cs="Times New Roman" w:eastAsia="Times New Roman" w:hAnsi="Times New Roman"/>
          <w:sz w:val="26"/>
          <w:szCs w:val="26"/>
          <w:color w:val="454546"/>
          <w:vertAlign w:val="superscript"/>
        </w:rPr>
        <w:t>®</w:t>
      </w:r>
      <w:r>
        <w:rPr>
          <w:rFonts w:ascii="Times New Roman" w:cs="Times New Roman" w:eastAsia="Times New Roman" w:hAnsi="Times New Roman"/>
          <w:sz w:val="20"/>
          <w:szCs w:val="20"/>
          <w:color w:val="454546"/>
        </w:rPr>
        <w:t>, Ecolink</w:t>
      </w:r>
      <w:r>
        <w:rPr>
          <w:rFonts w:ascii="Times New Roman" w:cs="Times New Roman" w:eastAsia="Times New Roman" w:hAnsi="Times New Roman"/>
          <w:sz w:val="26"/>
          <w:szCs w:val="26"/>
          <w:color w:val="454546"/>
          <w:vertAlign w:val="superscript"/>
        </w:rPr>
        <w:t>®</w:t>
      </w:r>
      <w:r>
        <w:rPr>
          <w:rFonts w:ascii="Times New Roman" w:cs="Times New Roman" w:eastAsia="Times New Roman" w:hAnsi="Times New Roman"/>
          <w:sz w:val="20"/>
          <w:szCs w:val="20"/>
          <w:color w:val="454546"/>
        </w:rPr>
        <w:t xml:space="preserve"> and private label brand names to retailers in key markets, such as in the United States, United Kingdom, Germany, France and Spain. We utilize third-party distributors for the retail channel in countries where we do not have subsidiaries.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For the years ended December 31, 2025, 2024 and 2023, our sales to Daikin Industries Ltd. accounted for 18.3%, 13.3% and 14.0% of our net sales,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Products and Technology</w:t>
      </w:r>
    </w:p>
    <w:p>
      <w:pPr>
        <w:spacing w:after="0" w:line="24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color w:val="454546"/>
        </w:rPr>
        <w:t xml:space="preserve">QuickSet® and QuickSet Cloud. </w:t>
      </w:r>
      <w:r>
        <w:rPr>
          <w:rFonts w:ascii="Times New Roman" w:cs="Times New Roman" w:eastAsia="Times New Roman" w:hAnsi="Times New Roman"/>
          <w:sz w:val="20"/>
          <w:szCs w:val="20"/>
          <w:color w:val="454546"/>
        </w:rPr>
        <w:t>QuickSet is deployed globally in hundreds of millions of devices and enables cross</w:t>
      </w:r>
      <w:r>
        <w:rPr>
          <w:rFonts w:ascii="Arial" w:cs="Arial" w:eastAsia="Arial" w:hAnsi="Arial"/>
          <w:sz w:val="20"/>
          <w:szCs w:val="20"/>
          <w:color w:val="454546"/>
        </w:rPr>
        <w:t>-</w:t>
      </w:r>
      <w:r>
        <w:rPr>
          <w:rFonts w:ascii="Times New Roman" w:cs="Times New Roman" w:eastAsia="Times New Roman" w:hAnsi="Times New Roman"/>
          <w:sz w:val="20"/>
          <w:szCs w:val="20"/>
          <w:color w:val="454546"/>
        </w:rPr>
        <w:t>protocol</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interoperability across IR, HDMI</w:t>
      </w:r>
      <w:r>
        <w:rPr>
          <w:rFonts w:ascii="Arial" w:cs="Arial" w:eastAsia="Arial" w:hAnsi="Arial"/>
          <w:sz w:val="20"/>
          <w:szCs w:val="20"/>
          <w:color w:val="454546"/>
        </w:rPr>
        <w:t>-</w:t>
      </w:r>
      <w:r>
        <w:rPr>
          <w:rFonts w:ascii="Times New Roman" w:cs="Times New Roman" w:eastAsia="Times New Roman" w:hAnsi="Times New Roman"/>
          <w:sz w:val="20"/>
          <w:szCs w:val="20"/>
          <w:color w:val="454546"/>
        </w:rPr>
        <w:t>CEC, Bluetooth LE, Zigbee, Thread, Matter and IP networks. QuickSet Cloud extends device identification, app/content discovery, AI</w:t>
      </w:r>
      <w:r>
        <w:rPr>
          <w:rFonts w:ascii="Arial" w:cs="Arial" w:eastAsia="Arial" w:hAnsi="Arial"/>
          <w:sz w:val="20"/>
          <w:szCs w:val="20"/>
          <w:color w:val="454546"/>
        </w:rPr>
        <w:t>-</w:t>
      </w:r>
      <w:r>
        <w:rPr>
          <w:rFonts w:ascii="Times New Roman" w:cs="Times New Roman" w:eastAsia="Times New Roman" w:hAnsi="Times New Roman"/>
          <w:sz w:val="20"/>
          <w:szCs w:val="20"/>
          <w:color w:val="454546"/>
        </w:rPr>
        <w:t>assisted feature enablement and lifecycle device support.</w:t>
      </w:r>
    </w:p>
    <w:p>
      <w:pPr>
        <w:spacing w:after="0" w:line="22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b w:val="1"/>
          <w:bCs w:val="1"/>
          <w:color w:val="454546"/>
        </w:rPr>
        <w:t xml:space="preserve">QuickSet homeSense™. </w:t>
      </w:r>
      <w:r>
        <w:rPr>
          <w:rFonts w:ascii="Times New Roman" w:cs="Times New Roman" w:eastAsia="Times New Roman" w:hAnsi="Times New Roman"/>
          <w:sz w:val="20"/>
          <w:szCs w:val="20"/>
          <w:color w:val="454546"/>
        </w:rPr>
        <w:t>QuickSet homeSense enhances the platform with contextual intelligence that enables adaptive</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climate control, presence</w:t>
      </w:r>
      <w:r>
        <w:rPr>
          <w:rFonts w:ascii="Arial" w:cs="Arial" w:eastAsia="Arial" w:hAnsi="Arial"/>
          <w:sz w:val="20"/>
          <w:szCs w:val="20"/>
          <w:color w:val="454546"/>
        </w:rPr>
        <w:t>-</w:t>
      </w:r>
      <w:r>
        <w:rPr>
          <w:rFonts w:ascii="Times New Roman" w:cs="Times New Roman" w:eastAsia="Times New Roman" w:hAnsi="Times New Roman"/>
          <w:sz w:val="20"/>
          <w:szCs w:val="20"/>
          <w:color w:val="454546"/>
        </w:rPr>
        <w:t>based entertainment features and privacy</w:t>
      </w:r>
      <w:r>
        <w:rPr>
          <w:rFonts w:ascii="Arial" w:cs="Arial" w:eastAsia="Arial" w:hAnsi="Arial"/>
          <w:sz w:val="20"/>
          <w:szCs w:val="20"/>
          <w:color w:val="454546"/>
        </w:rPr>
        <w:t>-</w:t>
      </w:r>
      <w:r>
        <w:rPr>
          <w:rFonts w:ascii="Times New Roman" w:cs="Times New Roman" w:eastAsia="Times New Roman" w:hAnsi="Times New Roman"/>
          <w:sz w:val="20"/>
          <w:szCs w:val="20"/>
          <w:color w:val="454546"/>
        </w:rPr>
        <w:t>first occupancy detection. QuickSet is a certified Matter controller with multi</w:t>
      </w:r>
      <w:r>
        <w:rPr>
          <w:rFonts w:ascii="Arial" w:cs="Arial" w:eastAsia="Arial" w:hAnsi="Arial"/>
          <w:sz w:val="20"/>
          <w:szCs w:val="20"/>
          <w:color w:val="454546"/>
        </w:rPr>
        <w:t>-</w:t>
      </w:r>
      <w:r>
        <w:rPr>
          <w:rFonts w:ascii="Times New Roman" w:cs="Times New Roman" w:eastAsia="Times New Roman" w:hAnsi="Times New Roman"/>
          <w:sz w:val="20"/>
          <w:szCs w:val="20"/>
          <w:color w:val="454546"/>
        </w:rPr>
        <w:t>admin capabilities.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color w:val="454546"/>
        </w:rPr>
        <w:t xml:space="preserve">Edge Connectivity Modules. </w:t>
      </w:r>
      <w:r>
        <w:rPr>
          <w:rFonts w:ascii="Times New Roman" w:cs="Times New Roman" w:eastAsia="Times New Roman" w:hAnsi="Times New Roman"/>
          <w:sz w:val="20"/>
          <w:szCs w:val="20"/>
          <w:color w:val="454546"/>
        </w:rPr>
        <w:t>QuickSet Widget and QuickSet Widget Pro provide Wi</w:t>
      </w:r>
      <w:r>
        <w:rPr>
          <w:rFonts w:ascii="Arial" w:cs="Arial" w:eastAsia="Arial" w:hAnsi="Arial"/>
          <w:sz w:val="20"/>
          <w:szCs w:val="20"/>
          <w:color w:val="454546"/>
        </w:rPr>
        <w:t>-</w:t>
      </w:r>
      <w:r>
        <w:rPr>
          <w:rFonts w:ascii="Times New Roman" w:cs="Times New Roman" w:eastAsia="Times New Roman" w:hAnsi="Times New Roman"/>
          <w:sz w:val="20"/>
          <w:szCs w:val="20"/>
          <w:color w:val="454546"/>
        </w:rPr>
        <w:t>Fi 6, Bluetooth 5.3, Zigbee and Thread</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connectivity with native Matter support. These modules integrate seamlessly with cloud services to accelerate OEM development and simplify deployment. UEI Virtual Agent and NetReady support provide automated device onboarding, diagnostics and troubleshooting.</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454546"/>
        </w:rPr>
        <w:t xml:space="preserve">TIDE™ Climate Control Platforms. </w:t>
      </w:r>
      <w:r>
        <w:rPr>
          <w:rFonts w:ascii="Times New Roman" w:cs="Times New Roman" w:eastAsia="Times New Roman" w:hAnsi="Times New Roman"/>
          <w:sz w:val="20"/>
          <w:szCs w:val="20"/>
          <w:color w:val="454546"/>
        </w:rPr>
        <w:t>The UEI TIDE family—including Dial, Touch and the forthcoming Tide Pro—supports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advanced HVAC control across central, hybrid and space systems, including IR</w:t>
      </w:r>
      <w:r>
        <w:rPr>
          <w:rFonts w:ascii="Arial" w:cs="Arial" w:eastAsia="Arial" w:hAnsi="Arial"/>
          <w:sz w:val="20"/>
          <w:szCs w:val="20"/>
          <w:color w:val="454546"/>
        </w:rPr>
        <w:t>-</w:t>
      </w:r>
      <w:r>
        <w:rPr>
          <w:rFonts w:ascii="Times New Roman" w:cs="Times New Roman" w:eastAsia="Times New Roman" w:hAnsi="Times New Roman"/>
          <w:sz w:val="20"/>
          <w:szCs w:val="20"/>
          <w:color w:val="454546"/>
        </w:rPr>
        <w:t>controlled mini</w:t>
      </w:r>
      <w:r>
        <w:rPr>
          <w:rFonts w:ascii="Arial" w:cs="Arial" w:eastAsia="Arial" w:hAnsi="Arial"/>
          <w:sz w:val="20"/>
          <w:szCs w:val="20"/>
          <w:color w:val="454546"/>
        </w:rPr>
        <w:t>-</w:t>
      </w:r>
      <w:r>
        <w:rPr>
          <w:rFonts w:ascii="Times New Roman" w:cs="Times New Roman" w:eastAsia="Times New Roman" w:hAnsi="Times New Roman"/>
          <w:sz w:val="20"/>
          <w:szCs w:val="20"/>
          <w:color w:val="454546"/>
        </w:rPr>
        <w:t>splits. The platform offers energy insights, occupancy</w:t>
      </w:r>
      <w:r>
        <w:rPr>
          <w:rFonts w:ascii="Arial" w:cs="Arial" w:eastAsia="Arial" w:hAnsi="Arial"/>
          <w:sz w:val="20"/>
          <w:szCs w:val="20"/>
          <w:color w:val="454546"/>
        </w:rPr>
        <w:t>-</w:t>
      </w:r>
      <w:r>
        <w:rPr>
          <w:rFonts w:ascii="Times New Roman" w:cs="Times New Roman" w:eastAsia="Times New Roman" w:hAnsi="Times New Roman"/>
          <w:sz w:val="20"/>
          <w:szCs w:val="20"/>
          <w:color w:val="454546"/>
        </w:rPr>
        <w:t>based automation and intelligent comfort management powered by homeSense. Tide Pro will incorporate an enhanced display, on</w:t>
      </w:r>
      <w:r>
        <w:rPr>
          <w:rFonts w:ascii="Arial" w:cs="Arial" w:eastAsia="Arial" w:hAnsi="Arial"/>
          <w:sz w:val="20"/>
          <w:szCs w:val="20"/>
          <w:color w:val="454546"/>
        </w:rPr>
        <w:t>-</w:t>
      </w:r>
      <w:r>
        <w:rPr>
          <w:rFonts w:ascii="Times New Roman" w:cs="Times New Roman" w:eastAsia="Times New Roman" w:hAnsi="Times New Roman"/>
          <w:sz w:val="20"/>
          <w:szCs w:val="20"/>
          <w:color w:val="454546"/>
        </w:rPr>
        <w:t>device artificial intelligence ("AI") and an expanded connectivity framework including Thread and Open Thread Border Router.</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w:t>
      </w:r>
    </w:p>
    <w:p>
      <w:pPr>
        <w:sectPr>
          <w:pgSz w:w="11880" w:h="15480" w:orient="portrait"/>
          <w:cols w:equalWidth="0" w:num="1">
            <w:col w:w="10260"/>
          </w:cols>
          <w:pgMar w:left="820" w:top="613" w:right="800" w:bottom="0" w:gutter="0" w:footer="0" w:header="0"/>
          <w:type w:val="continuous"/>
        </w:sectPr>
      </w:pPr>
    </w:p>
    <w:bookmarkStart w:id="10" w:name="page11"/>
    <w:bookmarkEnd w:id="10"/>
    <w:p>
      <w:pPr>
        <w:jc w:val="both"/>
        <w:spacing w:after="0" w:line="265" w:lineRule="auto"/>
        <w:rPr>
          <w:sz w:val="20"/>
          <w:szCs w:val="20"/>
          <w:color w:val="auto"/>
        </w:rPr>
      </w:pPr>
      <w:r>
        <w:rPr>
          <w:rFonts w:ascii="Times New Roman" w:cs="Times New Roman" w:eastAsia="Times New Roman" w:hAnsi="Times New Roman"/>
          <w:sz w:val="20"/>
          <w:szCs w:val="20"/>
          <w:b w:val="1"/>
          <w:bCs w:val="1"/>
          <w:color w:val="454546"/>
        </w:rPr>
        <w:t>Low</w:t>
      </w:r>
      <w:r>
        <w:rPr>
          <w:rFonts w:ascii="Arial" w:cs="Arial" w:eastAsia="Arial" w:hAnsi="Arial"/>
          <w:sz w:val="20"/>
          <w:szCs w:val="20"/>
          <w:color w:val="454546"/>
        </w:rPr>
        <w:t>-</w:t>
      </w:r>
      <w:r>
        <w:rPr>
          <w:rFonts w:ascii="Times New Roman" w:cs="Times New Roman" w:eastAsia="Times New Roman" w:hAnsi="Times New Roman"/>
          <w:sz w:val="20"/>
          <w:szCs w:val="20"/>
          <w:b w:val="1"/>
          <w:bCs w:val="1"/>
          <w:color w:val="454546"/>
        </w:rPr>
        <w:t xml:space="preserve">Power Silicon and Sustainable Technologies. </w:t>
      </w:r>
      <w:r>
        <w:rPr>
          <w:rFonts w:ascii="Times New Roman" w:cs="Times New Roman" w:eastAsia="Times New Roman" w:hAnsi="Times New Roman"/>
          <w:sz w:val="20"/>
          <w:szCs w:val="20"/>
          <w:color w:val="454546"/>
        </w:rPr>
        <w:t>Our Graphene and Eterna voice remote platforms and proprietary</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low</w:t>
      </w:r>
      <w:r>
        <w:rPr>
          <w:rFonts w:ascii="Arial" w:cs="Arial" w:eastAsia="Arial" w:hAnsi="Arial"/>
          <w:sz w:val="20"/>
          <w:szCs w:val="20"/>
          <w:color w:val="454546"/>
        </w:rPr>
        <w:t>-</w:t>
      </w:r>
      <w:r>
        <w:rPr>
          <w:rFonts w:ascii="Times New Roman" w:cs="Times New Roman" w:eastAsia="Times New Roman" w:hAnsi="Times New Roman"/>
          <w:sz w:val="20"/>
          <w:szCs w:val="20"/>
          <w:color w:val="454546"/>
        </w:rPr>
        <w:t>power SoCs support batteryless, ultra</w:t>
      </w:r>
      <w:r>
        <w:rPr>
          <w:rFonts w:ascii="Arial" w:cs="Arial" w:eastAsia="Arial" w:hAnsi="Arial"/>
          <w:sz w:val="20"/>
          <w:szCs w:val="20"/>
          <w:color w:val="454546"/>
        </w:rPr>
        <w:t>-</w:t>
      </w:r>
      <w:r>
        <w:rPr>
          <w:rFonts w:ascii="Times New Roman" w:cs="Times New Roman" w:eastAsia="Times New Roman" w:hAnsi="Times New Roman"/>
          <w:sz w:val="20"/>
          <w:szCs w:val="20"/>
          <w:color w:val="454546"/>
        </w:rPr>
        <w:t>efficient control products, including Hybrid Supercap for energy storage and energy</w:t>
      </w:r>
      <w:r>
        <w:rPr>
          <w:rFonts w:ascii="Arial" w:cs="Arial" w:eastAsia="Arial" w:hAnsi="Arial"/>
          <w:sz w:val="20"/>
          <w:szCs w:val="20"/>
          <w:color w:val="454546"/>
        </w:rPr>
        <w:t>-</w:t>
      </w:r>
      <w:r>
        <w:rPr>
          <w:rFonts w:ascii="Times New Roman" w:cs="Times New Roman" w:eastAsia="Times New Roman" w:hAnsi="Times New Roman"/>
          <w:sz w:val="20"/>
          <w:szCs w:val="20"/>
          <w:color w:val="454546"/>
        </w:rPr>
        <w:t>harvesting solutions such as photovoltaic</w:t>
      </w:r>
      <w:r>
        <w:rPr>
          <w:rFonts w:ascii="Arial" w:cs="Arial" w:eastAsia="Arial" w:hAnsi="Arial"/>
          <w:sz w:val="20"/>
          <w:szCs w:val="20"/>
          <w:color w:val="454546"/>
        </w:rPr>
        <w:t>-</w:t>
      </w:r>
      <w:r>
        <w:rPr>
          <w:rFonts w:ascii="Times New Roman" w:cs="Times New Roman" w:eastAsia="Times New Roman" w:hAnsi="Times New Roman"/>
          <w:sz w:val="20"/>
          <w:szCs w:val="20"/>
          <w:color w:val="454546"/>
        </w:rPr>
        <w:t>powered remote controls. These technologies reduce or eliminate battery usage and support customer sustainability goals.</w:t>
      </w:r>
    </w:p>
    <w:p>
      <w:pPr>
        <w:spacing w:after="0" w:line="21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454546"/>
        </w:rPr>
        <w:t xml:space="preserve">Smart Home Hubs and Sensors. </w:t>
      </w:r>
      <w:r>
        <w:rPr>
          <w:rFonts w:ascii="Times New Roman" w:cs="Times New Roman" w:eastAsia="Times New Roman" w:hAnsi="Times New Roman"/>
          <w:sz w:val="20"/>
          <w:szCs w:val="20"/>
          <w:color w:val="454546"/>
        </w:rPr>
        <w:t>Our Butler hubs, powered by QuickSet Cloud, integrate Zigbee, Wi</w:t>
      </w:r>
      <w:r>
        <w:rPr>
          <w:rFonts w:ascii="Arial" w:cs="Arial" w:eastAsia="Arial" w:hAnsi="Arial"/>
          <w:sz w:val="20"/>
          <w:szCs w:val="20"/>
          <w:color w:val="454546"/>
        </w:rPr>
        <w:t>-</w:t>
      </w:r>
      <w:r>
        <w:rPr>
          <w:rFonts w:ascii="Times New Roman" w:cs="Times New Roman" w:eastAsia="Times New Roman" w:hAnsi="Times New Roman"/>
          <w:sz w:val="20"/>
          <w:szCs w:val="20"/>
          <w:color w:val="454546"/>
        </w:rPr>
        <w:t>Fi, IP and IR</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technologies and provide Matter bridging to unify legacy and modern devices. Pre</w:t>
      </w:r>
      <w:r>
        <w:rPr>
          <w:rFonts w:ascii="Arial" w:cs="Arial" w:eastAsia="Arial" w:hAnsi="Arial"/>
          <w:sz w:val="20"/>
          <w:szCs w:val="20"/>
          <w:color w:val="454546"/>
        </w:rPr>
        <w:t>-</w:t>
      </w:r>
      <w:r>
        <w:rPr>
          <w:rFonts w:ascii="Times New Roman" w:cs="Times New Roman" w:eastAsia="Times New Roman" w:hAnsi="Times New Roman"/>
          <w:sz w:val="20"/>
          <w:szCs w:val="20"/>
          <w:color w:val="454546"/>
        </w:rPr>
        <w:t>integrated sensor kits support energy management, climate, lighting and automation use cases.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Markets and Competition</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454546"/>
        </w:rPr>
        <w:t>Demand in our climate control solution is driven by energy</w:t>
      </w:r>
      <w:r>
        <w:rPr>
          <w:rFonts w:ascii="Arial" w:cs="Arial" w:eastAsia="Arial" w:hAnsi="Arial"/>
          <w:sz w:val="20"/>
          <w:szCs w:val="20"/>
          <w:color w:val="454546"/>
        </w:rPr>
        <w:t>-</w:t>
      </w:r>
      <w:r>
        <w:rPr>
          <w:rFonts w:ascii="Times New Roman" w:cs="Times New Roman" w:eastAsia="Times New Roman" w:hAnsi="Times New Roman"/>
          <w:sz w:val="20"/>
          <w:szCs w:val="20"/>
          <w:color w:val="454546"/>
        </w:rPr>
        <w:t>efficiency and energy demand management requirements, the adoption of advanced HVAC systems and the need for predictive analytics for improved HVAC maintenance. We face competition from HVAC OEM suppliers, module and chipset vendors, smart home platform providers, traditional remote</w:t>
      </w:r>
      <w:r>
        <w:rPr>
          <w:rFonts w:ascii="Arial" w:cs="Arial" w:eastAsia="Arial" w:hAnsi="Arial"/>
          <w:sz w:val="20"/>
          <w:szCs w:val="20"/>
          <w:color w:val="454546"/>
        </w:rPr>
        <w:t>-</w:t>
      </w:r>
      <w:r>
        <w:rPr>
          <w:rFonts w:ascii="Times New Roman" w:cs="Times New Roman" w:eastAsia="Times New Roman" w:hAnsi="Times New Roman"/>
          <w:sz w:val="20"/>
          <w:szCs w:val="20"/>
          <w:color w:val="454546"/>
        </w:rPr>
        <w:t>control manufacturers and various regional or specialized providers. We compete on feature innovation, software capability, intellectual property, interoperability with our portfolio of device libraries, low</w:t>
      </w:r>
      <w:r>
        <w:rPr>
          <w:rFonts w:ascii="Arial" w:cs="Arial" w:eastAsia="Arial" w:hAnsi="Arial"/>
          <w:sz w:val="20"/>
          <w:szCs w:val="20"/>
          <w:color w:val="454546"/>
        </w:rPr>
        <w:t>-</w:t>
      </w:r>
      <w:r>
        <w:rPr>
          <w:rFonts w:ascii="Times New Roman" w:cs="Times New Roman" w:eastAsia="Times New Roman" w:hAnsi="Times New Roman"/>
          <w:sz w:val="20"/>
          <w:szCs w:val="20"/>
          <w:color w:val="454546"/>
        </w:rPr>
        <w:t>power silicon, global design support and vertically integrated manufacturing.</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The consumer demand to upgrade to smart thermostats is driven by the integration of intelligent climate control solutions for enhanced user comfort and energy efficiency, increased cloud connectivity, support for smart home ecosystems and the adoption of energy management platforms utilizing occupancy and presence detection technology, such as QuickSet homeSense. Furthermore, our OEM customers are equally motivated to bring these cloud-connected capabilities to their thermostat products as the benefits gained in accessing system data for preventive and predictive maintenance of the HVAC systems, far outweigh the added investments in these more advanced (smart) thermostats.</w:t>
      </w: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Leveraging our scale and expertise in low-power RF microcontrollers, we continue to pursue further penetration of our traditional OEM consumer electronics markets as well as newer product categories in the smart home and IoT markets including smart lighting, smart and motorized shades, as well as smart toilets and faucets, which rely on smart connectivity and control technologies to reduce water use and improve user experience.</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Home entertainment markets continue to transition from traditional Pay TV toward smart TV operating systems, streaming platforms and personalized advertising models. QuickSet and homeSense support these trends through cross</w:t>
      </w:r>
      <w:r>
        <w:rPr>
          <w:rFonts w:ascii="Arial" w:cs="Arial" w:eastAsia="Arial" w:hAnsi="Arial"/>
          <w:sz w:val="20"/>
          <w:szCs w:val="20"/>
          <w:color w:val="454546"/>
        </w:rPr>
        <w:t>-</w:t>
      </w:r>
      <w:r>
        <w:rPr>
          <w:rFonts w:ascii="Times New Roman" w:cs="Times New Roman" w:eastAsia="Times New Roman" w:hAnsi="Times New Roman"/>
          <w:sz w:val="20"/>
          <w:szCs w:val="20"/>
          <w:color w:val="454546"/>
        </w:rPr>
        <w:t>platform interoperability and presence</w:t>
      </w:r>
      <w:r>
        <w:rPr>
          <w:rFonts w:ascii="Arial" w:cs="Arial" w:eastAsia="Arial" w:hAnsi="Arial"/>
          <w:sz w:val="20"/>
          <w:szCs w:val="20"/>
          <w:color w:val="454546"/>
        </w:rPr>
        <w:t>-</w:t>
      </w:r>
      <w:r>
        <w:rPr>
          <w:rFonts w:ascii="Times New Roman" w:cs="Times New Roman" w:eastAsia="Times New Roman" w:hAnsi="Times New Roman"/>
          <w:sz w:val="20"/>
          <w:szCs w:val="20"/>
          <w:color w:val="454546"/>
        </w:rPr>
        <w:t>aware engagement. Additionally, some of our current customers have successfully introduced media streaming services and expanded their footprint to new end-users. Comcast-Charter's Xumo TV, Tivo Stream, and Sky Glass are examples of current customer offerings of these types of services. Additionally, these brands, along with our OEM customers in consumer electronics, such as LG with their WebOS, are expanding their customer footprints through distribution of their OS platforms that include our QuickSet technologies, allowing us to grow our global technology footprint and grow our licensing revenue in those channels.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Our principal competitors in the home entertainment market are Remote Solutions, Home Control International, Tech4Home and Ruwido. In the climate control market, we compete with regional specialists and global companies such as Resideo, Copeland-Emerson and Venstar, as well as Far East based OEM manufacturers such as Computime, who compete with us on customer RFQs. In the connected smart home market, we compete with the OEMs themselves as well as wireless manufacturers in North America, such as Nice, and several original design manufacturers in Asia, as well as technology system providers such as Tuya. In the home security, safety and automation market, we compete with offshore-based, original design and built-to-print hardware manufacturers, such as Leedarson and Xavi Technologies. In the international retail and private label markets for wireless controls, we compete primarily with a variety of accessory trading and branding companies like Jasco and Hama, as well as various manufacturers of AV accessories in Asia.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Global Locations and Subsidiaries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operate on a global scale with research and development ("R&amp;D") teams in the U.S., Europe, the PRC and India. The company has diversified manufacturing facilities in Vietnam, the PRC and Brazil. This global presence allows us to leverage our scale and reach to deliver innovative products and solutions to customers worldwide.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24 domestic and international subsidiaries are the following:</w:t>
      </w:r>
    </w:p>
    <w:p>
      <w:pPr>
        <w:spacing w:after="0" w:line="250" w:lineRule="exact"/>
        <w:rPr>
          <w:sz w:val="20"/>
          <w:szCs w:val="20"/>
          <w:color w:val="auto"/>
        </w:rPr>
      </w:pPr>
    </w:p>
    <w:p>
      <w:pPr>
        <w:ind w:left="1080" w:hanging="370"/>
        <w:spacing w:after="0"/>
        <w:tabs>
          <w:tab w:leader="none" w:pos="1080" w:val="left"/>
        </w:tabs>
        <w:numPr>
          <w:ilvl w:val="0"/>
          <w:numId w:val="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C.G. Development Ltd., established in Hong Kong;</w:t>
      </w:r>
    </w:p>
    <w:p>
      <w:pPr>
        <w:sectPr>
          <w:pgSz w:w="11880" w:h="15480" w:orient="portrait"/>
          <w:cols w:equalWidth="0" w:num="1">
            <w:col w:w="10260"/>
          </w:cols>
          <w:pgMar w:left="820" w:top="598" w:right="800" w:bottom="0"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w:t>
      </w:r>
    </w:p>
    <w:p>
      <w:pPr>
        <w:sectPr>
          <w:pgSz w:w="11880" w:h="15480" w:orient="portrait"/>
          <w:cols w:equalWidth="0" w:num="1">
            <w:col w:w="10260"/>
          </w:cols>
          <w:pgMar w:left="820" w:top="598" w:right="800" w:bottom="0" w:gutter="0" w:footer="0" w:header="0"/>
          <w:type w:val="continuous"/>
        </w:sectPr>
      </w:pPr>
    </w:p>
    <w:bookmarkStart w:id="11" w:name="page12"/>
    <w:bookmarkEnd w:id="11"/>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CG Mexico Distribution Co., S. de R.L. de C.V., established in Mexico;</w:t>
      </w:r>
    </w:p>
    <w:p>
      <w:pPr>
        <w:spacing w:after="0" w:line="3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CG Mexico Remote Controls, S. de R.L. de C.V., established in Mexico;</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Gemstar Polyfirst Ltd., established in Hong Kong;</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Gemstar Technology (Yangzhou) Co. Ltd., established in the PRC;</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Guangzhou Universal Electronics Service Co., Ltd., established in the PRC;</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One For All France S.A.S., established in France;</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One For All GmbH, established in Germany;</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One For All Iberia S.L., established in Spain;</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One For All UK Ltd., established in the United Kingdom;</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Qinzhou Universal Trading Co. Ltd., established in the PRC;</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UE Japan Ltd., established in Japan;</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UE Korea Ltd., established in South Korea;</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UE Singapore Pte. Ltd., established in Singapore;</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UE Vietnam Company Limited, established in Vietnam;</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UEI Electronics Pte. Ltd., established in India;</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Arial" w:cs="Arial" w:eastAsia="Arial" w:hAnsi="Arial"/>
          <w:sz w:val="24"/>
          <w:szCs w:val="24"/>
          <w:color w:val="454546"/>
        </w:rPr>
      </w:pPr>
      <w:r>
        <w:rPr>
          <w:rFonts w:ascii="Times New Roman" w:cs="Times New Roman" w:eastAsia="Times New Roman" w:hAnsi="Times New Roman"/>
          <w:sz w:val="20"/>
          <w:szCs w:val="20"/>
          <w:color w:val="454546"/>
        </w:rPr>
        <w:t>UE Holdings, LLC; established under the laws of Delaware;</w:t>
      </w:r>
    </w:p>
    <w:p>
      <w:pPr>
        <w:spacing w:after="0" w:line="13" w:lineRule="exact"/>
        <w:rPr>
          <w:rFonts w:ascii="Arial" w:cs="Arial" w:eastAsia="Arial" w:hAnsi="Arial"/>
          <w:sz w:val="24"/>
          <w:szCs w:val="24"/>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UEI Hong Kong Pte. Ltd., established in Hong Kong;</w:t>
      </w:r>
    </w:p>
    <w:p>
      <w:pPr>
        <w:spacing w:after="0" w:line="8"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Universal Electronics B.V., established in the Netherlands;</w:t>
      </w:r>
    </w:p>
    <w:p>
      <w:pPr>
        <w:spacing w:after="0" w:line="10" w:lineRule="exact"/>
        <w:rPr>
          <w:rFonts w:ascii="Times New Roman" w:cs="Times New Roman" w:eastAsia="Times New Roman" w:hAnsi="Times New Roman"/>
          <w:sz w:val="20"/>
          <w:szCs w:val="20"/>
          <w:color w:val="454546"/>
        </w:rPr>
      </w:pPr>
    </w:p>
    <w:p>
      <w:pPr>
        <w:ind w:left="1080" w:hanging="370"/>
        <w:spacing w:after="0" w:line="235" w:lineRule="auto"/>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Universal Electronics Holdings, LLC; established under the laws of Delaware;</w:t>
      </w: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Universal Electronics Italia S.R.L., established in Italy;</w:t>
      </w:r>
    </w:p>
    <w:p>
      <w:pPr>
        <w:spacing w:after="0" w:line="8"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Universal Electronics Yangzhou Co. Ltd., established in the PRC;</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Universal Electronics do Brasil Ltda., established in Brazil; and</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Yangzhou Universal Trading Co. Ltd., established in the PRC.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Research and Development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Engineering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Our development resources include approximately 390 engineering and R&amp;D team members worldwide, who are dedicated to designing and developing cutting-edge consumer control products, technologies and software services. We invest heavily in technology and product innovation, focusing on creating smarter living solutions for our customers.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Our engineering resources continued to advance the UEI TIDE family of smart thermostat platforms, completing development and testing activities to support design wins across HVAC OEM, MDU and utilities customers, and integrating new capabilities showcased at CES 2026, including Matter support, QuickSet homeSense, energy insights and a device-based rules engine. The expanded TIDE portfolio—including Dial, Touch and Bridge models—now supports a range of wired and wireless connectivity options such as Zigbee Coordinator functionality and Matter interoperability, enabling seamless integration with HVAC systems and major smart home ecosystems. Designed to manage both central and space HVAC systems, the platform also offers hybrid system control through IR, and incorporates nevo®.ai for device onboarding, remote control and embedded support, delivering enhanced intelligence, energy management and ease of use across customer-specific deployments.</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During 2025, our development teams successfully completed and released new products in the connected home space for customers such as Daikin, Carrier, Mitsubishi, Somfy, SimpliSafe, and Vivint.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During 2025, our advanced engineering efforts focused on further developing our existing products, services and technologies. We released a host of unique QuickSet Cloud features such as QuickSet homeSense for occupancy and presence detection, video and audio content and app history, and support for Thread, as well as continued development initiatives around existing and emerging technologies, such as Zigbee 3.0, Bluetooth Smart, WiFi and Matter, a unifying, IP-based connectivity protocol built on proven technologies designed to connect smart home devices reliably and securely across disparate IoT ecosystems.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Because of the nature of R&amp;D activities, there can be no assurance that any of our R&amp;D projects will be successfully completed or ultimately achieve commercial success.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Intellectual Property and Technology</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A key factor in our ability to deliver advanced home entertainment, climate control and smart home solutions is our proprietary device knowledge libraries and discovery technologies. These libraries—which support IR, HDMI CEC, Bluetooth, Zigbee (Rf4CE), Z Wave, Thread, Matter and IP based protocols—continue to expand each year and form the foundation for our setup, identification and control capabilities across a broad range of devices.</w:t>
      </w:r>
    </w:p>
    <w:p>
      <w:pPr>
        <w:sectPr>
          <w:pgSz w:w="11880" w:h="15480" w:orient="portrait"/>
          <w:cols w:equalWidth="0" w:num="1">
            <w:col w:w="10260"/>
          </w:cols>
          <w:pgMar w:left="820" w:top="613" w:right="800" w:bottom="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w:t>
      </w:r>
    </w:p>
    <w:p>
      <w:pPr>
        <w:sectPr>
          <w:pgSz w:w="11880" w:h="15480" w:orient="portrait"/>
          <w:cols w:equalWidth="0" w:num="1">
            <w:col w:w="10260"/>
          </w:cols>
          <w:pgMar w:left="820" w:top="613" w:right="800" w:bottom="0" w:gutter="0" w:footer="0" w:header="0"/>
          <w:type w:val="continuous"/>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20"/>
          <w:szCs w:val="20"/>
          <w:color w:val="454546"/>
        </w:rPr>
        <w:t>Our HVAC engine provides the logic and sequence control required for efficient operation of heating and cooling systems, including heat pumps and single, dual, and multi fuel HVAC equipment. We also maintain proprietary bi-directional communication protocols used by leading HVAC OEMs to enable optimized control and access to diagnostic system data.</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integrate our software and control libraries into the integrated circuits we ship to manufacturers, and we also license these technologies directly to OEMs and service providers. Our solutions extend to home entertainment and home automation products through wired CEC and wireless IP protocols that automatically detect, identify and configure supported devices. These libraries are continuously updated using data sourced directly from original devices and manufacturer specifications.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We maintain a broad portfolio of patents covering our discovery, setup and control technologies across climate control, safety and security, and smart home automation applications. Our patents have remaining lives ranging from less than one year to 18 years. We also hold copyrights on proprietary software and device control libraries and maintain registered trademarks for many of our product names in the United States and internationally. In certain cases, we rely on common law trade secret protection when appropriate.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Manufacturing and Supply</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are vertically integrated across design, development, and manufacturing. Our manufacturing capabilities include high-quality surface mount technology, zero-gap, plastic injection, acoustic design, painting, keypad, robot soldering, and laser etching. We currently operate manufacturing and assembly factories in the PRC, Vietnam and Brazil, which allows us to produce in the regional markets. We also use selected third-party manufacturers and suppliers in Asia and Mexico.</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454546"/>
        </w:rPr>
        <w:t>Our long-term factory planning strategy is to reduce our reliance on any single region and, in some cases, transition away from vertical integration and associated fixed costs, by (1) reducing our manufacturing concentration in the PRC, (2) pursuing lower cost jurisdictions for manufacturing to help ensure market competitive products and (3) offering customers a flexible and globally diverse manufacturing footprint to provide a reliable and cost-efficient supply chain. As part of the execution of this strategy, we (1) opened a new factory in Vietnam, which commenced operations in June 2023, (2) stopped production activities in our southwestern PRC factory in the third quarter 2023 and completed its shutdown in the first quarter 2024, (3) stopped production activities and shutdown operations of our smaller eastern PRC factory during the fourth quarter 2024 and (4) discontinued our Mexico operations in 2025. We continue to evaluate our global factory footprint to identify ways to operate more efficiently.</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With regard to the potential for recent tariff activities related to our products sourced globally, our global supply chain team is actively monitoring, reviewing and assessing any potential impact to our products and supply chain across the world. We have strategically developed a global manufacturing footprint to enhance efficiency and mitigate risks associated with international trade policies to better serve our global customer base.</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Even though we operate one factory in the PRC, one factory in Vietnam and a manufacturing and assembly plant in Brazil, respectively, we continue to evaluate additional third-party manufacturers and sources of supply. During 2025, we utilized multiple third-party manufacturers and maintained duplicate tooling for certain products. Where possible, we utilize standard parts and components, which are available from multiple sources.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are a large consumer of integrated circuits, including low-power, RF chips and modules that are used throughout our products. 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memory-based microcontrollers have shorter lead times than microcontrollers using other memory technologies and may be reprogrammed. This allows us flexibility to use a given component on many different products, has the added benefit of potentially reducing excess and obsolete inventory exposure and allows us to update our product functionality in the field. This diversification lessens our dependence on any one supplier and allows us to negotiate more favorable terms. We had one supplier, Qorvo, that represented 10.2% of our inventory purchases in 2025. We did not have any suppliers that represented over 10% of our inventory purchases in 2024 or 2023.</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Our manufacturing process consists of plastic injection molding, keypad molding, coating or painting, surface mount technology, assembly, software programming, functional testing, packaging, and quality control. We conduct operations utilizing a formal, documented quality management system to ensure that our products and services satisfy customer needs and expectations. Our manufacturing facilities are certified to the ISO 9001:2015 International Standard for quality management. Testing and quality control are applied to components, parts, sub-assemblies and systems obtained from third-party suppliers. Our manufacturing facility in Yangzhou, PRC is certified to the TL 9000 Standard, which is the telecom industry's unique</w:t>
      </w:r>
    </w:p>
    <w:p>
      <w:pPr>
        <w:sectPr>
          <w:pgSz w:w="11880" w:h="15480" w:orient="portrait"/>
          <w:cols w:equalWidth="0" w:num="1">
            <w:col w:w="10260"/>
          </w:cols>
          <w:pgMar w:left="820" w:top="853" w:right="800" w:bottom="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w:t>
      </w:r>
    </w:p>
    <w:p>
      <w:pPr>
        <w:sectPr>
          <w:pgSz w:w="11880" w:h="15480" w:orient="portrait"/>
          <w:cols w:equalWidth="0" w:num="1">
            <w:col w:w="10260"/>
          </w:cols>
          <w:pgMar w:left="820" w:top="853" w:right="800" w:bottom="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20"/>
          <w:szCs w:val="20"/>
          <w:color w:val="454546"/>
        </w:rPr>
        <w:t>extension to ISO 9001:2015. All of our manufacturing facilities are certified to the ISO 14001:2015 International Standard for environmental management systems. In addition, our manufacturing facilities in Vietnam and Yangzhou, PRC have also achieved ISO 45001 International Standard for safety and health management systems.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are focused on reducing the environmental impact of our operations. Our manufacturing facility in Yangzhou, PRC hosts an on-site solar renewable energy system, and we are evaluating the use of renewable energy in other locations. Our teams continue to examine practices and processes throughout our facilities to identify opportunities for greater energy efficiency. Each of our manufacturing facilities has standing policies and targets for the monitoring and management of waste generation and energy consumption and is focused on reducing electricity consumption, water usage and greenhouse gas emissions. In April 2024, we signed our Commitment Letter to the Science Based Targets Initiative ("SBTi"), showcasing our dedication to establishing an approved science based target for reducing greenhouse gas emissions.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are committed to complying with applicable labor laws and regulations of the countries in which we operate and supporting ethical labor practices that do not infringe on human rights. We are a regular member of the Responsible Business Alliance ("RBA"), an industry coalition dedicated to driving sustainable value for workers in global supply chains, among other things. As a regular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We conduct regular internal audits in line with RBA, have engaged in third-party Sedex Members Ethical Trade Audits ("SMETA") and RBA audits in our factories and regularly monitor ethics-related key performance indicators. In July 2024, our manufacturing facility in Vietnam successfully completed the RBA Validated Assessment Program ("VAP") audit, achieving a Silver VAP Recognition Level.</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Our third party due diligence program and ethics and sustainability management systems are aligned with internationally recognized labor and human rights standards, including the RBA Code of Conduct. This includes evaluating and addressing human rights concerns in our supply chain. We follow RBA guidelines for the supplier risk assessment process. We utilize a combination of third party due diligence platforms and RBA management systems to screen all suppliers for sustainability and ethics concerns. Suppliers are evaluated based on key risk indicators to determine the level of due diligence required. Based on assessed risk, certain suppliers are subject to on</w:t>
      </w:r>
      <w:r>
        <w:rPr>
          <w:rFonts w:ascii="Arial" w:cs="Arial" w:eastAsia="Arial" w:hAnsi="Arial"/>
          <w:sz w:val="20"/>
          <w:szCs w:val="20"/>
          <w:color w:val="454546"/>
        </w:rPr>
        <w:t>-</w:t>
      </w:r>
      <w:r>
        <w:rPr>
          <w:rFonts w:ascii="Times New Roman" w:cs="Times New Roman" w:eastAsia="Times New Roman" w:hAnsi="Times New Roman"/>
          <w:sz w:val="20"/>
          <w:szCs w:val="20"/>
          <w:color w:val="454546"/>
        </w:rPr>
        <w:t>site audits conducted by UEI auditors or approved third party auditors. High risk suppliers are required to complete an onsite RBA VAP audit. We require suppliers to adhere to our Global Supplier Code of Conduct ("Supplier Code of Conduct"), which is available on our website. Our Supplier Code of Conduct sets forth our global expectations in the areas of fair dealing, legal compliance, business integrity, labor practices, health and safety and environmental management. Among other things, we require our suppliers to respect human rights and to not engage in any form of involuntary or forced labor and to fully comply with all laws and regulations pertaining to the appropriate and dignified treatment of all workers.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Our Global Human Rights Policy is aligned with internationally recognized human rights principles defined by the Universal Declaration of Human Rights and the United Nations Guiding Principles on Business and Human Rights. We provide training to all employees to help identify and report any signs of forced labor or other unlawful labor practices. We have a third-party confidential ethics hotline ("the UEI Ethics Line") to enable our employees or other stakeholders to anonymously report any suspected violations of applicable laws, policies or human rights violations. We are committed to investigating all communications received on the UEI Ethics 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Government Regulation and Environmental Matters</w:t>
      </w:r>
    </w:p>
    <w:p>
      <w:pPr>
        <w:spacing w:after="0" w:line="2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454546"/>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may also face significant costs and liabilities in connection with product take-back and "right to repair" legislation both in the U.S. and abroad. For example, the European Union's Waste Electrical and Electronic Equipment ("WEEE") Directive makes producers of electrical goods financially responsible for specified collection, recycling, treatment, and disposal of past and future covered products. Our European subsidiaries are WEEE compliant.</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We believe that we have materially complied with all currently existing international and domestic federal, state and local statutes and regulations regarding environmental standards and occupational safety and health matters to which we are subject.</w:t>
      </w:r>
    </w:p>
    <w:p>
      <w:pPr>
        <w:sectPr>
          <w:pgSz w:w="11880" w:h="15480" w:orient="portrait"/>
          <w:cols w:equalWidth="0" w:num="1">
            <w:col w:w="10260"/>
          </w:cols>
          <w:pgMar w:left="820" w:top="613" w:right="800" w:bottom="0" w:gutter="0" w:footer="0" w:header="0"/>
        </w:sectPr>
      </w:pP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10</w:t>
      </w:r>
    </w:p>
    <w:p>
      <w:pPr>
        <w:sectPr>
          <w:pgSz w:w="11880" w:h="15480" w:orient="portrait"/>
          <w:cols w:equalWidth="0" w:num="1">
            <w:col w:w="10260"/>
          </w:cols>
          <w:pgMar w:left="820" w:top="613" w:right="800" w:bottom="0" w:gutter="0" w:footer="0" w:header="0"/>
          <w:type w:val="continuous"/>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20"/>
          <w:szCs w:val="20"/>
          <w:color w:val="454546"/>
        </w:rPr>
        <w:t>During the years ended December 31, 2025, 2024 and 2023, the costs incurred in complying with federal, state, local and foreign statutes and regulations pertaining to environmental standards and occupational safety and health laws and regulations did not materially affect our earnings, financial condition or competitive position. In addition, during the same period, the costs incurred in complying with other applicable government regulations likewise did not materially affect our earnings, financial condition or competitive position. However, due to the heightened awareness of corporate sustainability, human capital and governance matters and evolving laws and regulations or enforcement policies, increases in compliance costs may have a material adverse effect upon our capital expenditures, earnings or financial condition.</w:t>
      </w:r>
    </w:p>
    <w:p>
      <w:pPr>
        <w:spacing w:after="0" w:line="2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454546"/>
        </w:rPr>
        <w:t>We are committed to reducing and eliminating substances of concern from our products and manufacturing process. Our products distributed in the European Union are compliant with the RoHS (Restriction of Hazardous Substances Directive 2011/65/EU and 2015/863/EU) and REACH (Registration, Evaluation, Authorization and Restriction of Chemicals) directives. In other regions, we also need to comply with our customers' specific requirements relating to the non-use of certain hazardous substances in the products, which are typically equally or more stringent than the RoHS directive. We have a dedicated "Green Team" comprised of engineers and environmental regulation experts, that analyze our products, processes, and raw materials to help ensure that we comply with environmental and government regulations worldwide, as well as the applicable "Green" requirements imposed by our customers. Our factories are certified to the Environmental Management System ISO 14001:2015 standard. Additionally, we have in-house testing capability to help ensure product compliance. We place great importance on compliance to local health and safety laws and regulations. At our manufacturing facilities, we are also committed to protecting our workers from exposure to hazardous substances following the principles established for the health and safety management system, ISO 45001. For example, we have replaced volatile organic compounds ("VOC") emitting inks and paints with reduced-VOC paints at some of our manufacturing facilities.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strive to extend the useful life of our products and reduce our products' impact on the environment. We have invested in R&amp;D to improve the energy efficiency of our battery-operated products. For example, we deploy a low energy IR-engine in some of our products, which can extend battery life regardless of the protocols utilized by the product. We have introduced our control platform and related technologies that address the growing demand for sustainable products that reduce energy use and eliminate waste. With this platform, we partnered with technology leaders and invested in bringing ultra-low power connectivity chips with built-in energy harvesting and photovoltaic cells to the market. These chips offer more computing power while consuming substantially less battery power. In addition, to reduce energy consumption even further, we have introduced solutions powered by low-light solar cells for the entertainment remote control and IoT markets.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also offer a product refurbishment program to our customers where we reclaim, refurbish and recycle pre-owned remote controls. Under this program, major components in pre-owned remote control units are reused or recycled. For example, the printed circuit board assemblies ("PCBA") are cleaned, tested and reused, or plastics are reground to be reused. We have also employed new master carton packing methods to increase shipping efficiency and reduce cardboard usage. Some of our manufacturing facilities are switching to the use of recycled solder. To further reduce collateral waste, we have introduced an initiative to reduce and/or remove single use plastics ("SUP") from our supply chain and manufacturing process for certain customer programs.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In the nations where we have operations or otherwise conduct business, we are also subject to tariffs, import/export controls, and other trade-related laws and limitations. These limits, regulations, and tariffs, especially those pertaining to or affecting relations between the United States and the PRC, might significantly disrupt our business, affecting our capacity to manufacture, source components and sell goods. The current U.S. administration has introduced new policies imposing additional tariffs on goods manufactured abroad, including goods manufactured in the PRC, Brazil, Vietnam and Mexico. Tariffs imposed under the International Economic Emergency Powers Act on the PRC and Mexico were declared unlawful by the U.S. Supreme Court on February 20, 2026, and have since been lifted, but the Administration has moved to replace them with new duties under alternative authorities, including Section 122 of the Trade Act. Significant uncertainty continues to exist about the future of U.S. trade policy and the implementation of new tariffs, including but not limited to, new tariffs on goods manufactured in the PRC and Mexico. This includes the 2026 Joint Review of the U.S.-Canada-Mexico Agreement (“USMCA”), which could impact rules of origin and import restrictions on trade with Mexico. These measures, if fully implemented, will increase costs for certain goods imported into the 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Climate Change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Our operations, supply chain and products are expected to become increasingly subject to federal, state, local and foreign laws, regulations, and international treaties relating to climate change, such as climate disclosure, carbon pricing or product energy efficiency requirements. We have established an executive-level Environmental Working Group to further integrate environmental considerations throughout the product lifecycle, ensure compliance with environmental regulations and customer requirements, implement sustainable practices in our operations, reduce our product's environmental footprint, and deliver more</w:t>
      </w:r>
    </w:p>
    <w:p>
      <w:pPr>
        <w:sectPr>
          <w:pgSz w:w="11880" w:h="15480" w:orient="portrait"/>
          <w:cols w:equalWidth="0" w:num="1">
            <w:col w:w="10260"/>
          </w:cols>
          <w:pgMar w:left="820" w:top="613" w:right="800" w:bottom="0" w:gutter="0" w:footer="0" w:header="0"/>
        </w:sect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11</w:t>
      </w:r>
    </w:p>
    <w:p>
      <w:pPr>
        <w:sectPr>
          <w:pgSz w:w="11880" w:h="15480" w:orient="portrait"/>
          <w:cols w:equalWidth="0" w:num="1">
            <w:col w:w="10260"/>
          </w:cols>
          <w:pgMar w:left="820" w:top="613" w:right="800" w:bottom="0" w:gutter="0" w:footer="0" w:header="0"/>
          <w:type w:val="continuous"/>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20"/>
          <w:szCs w:val="20"/>
          <w:color w:val="454546"/>
        </w:rPr>
        <w:t>cost-effective and lower carbon technology solutions to our customers. We believe that technology will be fundamental to finding solutions to achieve compliance with and manage those requirements. Our Board of Directors (the "Board"), specifically the Corporate Governance, Sustainability and Nominating Committee, is responsible for risk oversight, which includes relevant environmental-related risks such as climate change.</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Government regulations are subject to change; therefore, we are unable to predict the impact of complying with potential future requirements or whether doing so will materially affect our operations, financial situation or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Human Capital</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As of December 31, 2025, we employed 3,099 members of staff across our worldwide facilities. Of this staff, 2,392 are associated with our manufacturing and supply chain organizations in the PRC, Vietnam, Mexico and Brazil. Beyond the manufacturing and supply chain organizations, 390 of our staff work in engineering and R&amp;D, 96 in sales, marketing, consumer service and support and 221 in executive and administrative functions.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Additionally, in the PRC, we work with third-party agencies who have recruited and provided us with a small percentage of our workers to support our production activities. These third-party agencies have been required to adhere to both the relevant RBA Code of Conduct requirements and our own Supplier Code of Conduct, which among other things, prohibits the use of forced labor and sets forth requirements on fair dealing, legal compliance, business integrity, labor practices, health and safety and environmental management. We have also standardized the qualification, contract and monitoring standards for all third-party agencies.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Employee Recruitment, Retention, and Development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Talent management is critical to our ability to execute our long-term growth strategy, and we utilize both internal human resource personnel and external recruiting firms to identify and attract such talent. Through our history of technological innovation, we appreciate the importance of retention, growth and development of our employees. We regularly collect feedback from employees to better understand and improve their experiences and identify opportunities to continually strengthen our culture. Due to the nature of our activities, we tend to heavily invest in engineering capital, employing highly skilled and specialized engineers and technicians in the areas of electronics, RF design, software, cloud, mechanical, industrial design, manufacturing and quality disciplines.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staff is located around the globe at different office and development locations. Our R&amp;D locations are as follows:</w:t>
      </w:r>
    </w:p>
    <w:p>
      <w:pPr>
        <w:spacing w:after="0" w:line="250" w:lineRule="exact"/>
        <w:rPr>
          <w:sz w:val="20"/>
          <w:szCs w:val="20"/>
          <w:color w:val="auto"/>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advanced engineering, architecture and cloud teams are located in Santa Ana, California, and Scottsdale, Arizona;</w:t>
      </w:r>
    </w:p>
    <w:p>
      <w:pPr>
        <w:spacing w:after="0" w:line="3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cloud architecture, software and service teams are located in Santa Ana and San Mateo, California;</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sensor engineering and R&amp;D teams are located in Poway, California;</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connected thermostat engineering and R&amp;D teams are located in Santa Ana and Poway, California;</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hardware engineering teams are located in Panyu and Suzhou in the PRC;</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software, firmware and device database teams are located in Bangalore, India; and</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 software services team focused on support software solutions is located in Plymouth, Minnesota.</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Next to these specialized centers of excellence, we employ engineering, sales and marketing and support staff in many of our regional offices in the United States, The Netherlands, Hong Kong, the PRC, Brazil, India, Japan, Korea, Singapore and Mexico.</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12</w:t>
      </w:r>
    </w:p>
    <w:p>
      <w:pPr>
        <w:sectPr>
          <w:pgSz w:w="11880" w:h="15480" w:orient="portrait"/>
          <w:cols w:equalWidth="0" w:num="1">
            <w:col w:w="10260"/>
          </w:cols>
          <w:pgMar w:left="820" w:top="613" w:right="80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i w:val="1"/>
          <w:iCs w:val="1"/>
          <w:color w:val="454546"/>
        </w:rPr>
        <w:t>Inclusion, Ethics Line and Code of Conduct</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are an Equal Opportunity Employer and are committed to providing a workplace free of discrimination, harassment and retaliation for all employees and we value equality, opportunity and respect. We encourage any employee who believes they are the subject of discrimination, harassment or retaliation to express concerns without fear of retribution or retaliation to their immediate supervisors, any senior-level managers, or through the UEI Ethics Line. In addition, we have maintained and enforced a Code of Conduct that applies to all of our employees, including our Chief Executive Officer, Chief Financial Officer, and Principal Accounting Officer, and to each member of the Board. The Code of Conduct is available in the Investor Relations section of our website (UEI.com/investor) by clicking on "Investor", then "Governance" and then "Committee composition, documents and confidential ethics line". We intend to post on that website any future changes or amendments to our Code of Conduct, and any waiver of our Code of Conduct that applies to any of our executive officers or a member of our Board within four business days following the date of the amendment or waiver.</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Labor unions represent approximately 6.0% of our 3,099 employees as of December 31, 2025. Some of these unionized workers are employed in Monterrey, Mexico, and are represented under contract with the Sindicato Industrial de Trabajadores de Nuevo León adherido a la Federación Nacional de Sindicatos Independientes. Unionized workers, employed in Manaus, Brazil, are represented under contract with the Sindicato dos Trabalhadores nas Industrias Metalugicas, Mecanicas e de Materiais Eletricos de Manaus. Additionally, workers at our Vietnam facility are covered by a collective bargaining agreement. These workers represent approximately 20.0% of our 3,099 employees as of December 31, 2025.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Safety, Health and Wellness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The health and safety of our employees, contractors, visitors and the communities in which we operate is paramount. We are committed to reducing or eliminating health and safety risks through our health and safety programs, including effective control measures, emergency response plans and training programs. We continually monitor and evaluate health and safety performance against established goals and industry standards and maintain clear procedures for collecting information about health and safety incidents, near misses, and concerns. Each incident is thoroughly investigated, and corrective actions are taken to prevent their recurrence. These metrics are communicated to leadership through regular management reviews. This commitment is outlined in our global health and safety policy. As a member of RBA, we also adhere to the standards of the RBA Code of Conduct to ensure working conditions are safe throughout our supply chain.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Seasonality</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Historically, our business has been influenced by the retail sales cycle, with increased sales in the second half of the year. We expect this pattern to be repeated during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Information About Our Executive Officers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following table sets forth certain information concerning our executive officers on March 12, 2026: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454546"/>
              </w:rPr>
              <w:t>Name</w:t>
            </w:r>
          </w:p>
        </w:tc>
        <w:tc>
          <w:tcPr>
            <w:tcW w:w="940" w:type="dxa"/>
            <w:vAlign w:val="bottom"/>
          </w:tcPr>
          <w:p>
            <w:pPr>
              <w:jc w:val="center"/>
              <w:ind w:left="265"/>
              <w:spacing w:after="0"/>
              <w:rPr>
                <w:sz w:val="20"/>
                <w:szCs w:val="20"/>
                <w:color w:val="auto"/>
              </w:rPr>
            </w:pPr>
            <w:r>
              <w:rPr>
                <w:rFonts w:ascii="Times New Roman" w:cs="Times New Roman" w:eastAsia="Times New Roman" w:hAnsi="Times New Roman"/>
                <w:sz w:val="16"/>
                <w:szCs w:val="16"/>
                <w:b w:val="1"/>
                <w:bCs w:val="1"/>
                <w:color w:val="454546"/>
                <w:w w:val="97"/>
              </w:rPr>
              <w:t>Age</w:t>
            </w:r>
          </w:p>
        </w:tc>
        <w:tc>
          <w:tcPr>
            <w:tcW w:w="7120" w:type="dxa"/>
            <w:vAlign w:val="bottom"/>
          </w:tcPr>
          <w:p>
            <w:pPr>
              <w:ind w:left="3340"/>
              <w:spacing w:after="0"/>
              <w:rPr>
                <w:sz w:val="20"/>
                <w:szCs w:val="20"/>
                <w:color w:val="auto"/>
              </w:rPr>
            </w:pPr>
            <w:r>
              <w:rPr>
                <w:rFonts w:ascii="Times New Roman" w:cs="Times New Roman" w:eastAsia="Times New Roman" w:hAnsi="Times New Roman"/>
                <w:sz w:val="16"/>
                <w:szCs w:val="16"/>
                <w:b w:val="1"/>
                <w:bCs w:val="1"/>
                <w:color w:val="454546"/>
              </w:rPr>
              <w:t>Position</w:t>
            </w:r>
          </w:p>
        </w:tc>
      </w:tr>
      <w:tr>
        <w:trPr>
          <w:trHeight w:val="293"/>
        </w:trPr>
        <w:tc>
          <w:tcPr>
            <w:tcW w:w="2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Richard K. Carnifax</w:t>
            </w:r>
          </w:p>
        </w:tc>
        <w:tc>
          <w:tcPr>
            <w:tcW w:w="940" w:type="dxa"/>
            <w:vAlign w:val="bottom"/>
            <w:shd w:val="clear" w:color="auto" w:fill="E3E4E5"/>
          </w:tcPr>
          <w:p>
            <w:pPr>
              <w:jc w:val="center"/>
              <w:ind w:left="325"/>
              <w:spacing w:after="0"/>
              <w:rPr>
                <w:sz w:val="20"/>
                <w:szCs w:val="20"/>
                <w:color w:val="auto"/>
              </w:rPr>
            </w:pPr>
            <w:r>
              <w:rPr>
                <w:rFonts w:ascii="Times New Roman" w:cs="Times New Roman" w:eastAsia="Times New Roman" w:hAnsi="Times New Roman"/>
                <w:sz w:val="20"/>
                <w:szCs w:val="20"/>
                <w:color w:val="454546"/>
                <w:w w:val="99"/>
              </w:rPr>
              <w:t>39</w:t>
            </w:r>
          </w:p>
        </w:tc>
        <w:tc>
          <w:tcPr>
            <w:tcW w:w="7120" w:type="dxa"/>
            <w:vAlign w:val="bottom"/>
            <w:shd w:val="clear" w:color="auto" w:fill="E3E4E5"/>
          </w:tcPr>
          <w:p>
            <w:pPr>
              <w:ind w:left="160"/>
              <w:spacing w:after="0"/>
              <w:rPr>
                <w:sz w:val="20"/>
                <w:szCs w:val="20"/>
                <w:color w:val="auto"/>
              </w:rPr>
            </w:pPr>
            <w:r>
              <w:rPr>
                <w:rFonts w:ascii="Times New Roman" w:cs="Times New Roman" w:eastAsia="Times New Roman" w:hAnsi="Times New Roman"/>
                <w:sz w:val="20"/>
                <w:szCs w:val="20"/>
                <w:color w:val="454546"/>
              </w:rPr>
              <w:t>Interim Chief Executive Officer and Chief Operating Officer</w:t>
            </w:r>
          </w:p>
        </w:tc>
      </w:tr>
      <w:tr>
        <w:trPr>
          <w:trHeight w:val="294"/>
        </w:trPr>
        <w:tc>
          <w:tcPr>
            <w:tcW w:w="2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Wade M. Jenke</w:t>
            </w:r>
          </w:p>
        </w:tc>
        <w:tc>
          <w:tcPr>
            <w:tcW w:w="940" w:type="dxa"/>
            <w:vAlign w:val="bottom"/>
          </w:tcPr>
          <w:p>
            <w:pPr>
              <w:jc w:val="center"/>
              <w:ind w:left="325"/>
              <w:spacing w:after="0"/>
              <w:rPr>
                <w:sz w:val="20"/>
                <w:szCs w:val="20"/>
                <w:color w:val="auto"/>
              </w:rPr>
            </w:pPr>
            <w:r>
              <w:rPr>
                <w:rFonts w:ascii="Times New Roman" w:cs="Times New Roman" w:eastAsia="Times New Roman" w:hAnsi="Times New Roman"/>
                <w:sz w:val="20"/>
                <w:szCs w:val="20"/>
                <w:color w:val="454546"/>
                <w:w w:val="99"/>
              </w:rPr>
              <w:t>42</w:t>
            </w:r>
          </w:p>
        </w:tc>
        <w:tc>
          <w:tcPr>
            <w:tcW w:w="7120" w:type="dxa"/>
            <w:vAlign w:val="bottom"/>
          </w:tcPr>
          <w:p>
            <w:pPr>
              <w:ind w:left="160"/>
              <w:spacing w:after="0"/>
              <w:rPr>
                <w:sz w:val="20"/>
                <w:szCs w:val="20"/>
                <w:color w:val="auto"/>
              </w:rPr>
            </w:pPr>
            <w:r>
              <w:rPr>
                <w:rFonts w:ascii="Times New Roman" w:cs="Times New Roman" w:eastAsia="Times New Roman" w:hAnsi="Times New Roman"/>
                <w:sz w:val="20"/>
                <w:szCs w:val="20"/>
                <w:color w:val="454546"/>
              </w:rPr>
              <w:t>Chief Financial Officer</w:t>
            </w:r>
          </w:p>
        </w:tc>
      </w:tr>
      <w:tr>
        <w:trPr>
          <w:trHeight w:val="306"/>
        </w:trPr>
        <w:tc>
          <w:tcPr>
            <w:tcW w:w="2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Ramzi S. Ammari</w:t>
            </w:r>
          </w:p>
        </w:tc>
        <w:tc>
          <w:tcPr>
            <w:tcW w:w="940" w:type="dxa"/>
            <w:vAlign w:val="bottom"/>
            <w:shd w:val="clear" w:color="auto" w:fill="E3E4E5"/>
          </w:tcPr>
          <w:p>
            <w:pPr>
              <w:jc w:val="center"/>
              <w:ind w:left="325"/>
              <w:spacing w:after="0"/>
              <w:rPr>
                <w:sz w:val="20"/>
                <w:szCs w:val="20"/>
                <w:color w:val="auto"/>
              </w:rPr>
            </w:pPr>
            <w:r>
              <w:rPr>
                <w:rFonts w:ascii="Times New Roman" w:cs="Times New Roman" w:eastAsia="Times New Roman" w:hAnsi="Times New Roman"/>
                <w:sz w:val="20"/>
                <w:szCs w:val="20"/>
                <w:color w:val="454546"/>
                <w:w w:val="99"/>
              </w:rPr>
              <w:t>60</w:t>
            </w:r>
          </w:p>
        </w:tc>
        <w:tc>
          <w:tcPr>
            <w:tcW w:w="7120" w:type="dxa"/>
            <w:vAlign w:val="bottom"/>
            <w:shd w:val="clear" w:color="auto" w:fill="E3E4E5"/>
          </w:tcPr>
          <w:p>
            <w:pPr>
              <w:ind w:left="160"/>
              <w:spacing w:after="0"/>
              <w:rPr>
                <w:sz w:val="20"/>
                <w:szCs w:val="20"/>
                <w:color w:val="auto"/>
              </w:rPr>
            </w:pPr>
            <w:r>
              <w:rPr>
                <w:rFonts w:ascii="Times New Roman" w:cs="Times New Roman" w:eastAsia="Times New Roman" w:hAnsi="Times New Roman"/>
                <w:sz w:val="20"/>
                <w:szCs w:val="20"/>
                <w:color w:val="454546"/>
              </w:rPr>
              <w:t>Senior Vice President, Corporate Planning and Strategy</w:t>
            </w:r>
          </w:p>
        </w:tc>
      </w:tr>
    </w:tbl>
    <w:p>
      <w:pPr>
        <w:spacing w:after="0" w:line="2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i w:val="1"/>
          <w:iCs w:val="1"/>
          <w:color w:val="454546"/>
        </w:rPr>
        <w:t xml:space="preserve">Richard K. Carnifax </w:t>
      </w:r>
      <w:r>
        <w:rPr>
          <w:rFonts w:ascii="Times New Roman" w:cs="Times New Roman" w:eastAsia="Times New Roman" w:hAnsi="Times New Roman"/>
          <w:sz w:val="19"/>
          <w:szCs w:val="19"/>
          <w:color w:val="454546"/>
        </w:rPr>
        <w:t>has served as our Interim Chief Executive Officer since July 2025 and Chief Operating Officer since</w:t>
      </w:r>
      <w:r>
        <w:rPr>
          <w:rFonts w:ascii="Times New Roman" w:cs="Times New Roman" w:eastAsia="Times New Roman" w:hAnsi="Times New Roman"/>
          <w:sz w:val="19"/>
          <w:szCs w:val="19"/>
          <w:i w:val="1"/>
          <w:iCs w:val="1"/>
          <w:color w:val="454546"/>
        </w:rPr>
        <w:t xml:space="preserve"> </w:t>
      </w:r>
      <w:r>
        <w:rPr>
          <w:rFonts w:ascii="Times New Roman" w:cs="Times New Roman" w:eastAsia="Times New Roman" w:hAnsi="Times New Roman"/>
          <w:sz w:val="19"/>
          <w:szCs w:val="19"/>
          <w:color w:val="454546"/>
        </w:rPr>
        <w:t>February 2023. He joined us in May 2020 as Vice President, Global Supply Chain and in July 2022, he was promoted to Vice President, Operations. Prior to joining us, from March 2019 until May 2020, Mr. Carnifax was the Chief Operating Officer at Cast Nylons, a privately held manufacturer and distributor of cast nylon stock shapes and custom cast parts, and was Vice President, Operations at Cast Nylons from November 2017 until March 2019. From November 2015 until September 2017, he held various operational roles at Air Enterprises, a privately held manufacturer of specialty air handling equipment. Prior to joining Air Enterprises, Mr. Carnifax spent four years scheduling and planning materials for Howden, a provider of high-quality air and gas handling products and services to the power, oil and gas, mining and petrochemical industries. Mr. Carnifax holds a Bachelor of Arts in Political Science and a Master of Arts in International Relations/Business from the University of Akron.</w:t>
      </w:r>
    </w:p>
    <w:p>
      <w:pPr>
        <w:sectPr>
          <w:pgSz w:w="11880" w:h="15480" w:orient="portrait"/>
          <w:cols w:equalWidth="0" w:num="1">
            <w:col w:w="10260"/>
          </w:cols>
          <w:pgMar w:left="820" w:top="609" w:right="800" w:bottom="0" w:gutter="0" w:footer="0" w:header="0"/>
        </w:sect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13</w:t>
      </w:r>
    </w:p>
    <w:p>
      <w:pPr>
        <w:sectPr>
          <w:pgSz w:w="11880" w:h="15480" w:orient="portrait"/>
          <w:cols w:equalWidth="0" w:num="1">
            <w:col w:w="10260"/>
          </w:cols>
          <w:pgMar w:left="820" w:top="609" w:right="800" w:bottom="0" w:gutter="0" w:footer="0" w:header="0"/>
          <w:type w:val="continuous"/>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20"/>
          <w:szCs w:val="20"/>
          <w:i w:val="1"/>
          <w:iCs w:val="1"/>
          <w:color w:val="454546"/>
        </w:rPr>
        <w:t xml:space="preserve">Wade M. Jenke </w:t>
      </w:r>
      <w:r>
        <w:rPr>
          <w:rFonts w:ascii="Times New Roman" w:cs="Times New Roman" w:eastAsia="Times New Roman" w:hAnsi="Times New Roman"/>
          <w:sz w:val="20"/>
          <w:szCs w:val="20"/>
          <w:color w:val="454546"/>
        </w:rPr>
        <w:t>has served our Chief Financial Officer since December 2025. As Chief Financial Officer, Mr. Jenke is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responsible for UEI’s financial, accounting, treasury, and investor relations functions, and implements financial strategies that support UEI’s growth and profitability initiatives. Prior to joining us, Mr. Jenke served as the Chief Financial Officer of Amtech Systems, Inc., a Nasdaq-listed public company (ASYS) that manufactures and provides advanced thermal processing equipment, services, and supplies for the semiconductor industry, from August 2024 to December 2025. Prior to joining Amtech, he served as Chief Financial Officer of EMS Group, a business unit of ASSA ABLOY Opening Solutions, an access solutions company, from January 2018 to July 2024. From September 2016 to December 2018, Mr. Jenke served as Vice President of Finance and Director of Accounting at HES Inc., a provider of electromechanical locking solutions. From June 2012 to August 2016, he served as HES Inc.’s Senior Manager of Finance and Cost Analysis. Mr. Jenke received his Bachelor of Science and Master of Business Administration from Arizona State University, is a Certified Public Accountant in the State of Arizona, has a Project Management Professional certification, and is a Six Sigma Black Belt.</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i w:val="1"/>
          <w:iCs w:val="1"/>
          <w:color w:val="454546"/>
        </w:rPr>
        <w:t xml:space="preserve">Ramzi S. Ammari </w:t>
      </w:r>
      <w:r>
        <w:rPr>
          <w:rFonts w:ascii="Times New Roman" w:cs="Times New Roman" w:eastAsia="Times New Roman" w:hAnsi="Times New Roman"/>
          <w:sz w:val="20"/>
          <w:szCs w:val="20"/>
          <w:color w:val="454546"/>
        </w:rPr>
        <w:t>has served as our Senior Vice President, Corporate Planning and Strategy since 2015. He joined us in June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1997 as a Project Manager and served as our Director of Corporate Planning and Development from 1998 until 2000, as our Sr. Director, Product Management and Marketing from 2000 until 2003, as our VP, Product Development from 2003 until 2010, as our SVP, Global Product Planning from 2010 until 2013 and as our SVP, Product Planning and Strategy from 2013 until 2015. He has global responsibility for the Company's technology innovation roadmap; driving new product initiatives; directing and implementing strategic partnerships, joint ventures and acquisitions; and recommending new avenues for business creation. Prior to joining us, </w:t>
      </w:r>
      <w:r>
        <w:rPr>
          <w:rFonts w:ascii="Times New Roman" w:cs="Times New Roman" w:eastAsia="Times New Roman" w:hAnsi="Times New Roman"/>
          <w:sz w:val="24"/>
          <w:szCs w:val="24"/>
          <w:color w:val="454546"/>
        </w:rPr>
        <w:t>Mr. Ammari</w:t>
      </w:r>
      <w:r>
        <w:rPr>
          <w:rFonts w:ascii="Times New Roman" w:cs="Times New Roman" w:eastAsia="Times New Roman" w:hAnsi="Times New Roman"/>
          <w:sz w:val="20"/>
          <w:szCs w:val="20"/>
          <w:color w:val="454546"/>
        </w:rPr>
        <w:t xml:space="preserve"> worked at Mitsubishi Consumer Electronics of America for four years as Business Planning Manager where he was responsible for introducing the first flat-screen plasma display panel television for the North America market. He received his Bachelor of Science, Engineering degree and a Master of Business Administration from University of California, Irvine.</w:t>
      </w:r>
    </w:p>
    <w:p>
      <w:pPr>
        <w:sectPr>
          <w:pgSz w:w="11880" w:h="15480" w:orient="portrait"/>
          <w:cols w:equalWidth="0" w:num="1">
            <w:col w:w="10260"/>
          </w:cols>
          <w:pgMar w:left="820" w:top="60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14</w:t>
      </w:r>
    </w:p>
    <w:p>
      <w:pPr>
        <w:sectPr>
          <w:pgSz w:w="11880" w:h="15480" w:orient="portrait"/>
          <w:cols w:equalWidth="0" w:num="1">
            <w:col w:w="10260"/>
          </w:cols>
          <w:pgMar w:left="820" w:top="609" w:right="80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454546"/>
        </w:rPr>
        <w:t>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454546"/>
        </w:rPr>
        <w:t>Forward-Looking Statements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make forward-looking statements in Management's Discussion and Analysis of Financial Condition and Results of Operations and elsewhere in this Annual Report on Form 10-K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 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Annual Report on Form 10-K, and we undertake no obligation to update or revise any forward-looking statement, whether as a result of new information, future developments,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454546"/>
        </w:rPr>
        <w:t>Risks and Uncertainties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are subject to various risks that could materially and adversely affect our business, results of operations, cash flows, liquidity, or financial condition which make an investment in our securities risky. You should understand that these risks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report or in other Company communications, including those we file from time to time with the SEC. These risk factors do not identify all risks that we face; our operations could also be affected by factors, events, or uncertainties that are not presently known to us or that we currently do not consider to present significant risks to our operations. Although the risks are organized by headings, and each risk is discussed separately, many are interrelated. Because there is no way to determine in advance whether, or to what extent, any present uncertainty will ultimately impact our business, you should give equal weight to each of the following: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Relating to Finance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We have incurred losses from operations and our future profitability is not certain.</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For the fiscal years ended December 31, 2025 and 2024,, we incurred a loss from operations of $6.4 million and $15.3 million, respectively, and our net loss for the fiscal years ended December 31, 2025 and 2024, was $18.6 million and $24.0 million, respectively, Our operating results and net income for future periods are subject to numerous uncertainties and we cannot be certain that we will be profitable or that we will not experience substantial losses in the future. If we are not able to increase revenue and reduce our costs, we may not be able to achieve profitability in future periods and our business, financial condition, results of operations and cash flows may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We may not be able to obtain capital when desired on favorable terms, if at all, or without dilution to shareholders.</w:t>
      </w:r>
    </w:p>
    <w:p>
      <w:pPr>
        <w:spacing w:after="0" w:line="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It is possible that we may not generate sufficient cash flow from operations or otherwise have the capital resources to meet our future capital needs. If this occurs, we may need additional financing to continue operations or to execute on our current or future business strategies, including to:</w:t>
      </w:r>
    </w:p>
    <w:p>
      <w:pPr>
        <w:spacing w:after="0" w:line="197" w:lineRule="exact"/>
        <w:rPr>
          <w:sz w:val="20"/>
          <w:szCs w:val="20"/>
          <w:color w:val="auto"/>
        </w:rPr>
      </w:pPr>
    </w:p>
    <w:p>
      <w:pPr>
        <w:ind w:right="1880"/>
        <w:spacing w:after="0" w:line="260" w:lineRule="auto"/>
        <w:rPr>
          <w:sz w:val="20"/>
          <w:szCs w:val="20"/>
          <w:color w:val="auto"/>
        </w:rPr>
      </w:pPr>
      <w:r>
        <w:rPr>
          <w:rFonts w:ascii="Times New Roman" w:cs="Times New Roman" w:eastAsia="Times New Roman" w:hAnsi="Times New Roman"/>
          <w:sz w:val="20"/>
          <w:szCs w:val="20"/>
          <w:color w:val="454546"/>
        </w:rPr>
        <w:t>•invest in research and development efforts, including by hiring additional technical and other personnel; •maintain and expand operating or manufacturing infrastructure;</w:t>
      </w:r>
    </w:p>
    <w:p>
      <w:pPr>
        <w:spacing w:after="0" w:line="2" w:lineRule="exact"/>
        <w:rPr>
          <w:sz w:val="20"/>
          <w:szCs w:val="20"/>
          <w:color w:val="auto"/>
        </w:rPr>
      </w:pPr>
    </w:p>
    <w:p>
      <w:pPr>
        <w:ind w:right="4340"/>
        <w:spacing w:after="0" w:line="260" w:lineRule="auto"/>
        <w:rPr>
          <w:sz w:val="20"/>
          <w:szCs w:val="20"/>
          <w:color w:val="auto"/>
        </w:rPr>
      </w:pPr>
      <w:r>
        <w:rPr>
          <w:rFonts w:ascii="Times New Roman" w:cs="Times New Roman" w:eastAsia="Times New Roman" w:hAnsi="Times New Roman"/>
          <w:sz w:val="20"/>
          <w:szCs w:val="20"/>
          <w:color w:val="454546"/>
        </w:rPr>
        <w:t>•acquire complementary businesses, products, services or technologies; or •otherwise pursue strategic plans and respond to competitive pressures.</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454546"/>
        </w:rPr>
        <w:t>If we raise additional funds through the issuance of equity or convertible debt securities, the percentage ownership of our shareholders could be significantly diluted, and these newly-issued securities may have rights, preferences, or privileges senior to those of existing shareholders. We cannot be certain that additional financing will be available on terms favorable to us, or at all. If adequate funds are not available or are not available on acceptable terms, if and when needed, our ability to fund our operations, take advantage of unanticipated opportunities, develop or enhance our products, or otherwise respond to competitive pressures could be significantly limited. Furthermore, in the event adequate capital is not available to us as required, or is not available on favorable terms, we may be required to adopt one or more alternatives including, but not limited to, selling assets, exiting additional business lines, further reductions of our capital expenditures, delaying, reducing the scope of or eliminating one or more research and development programs, selling and marketing initiatives, and restructuring our existing debt</w:t>
      </w:r>
    </w:p>
    <w:p>
      <w:pPr>
        <w:sectPr>
          <w:pgSz w:w="11880" w:h="15480" w:orient="portrait"/>
          <w:cols w:equalWidth="0" w:num="1">
            <w:col w:w="10260"/>
          </w:cols>
          <w:pgMar w:left="820" w:top="606" w:right="800" w:bottom="0" w:gutter="0" w:footer="0" w:header="0"/>
        </w:sectPr>
      </w:pP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15</w:t>
      </w:r>
    </w:p>
    <w:p>
      <w:pPr>
        <w:sectPr>
          <w:pgSz w:w="11880" w:h="15480" w:orient="portrait"/>
          <w:cols w:equalWidth="0" w:num="1">
            <w:col w:w="10260"/>
          </w:cols>
          <w:pgMar w:left="820" w:top="606" w:right="800" w:bottom="0" w:gutter="0" w:footer="0" w:header="0"/>
          <w:type w:val="continuous"/>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20"/>
          <w:szCs w:val="20"/>
          <w:color w:val="454546"/>
        </w:rPr>
        <w:t>obligations on new terms that may be less favorable than the existing terms, if available at all. If we are unable to manage discretionary spending, raise additional capital, or implement any of the above activities, as needed, we may need to further curtail planned activities to reduce costs, which could include additional reductions in workforce, additional eliminations of business activities and services, and further reductions in other operating expenses. Doing so could potentially have a material and adverse effect on our business, financial condition, results of operations, cash flows, and future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i w:val="1"/>
          <w:iCs w:val="1"/>
          <w:u w:val="single" w:color="auto"/>
          <w:color w:val="454546"/>
        </w:rPr>
        <w:t>Our secured credit facility contains financial and restrictive covenants that we may not satisfy, and that, if not satisfied, could result in the acceleration of any outstanding indebtedness and limit our ability to borrow additional funds. The credit facility also imposes restrictions that may limit our ability to pursue business opportunities.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Our Second Amended and Restated Credit Agreement with U.S. Bank National Association (“U.S. Bank”), dated as of October 27, 2017, as amended through the date hereof ("Second Amended Credit Agreement"), subjects us to various financial and other affirmative and negative covenants with which we must comply on an ongoing or periodic basis. These include a financial covenant pertaining to our consolidated fixed charge coverage ratio. The Credit Agreement also subjects us to various restrictions on our ability to engage in certain activities, such as selling assets outside the ordinary course of business, raising capital or acquiring businesses. These restrictions may limit or restrict our cash flow and our ability to pursue business opportunities or strategies that we would otherwise consider to be in our best interests. In addition, if an event of default occurs under the Credit Agreement, U.S. Bank can accelerate the maturity of our indebtedness under that agreement to make it due and payable immediately. If an event of default occurs under the Credit Agreement and if U.S. Bank elects to exercise its rights, we may not be able to pay our debts and other monetary obligations as they come due, which could in turn cause a significant decline in our stock price and could result in a significant loss of value for our shareholders.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i w:val="1"/>
          <w:iCs w:val="1"/>
          <w:u w:val="single" w:color="auto"/>
          <w:color w:val="454546"/>
        </w:rPr>
        <w:t>We may be unable to realize the level of the anticipated benefits that we expect from exiting facilities and restructuring our operations, which may adversely impact our business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From time to time, we may decide to exit certain facilities or otherwise undertake restructuring, reorganization, or other strategic initiatives to realign our resources with our growth strategies, operate more efficiently, and reduce costs. For example, in August 2025, we announced the anticipated closure of our manufacturing facility in Mexico. The successful implementation of our restructuring activities may from time to time require us to effect business and asset dispositions, workforce reductions, facility consolidations and closures, restructurings, management changes, reductions in investments, shut-downs or discontinuance of businesses, and other actions, each of which may depend on a number of factors that may not be within our control. Any such effort to restructure or streamline our organization may result in restructuring or other costs, such as severance and termination costs, contract and lease termination costs, asset impairment charges, and other costs.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Further, as a result of restructuring initiatives, we may experience a loss of continuity, loss of accumulated knowledge and proficiency, adverse effects on employee morale, loss of key employees and other retention issues. Reorganization and restructuring can impact a significant amount of management and other employees’ time and resources, which may divert attention from operating and growing our business. Further, upon completion of any restructuring initiatives, our business may not be more efficient or effective than prior to the implementation of the plan and we may be unable to achieve anticipated benefits, including cost savings, which would adversely affect our business, competitive position, operating results,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Growth Projections</w:t>
      </w:r>
    </w:p>
    <w:p>
      <w:pPr>
        <w:spacing w:after="0" w:line="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Management has made projections required for the preparation of financial statements in conformity with accounting principles generally accepted in the United States ("U.S. GAAP") regarding future events and the financial performance of the Company, including those involving:</w:t>
      </w:r>
    </w:p>
    <w:p>
      <w:pPr>
        <w:spacing w:after="0" w:line="207" w:lineRule="exact"/>
        <w:rPr>
          <w:sz w:val="20"/>
          <w:szCs w:val="20"/>
          <w:color w:val="auto"/>
        </w:rPr>
      </w:pPr>
    </w:p>
    <w:p>
      <w:pPr>
        <w:ind w:left="720" w:hanging="370"/>
        <w:spacing w:after="0" w:line="260" w:lineRule="auto"/>
        <w:tabs>
          <w:tab w:leader="none" w:pos="72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benefits the Company expects as a result of the development and success of products and technologies, including new products and technologies;</w:t>
      </w:r>
    </w:p>
    <w:p>
      <w:pPr>
        <w:spacing w:after="0" w:line="1" w:lineRule="exact"/>
        <w:rPr>
          <w:rFonts w:ascii="Times New Roman" w:cs="Times New Roman" w:eastAsia="Times New Roman" w:hAnsi="Times New Roman"/>
          <w:sz w:val="20"/>
          <w:szCs w:val="20"/>
          <w:color w:val="454546"/>
        </w:rPr>
      </w:pPr>
    </w:p>
    <w:p>
      <w:pPr>
        <w:ind w:left="720" w:hanging="370"/>
        <w:spacing w:after="0" w:line="250" w:lineRule="auto"/>
        <w:tabs>
          <w:tab w:leader="none" w:pos="72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benefits expected by conducting business in Asian and Latin American markets, without which, we may not be able to recover the costs we incur to enter into such markets;</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new contracts with new and existing customers and new market penetrations;</w:t>
      </w:r>
    </w:p>
    <w:p>
      <w:pPr>
        <w:spacing w:after="0" w:line="10" w:lineRule="exact"/>
        <w:rPr>
          <w:rFonts w:ascii="Times New Roman" w:cs="Times New Roman" w:eastAsia="Times New Roman" w:hAnsi="Times New Roman"/>
          <w:sz w:val="20"/>
          <w:szCs w:val="20"/>
          <w:color w:val="454546"/>
        </w:rPr>
      </w:pPr>
    </w:p>
    <w:p>
      <w:pPr>
        <w:ind w:left="720" w:hanging="370"/>
        <w:spacing w:after="0" w:line="250" w:lineRule="auto"/>
        <w:tabs>
          <w:tab w:leader="none" w:pos="72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expected continued adoption of the Company's technologies in home entertainment, specifically universal AV control of connected entertainment devices;</w:t>
      </w:r>
    </w:p>
    <w:p>
      <w:pPr>
        <w:ind w:left="720" w:right="360" w:hanging="370"/>
        <w:spacing w:after="0" w:line="234" w:lineRule="auto"/>
        <w:tabs>
          <w:tab w:leader="none" w:pos="72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expected continued growth in connected home, digital TVs, DVRs, PVRs and overall growth in the Company's industry;</w:t>
      </w:r>
    </w:p>
    <w:p>
      <w:pPr>
        <w:spacing w:after="0" w:line="1"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impact competitors and OTT providers may have on our business; and</w:t>
      </w:r>
    </w:p>
    <w:p>
      <w:pPr>
        <w:spacing w:after="0" w:line="8"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effects we may experience due to current global and regional economic conditions.</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16</w:t>
      </w:r>
    </w:p>
    <w:p>
      <w:pPr>
        <w:sectPr>
          <w:pgSz w:w="11880" w:h="15480" w:orient="portrait"/>
          <w:cols w:equalWidth="0" w:num="1">
            <w:col w:w="10260"/>
          </w:cols>
          <w:pgMar w:left="820" w:top="613" w:right="800" w:bottom="0" w:gutter="0" w:footer="0" w:header="0"/>
          <w:type w:val="continuous"/>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20"/>
          <w:szCs w:val="20"/>
          <w:color w:val="454546"/>
        </w:rPr>
        <w:t>Actual events or results may be unfavorable to management's projections, which may have a material adverse effect on our projected operating results, financial condition and cash flows.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Additionally, we have long-lived and intangible assets recorded on our consolidated balance sheet. We assess these assets for impairment whenever events or changes in circumstances indicate that the fair value may be below its carrying value. Factors considered important that may trigger said assessment include, among others, a significant adverse change in legal factors or in business climate, a decline in macroeconomic conditions, a significant decline in our financial performance or a significant decline in the price of our common stock for a sustained period of time.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Market Projections and Data are Forward-looking in Nature</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third-party reports that may be inaccurate. The inaccuracy of any of these projections and/or market data may adversely affect our operating results and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Potential Fluctuations in Quarterly Results</w:t>
      </w:r>
    </w:p>
    <w:p>
      <w:pPr>
        <w:spacing w:after="0" w:line="3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454546"/>
        </w:rPr>
        <w:t>We may from time to time increase our operating expenses to fund greater levels of R&amp;D, sales and marketing activities, development of new distribution channels, improvements in our operational and financial systems, moving manufacturing capabilities to other locations or countries, and/or development of our customer support capabilities. In addition, legal expenses could increase from time to time as we enhance or increase our litigation efforts and/or to support our efforts to comply with or respond to various government regulations and investigations. To the extent such expenses precede or are not subsequently followed by increased revenues, our business, operating results, financial condition and cash flows will be adversely affected. 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 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Fluctuations in Foreign Currency Exchange Rates or Interest Rates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20"/>
          <w:szCs w:val="20"/>
          <w:color w:val="454546"/>
        </w:rPr>
        <w:t>Because of our international operations, we are exposed to risk associated with interest rates and value changes in foreign currencies, which may adversely affect our business. We earn revenues and incur expenses in foreign currencies as part of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actively manage the exposure of our foreign currency risk as part of our overall financial risk management policy, by entering into foreign exchange hedging agreements with financial institutions to reduce exposures to some of the principal currencies,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17</w:t>
      </w:r>
    </w:p>
    <w:p>
      <w:pPr>
        <w:sectPr>
          <w:pgSz w:w="11880" w:h="15480" w:orient="portrait"/>
          <w:cols w:equalWidth="0" w:num="1">
            <w:col w:w="10260"/>
          </w:cols>
          <w:pgMar w:left="820" w:top="613" w:right="800" w:bottom="0" w:gutter="0" w:footer="0" w:header="0"/>
          <w:type w:val="continuous"/>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20"/>
          <w:szCs w:val="20"/>
          <w:color w:val="454546"/>
        </w:rPr>
        <w:t>In addition, under the Second Amended Credit Agreement with U.S. Bank, we may elect to pay interest on the revolving line of credit ("U.S. Credit Line") based on the Secured Overnight Financing Rate ("SOFR") plus an applicable margin or a base rate (based on the prime rate of U.S. Bank or as otherwise specified in the Second Amended Credit Agreement), plus an applicable margin. Further, under our Line of Credit Agreement (the "Line of Credit Agreement") with the Bank of China, we pay interest on the provided line of credit ("China Credit Line") based on the one-year rate from the National Interbank Funding Center less a margin. To the extent these interest rates increase, our interest expense will increase, which could adversely affect our financial condition, operating results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Our Ability to Generate Cash Depends on Many Factors Beyond Our Control</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degree to which we are currently leveraged could have important consequences for stockholders. For example, it could:</w:t>
      </w:r>
    </w:p>
    <w:p>
      <w:pPr>
        <w:spacing w:after="0" w:line="250" w:lineRule="exact"/>
        <w:rPr>
          <w:sz w:val="20"/>
          <w:szCs w:val="20"/>
          <w:color w:val="auto"/>
        </w:rPr>
      </w:pPr>
    </w:p>
    <w:p>
      <w:pPr>
        <w:jc w:val="both"/>
        <w:ind w:left="720" w:hanging="370"/>
        <w:spacing w:after="0" w:line="257" w:lineRule="auto"/>
        <w:tabs>
          <w:tab w:leader="none" w:pos="720" w:val="left"/>
        </w:tabs>
        <w:numPr>
          <w:ilvl w:val="0"/>
          <w:numId w:val="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require us to dedicate a substantial portion of our cash flow from operations to the payment of debt service, reducing the availability of our cash flow to fund working capital, capital expenditures, acquisitions and other general corporate purposes;</w:t>
      </w:r>
    </w:p>
    <w:p>
      <w:pPr>
        <w:spacing w:after="0" w:line="1"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increase our vulnerability to adverse economic or industry conditions;</w:t>
      </w:r>
    </w:p>
    <w:p>
      <w:pPr>
        <w:spacing w:after="0" w:line="10"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limit our ability to obtain additional financing in the future to enable us to react to changes in our business; or</w:t>
      </w:r>
    </w:p>
    <w:p>
      <w:pPr>
        <w:spacing w:after="0" w:line="10"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place us at a competitive disadvantage compared to businesses in our industry that have less debt.</w:t>
      </w:r>
    </w:p>
    <w:p>
      <w:pPr>
        <w:spacing w:after="0" w:line="23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454546"/>
        </w:rPr>
        <w:t>A significant portion of our operations is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Except for Universal Electronics BV, which has guaranteed the performance under our U.S. Credit Line, our subsidiaries are separate and distinct legal entities and have no obligation to pay any amounts due on our debt or to provide us with funds to meet our cash flow needs.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may also fund a portion of our seasonal working capital needs and obtain funding for other general corporate purposes through short-term borrowings backed by our revolving credit facilities. If any of the banks in these credit and financing facilities are unable to perform on their commitments,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Relating to Operations</w:t>
      </w: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u w:val="single" w:color="auto"/>
          <w:color w:val="454546"/>
        </w:rPr>
        <w:t>Cybersecurity Issues: Cybersecurity Incidents, Failure to Maintain the Integrity of and Protect Internal or Customer Data May Result in Faulty Business Decisions, Operational Inefficiencies, Damage to our Reputation and/or Subject Us to Costs, Fines, or Lawsuits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Our business requires collection, processing, and retention of large volumes of data, including personally identifiable information of our customers in various information systems that we maintain and in those maintained by third parties with whom we contract,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w:t>
      </w:r>
    </w:p>
    <w:p>
      <w:pPr>
        <w:sectPr>
          <w:pgSz w:w="11880" w:h="15480" w:orient="portrait"/>
          <w:cols w:equalWidth="0" w:num="1">
            <w:col w:w="10260"/>
          </w:cols>
          <w:pgMar w:left="820" w:top="613" w:right="800" w:bottom="0" w:gutter="0" w:footer="0" w:header="0"/>
        </w:sect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18</w:t>
      </w:r>
    </w:p>
    <w:p>
      <w:pPr>
        <w:sectPr>
          <w:pgSz w:w="11880" w:h="15480" w:orient="portrait"/>
          <w:cols w:equalWidth="0" w:num="1">
            <w:col w:w="10260"/>
          </w:cols>
          <w:pgMar w:left="820" w:top="613" w:right="800" w:bottom="0" w:gutter="0" w:footer="0" w:header="0"/>
          <w:type w:val="continuous"/>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20"/>
          <w:szCs w:val="20"/>
          <w:color w:val="454546"/>
        </w:rPr>
        <w:t>including proprietary information, is critical to us. If that data is inaccurate or incomplete or inaccessible, we may make faulty decisions or experience business interruptions. Despite the security measures we have in place, our facilities and systems, and those of the retailers, dealers, licensees and other third-party suppliers and vendors with which we do business, may be vulnerable to cybersecurity threats, attacks or incidents, failures or disruptions, acts of vandalism or misconduct, computer viruses, misplaced or lost data, programming and/or human errors or other similar events. Any cybersecurity incidents involving the misappropriation, loss or other unauthorized disclosure of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cybersecurity threats may evolve in sophistication and become more prevalent worldwide, we continue to aim to increase our sensitivity and attention to these threats, seek additional investments and resources to address these threats and enhance the security of our facilities and systems and strengthen our controls and procedures to monitor, protect against and mitigate these threats. The domestic and international legal and regulatory environment related to information security, data collection and privacy is increasingly rigorous and complex, with new and constantly changing requirements applicable to our business. Compliance with these requirements, including the European Union's General Data Protection Regulation ("GDPR"), China's newly enacted Personal Information Protection Law ("PIPL") and other domestic (including state law) and international regulations, could result in additional costs and changes to our business practices.</w:t>
      </w:r>
    </w:p>
    <w:p>
      <w:pPr>
        <w:spacing w:after="0" w:line="21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454546"/>
        </w:rPr>
        <w:t>Moreover, we rely heavily on computer systems and software to manage and operate our business, record and process transactions, and manage, support and communicate with our employees, customers, suppliers, vendors, and other third parties. Computer systems and software are important to production planning, finance, company operations and customer service, among other business-critical processes. Despite our efforts to prevent disruptions to our computer systems and software, these systems and software may be affected by damage, disruption, attack, or interruption from, among other causes, power outages, system failures, computer viruses, the development of harmful malware or ransomware, denial-of-service attacks and other intrusions, including cybersecurity incidents and other disruptions or failures. Cybersecurity threat actors also may attempt to exploit vulnerabilities through software that is commonly used by companies in cloud-based services and bundled software. Computer hardware and storage equipment that is integral to efficient operations, such as email, telephone and other functionality, is concentrated in certain physical locations in the various continents in which we operate. We rely on software applications, enterprise cloud storage systems and cloud computing services provided by third-party vendors, and our business may be adversely affected by service disruptions in or cybersecurity incidents and disruptions and failures related to such systems. Remote work and remote access also increases the risk of cybersecurity incidents and disruptions and failures on our systems surface. In addition, there has been a global increase in cybersecurity threat volume, frequency, and sophistication driven by the global enablement of remote workforces. Geopolitical tensions or conflicts, such as ongoing conflicts and uncertainties in Ukraine, Iran and Venezuela, may further heighten the risk of cybersecurity incidents and disruptions of our services and software on which we rely. We continue to try to mitigate these risks in a number of ways, including through additional investment, engagement of third-party experts and consultants, improving the security of our facilities and systems (including through upgrades to our security and information technology systems), providing training for all employees (with more enhanced or frequent training based on role or responsibility), assessing the continued appropriateness of relevant insurance coverage and strengthening our controls and procedures to monitor, mitigate and respond appropriately to these threats. We carry cyber insurance, and while we have not incurred any material losses due to any failure of or disruptions to our systems, or from any cybersecurity incidents, we cannot be certain that our coverage will be adequate for liabilities actually incurred, that insurance will continue to be available to us on economically reasonable terms, or that any insurer will not deny coverage as to any future claim.</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454546"/>
        </w:rPr>
        <w:t>As part of our QuickSet Cloud feature delivery, our cloud data captures device information and data elements that are used to enhance product performance and create a more personalized consumer experience. These features, and any device specific data are delivered for use by our customers and not sold to third parties. While QuickSet Cloud services a subset of the data used by QuickSet, the majority of the data is captured, analyzed and stored on the device, and in the home, and is not stored outside of the home. This includes the more personal and private data classes such as content usage and user occupancy and presence.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Proprietary Technologies</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19</w:t>
      </w:r>
    </w:p>
    <w:p>
      <w:pPr>
        <w:sectPr>
          <w:pgSz w:w="11880" w:h="15480" w:orient="portrait"/>
          <w:cols w:equalWidth="0" w:num="1">
            <w:col w:w="10260"/>
          </w:cols>
          <w:pgMar w:left="820" w:top="613" w:right="80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i w:val="1"/>
          <w:iCs w:val="1"/>
          <w:u w:val="single" w:color="auto"/>
          <w:color w:val="454546"/>
        </w:rPr>
        <w:t>Technology Changes in Control and Sensing</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We currently derive substantial revenue from the sale of remote controls, thermostats, sensors and home automation products based on IR and RF and other technologies. Other control technologies exist or may be developed that may compete with our technology. In addition, we develop and maintain our own database of IR and RF codes, as well as elements critical to the delivery of our HVAC engine. There are other IR and RF libraries offered by companies that we compete with in the marketplace. In addition, if competing control and sensing technology and products gain acceptance and start to be integrated into home electronics devices and home security and automation products, demand for our products may decrease, resulting in decreased operating results, financial condition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Our Technology Development Activities May Experience Delays</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We may experience technical, financial, resource or other difficulties or delays related to the further development of our technologies. Delays may have adverse financial effects and may allow competitors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Dependence upon New Product Introduction</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Our ability to remain competitive in the video services, consumer electronics, climate control, security, home automation and home appliance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 Moreover, the introduction of new products may require significant expenditures for R&amp;D, tooling, manufacturing processes, inventory and marketing. In order to achieve high-volume production of any new product, we may have to make substantial investments in inventory and expand our production capabilities. We cannot be certain that we will recover the costs we incurred in developing new products, investing in inventory, expanding our production capabilities, or that those new products will be successful.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Artificial Intelligence</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We may incorporate AI solutions into some of our platforms, offerings, services and features, and these applications may become more important in our operations over time. Our competitors, or other third parties, may incorporate AI into their products more quickly or more successfully than us, which could impair our ability to compete effectively and affect our results or operations. Additionally, if our AI applications are based on data, algorithms, or other inputs that are flawed, or if they assist in producing content, analyses, or recommendations that are or are alleged to be deficient, inaccurate, or biased, our business, financial condition, and results of operations may be adversely affected. The use of AI applications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reputational, or competitive harm, or legal liability. The rapid evolution of AI, including the potential regulation of AI by government or other regulatory agencies, will require significant resources to develop, test, and maintain our platforms, offerings, services, and features in order to implement AI ethically and minimize any unintended, harmful impacts.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Dependence on Consumer Preference</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We are susceptible to fluctuations in our business based upon consumer demand for our products.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ectPr>
          <w:pgSz w:w="11880" w:h="15480" w:orient="portrait"/>
          <w:cols w:equalWidth="0" w:num="1">
            <w:col w:w="10260"/>
          </w:cols>
          <w:pgMar w:left="820" w:top="84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20</w:t>
      </w:r>
    </w:p>
    <w:p>
      <w:pPr>
        <w:sectPr>
          <w:pgSz w:w="11880" w:h="15480" w:orient="portrait"/>
          <w:cols w:equalWidth="0" w:num="1">
            <w:col w:w="10260"/>
          </w:cols>
          <w:pgMar w:left="820" w:top="849" w:right="80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i w:val="1"/>
          <w:iCs w:val="1"/>
          <w:u w:val="single" w:color="auto"/>
          <w:color w:val="454546"/>
        </w:rPr>
        <w:t>Dependence on Major Customers</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The economic strength and weakness of our worldwide customers affect our performance. We sell our products, accessory products, and proprietary technologies to video service providers, OEMs, retailers and private label customers. We also supply our products, accessory products, and technologies to our wholly owned, non-U.S. subsidiaries and to independent foreign distributors, who in turn distribute our products worldwide. While we generally have a broad and varied customer base, during the years ended December 31, 2025, 2024 and 2023, Daikin Industries Ltd. accounted for sales totaling more than 10% of our net sales. In addition, we have some customers that, individually or through their subsidiaries or affiliated partners,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Demand for Consumer Service and Support</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provide consumer service and support to our retail customers to add overall value and to help differentiate us from our competitors. Certain of our products have more features than others and therefore require more end-user technical support, which may increase our support costs and have an adverse effect on our business, operating results, financial condition and cash flows. We continually review our service and support group and are marketing our expertise in this area to other potential retail customers.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Manufacturing Risks</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We operate factories in the PRC, Vietnam and Brazil. In addition, we utilize third-party manufacturers located in Asia and Mexico to manufacture a portion of our products. We believe that the loss of any one or more of these third-party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U.S.-China Trade and Supply Chain Compliance Risks</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In recent years, U.S.-China trade and investment has become subject to additional regulatory conditions and restrictions, including restrictions on certain imports and exports, increased tariffs, inbound and outbound investment restrictions, and enhanced prohibitions targeting the use of forced labor in supply chains. Political leaders, regulatory agencies and legislators have also increased their focus on enforcing these rules and monitoring companies’ compliance. We maintain policies and procedures designed to ensure compliance with these rules, and we do not believe that these rules or our efforts to comply with them materially impact our business, but it is possible that these restrictions, tariffs and related government initiatives will expand and that their effect our business will become more onerous, and we cannot be certain that our compliance efforts will in all cases be successful.</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In the United States, among other relevant restrictions, the Uyghur Forced Labor Prevention Act (the "UFLPA") creates a rebuttable presumption that all goods produced or manufactured, even partially, in the PRC’s Xinjiang Uyghur Autonomous Region ("XUAR") were made with forced labor and, therefore, would not be allowed entry at U.S. ports. Importers that source from the XUAR are required to present clear and convincing evidence that goods from the XUAR are not made with forced labor. While we do not authorize the sourcing of any product from the XUAR and have increased compliance to ensure our entire supply chain is free of any products made with forced labor, there is nonetheless a risk, particularly in light of prior media allegations and government inquiries focusing on one of our former facilities, that our business, results of operations and financial condition could be adversely affected by the UFLPA, related regulatory requirements and enforcement activity, or related customer concerns. Overall, our reliance on international supply chains involves a risk of adverse effects to our business, including from government restrictions and enforcement efforts.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Among other things, we utilize third-party suppliers as well as third-party employment or labor agencies to provide us with staff to support our production activities. While we require these suppliers and agencies to adhere to our Supplier Code of Conduct and the RBA Code of Conduct, which among other things prohibits forced labor in any manner and requires them to treat all employees with respect and dignity, use of third-party agencies has come under worldwide scrutiny. If a supplier or third-party labor agency were to engage in actual or apparent non-compliance with our Supplier Code of Conduct or otherwise violate applicable laws or regulations, this could create compliance challenges for us and adversely affect our business or our customer relationships.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Dependence upon Key Suppliers</w:t>
      </w:r>
    </w:p>
    <w:p>
      <w:pPr>
        <w:spacing w:after="0" w:line="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continue to operate in a supply-constrained environment, and we are heavily dependent on third-party suppliers and their ability to deliver sufficient quantities of key components and products at reasonable prices and in time for us to meet schedules for the delivery of our products and services. Most of the components used in our products are available from multiple sources.</w:t>
      </w:r>
    </w:p>
    <w:p>
      <w:pPr>
        <w:sectPr>
          <w:pgSz w:w="11880" w:h="15480" w:orient="portrait"/>
          <w:cols w:equalWidth="0" w:num="1">
            <w:col w:w="10260"/>
          </w:cols>
          <w:pgMar w:left="820" w:top="609" w:right="800" w:bottom="0" w:gutter="0" w:footer="0" w:header="0"/>
        </w:sectPr>
      </w:pP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21</w:t>
      </w:r>
    </w:p>
    <w:p>
      <w:pPr>
        <w:sectPr>
          <w:pgSz w:w="11880" w:h="15480" w:orient="portrait"/>
          <w:cols w:equalWidth="0" w:num="1">
            <w:col w:w="10260"/>
          </w:cols>
          <w:pgMar w:left="820" w:top="609" w:right="800" w:bottom="0" w:gutter="0" w:footer="0" w:header="0"/>
          <w:type w:val="continuous"/>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20"/>
          <w:szCs w:val="20"/>
          <w:color w:val="454546"/>
        </w:rPr>
        <w:t>However, we purchase ICs used in products, from a small number of key suppliers. To reduce our dependence on our IC suppliers we continually seek additional sources. We maintain inventories of our ICs, which may be used in part to mitigate, but not eliminate, delays resulting from supply interruptions. Further, we have identified alternative sources of supply for our ICs, component parts, and finished goods; however, there can be no assurance that we will be able to continue to obtain these inventory purchases on a timely basis or in the quantities we need.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From time to time, we may obtain components from a single source due to technology, availability, price, quality or other considerations. New products that we introduce may utilize custom components obtained initially from only one source until we have determined whether there is a need for additional suppliers. Replacing a single-source supplier could delay production of some products as replacement suppliers may be subject to capacity constraints or other output limitations. For some components, alternative sources may not exist or may be unable to produce the quantities necessary to satisfy our requirements. The loss of, deterioration of our relationship with, or limits in allocation by, a single-source supplier, could adversely affect our business and financial performance.</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Difficulty in Ordering Integrated Circuits and Increases in Commodities and Freight Costs Have Adversely Affected and Will Continue to Adversely Affect Our Business</w:t>
      </w:r>
    </w:p>
    <w:p>
      <w:pPr>
        <w:ind w:right="20"/>
        <w:spacing w:after="0" w:line="234" w:lineRule="auto"/>
        <w:rPr>
          <w:sz w:val="20"/>
          <w:szCs w:val="20"/>
          <w:color w:val="auto"/>
        </w:rPr>
      </w:pPr>
      <w:r>
        <w:rPr>
          <w:rFonts w:ascii="Times New Roman" w:cs="Times New Roman" w:eastAsia="Times New Roman" w:hAnsi="Times New Roman"/>
          <w:sz w:val="20"/>
          <w:szCs w:val="20"/>
          <w:color w:val="454546"/>
        </w:rPr>
        <w:t>We have experienced difficulty in ordering ICs in the recent past and this difficulty could continue in the future. While we have identified other sources of ICs and are taking other production and inventory control steps in order to mitigate the effects caused by these types of shortages, we cannot guarantee that the alternative sources will meet our short- and longer-term IC needs and/ or without experiencing increases in the prices we pay for these components. If we are not able to purchase sufficient quantities of ICs from our current and alternative suppliers, we may not be able to produce sufficient quantities of products to meet our customers' demands. This, in turn, may affect our ability to meet our quarterly revenue targets and otherwise adversely affect our business. In addition, many of our products are paired with certain of our customers' products, like set-top boxes and televisions. If those customers are not able to obtain sufficient quantities of ICs for their products, their demand for our products may decrease. Also, we are continuing to experience increases in freight costs which have adversely affected and may continue to adversely affect our margins. At the same time, in order to secure components for our products or services, we have made and may continue to make advance payments to suppliers and/or enter into non-cancelable commitments with suppliers. We have strategically purchased and may continue to strategically purchase ICs and other key components in advance of demand to take advantage of favorable pricing or to address concerns about future availability. If we fail to anticipate customer demand properly or if customer changes its demand significantly, a temporary "oversupply" could result in excess or obsolete components.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Transportation Costs and Impact of Oil Prices</w:t>
      </w:r>
    </w:p>
    <w:p>
      <w:pPr>
        <w:spacing w:after="0" w:line="3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0"/>
          <w:szCs w:val="20"/>
          <w:color w:val="454546"/>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These increases in costs and tariffs may have a material adverse effect on our product margins. We also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Rising oil prices may have an adverse effect on cost of sales and operating expenses, and international conflicts may continue to create uncertainty in oil prices and may produce continued or increased disruptions to international shipping and fluctuating freight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Disruptions Caused by Labor Disputes or Organized Labor Activities Could Materially Harm our Business and Reputation</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Currently, approximately 200 of our Brazil and Mexico employees are represented by labor unions. Additionally, approximately 600 of our Vietnam employees are covered by a collective bargaining agreement. Disputes with the current labor unions or new union organizing activities could lead to production slowdowns or stoppages and make it difficult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Leased Property</w:t>
      </w:r>
    </w:p>
    <w:p>
      <w:pPr>
        <w:spacing w:after="0" w:line="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22</w:t>
      </w:r>
    </w:p>
    <w:p>
      <w:pPr>
        <w:sectPr>
          <w:pgSz w:w="11880" w:h="15480" w:orient="portrait"/>
          <w:cols w:equalWidth="0" w:num="1">
            <w:col w:w="10260"/>
          </w:cols>
          <w:pgMar w:left="820" w:top="613" w:right="8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i w:val="1"/>
          <w:iCs w:val="1"/>
          <w:u w:val="single" w:color="auto"/>
          <w:color w:val="454546"/>
        </w:rPr>
        <w:t>Competition</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Competition within the industries we serve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cost-effective basis, as well as our ability to successfully identify and enter into strategic alliances with entities doing business within the industries we serve. Competition in any of these areas may reduce our sales and adversely affect our earnings or cash flow resulting from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R&amp;D as quickly as we expect, if at all. Some customers may elect to engage a second source to manufacture the same product, and there is no guarantee that these customers will maintain the volume that was initially allocated to us throughout the product life cycle.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454546"/>
        </w:rPr>
        <w:t>Smart control solutions in the HVAC market tend to have long development lead-times, ranging from 12-24 months depending on product complexity. These development cycles include initial longer customer engagement upfront to define new product requirements as well as extensive testing and validation of thermostat control and performance against legacy and new HVAC equipment at the end of development. These long development lead-times translate into longer product life cycles, ranging from 5-8 years, as the product replacement cycle takes longer to define, develop and launch. Major HVAC OEMs typically select more than one supplier across their climate controller product categories: remote controls, wall-mount controllers and smart or connected thermostats. Suppliers are typically selected based on the breadth of their technology, development experience in the product category and their supply chain capabilities.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activities, which could have a material adverse effect on our ability to drive awareness and demand for our products and services. In addition, video service providers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Change in Competition and Pricing</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Even with having our own factories, we will continue to rely on third-party manufacturers to build a portion of our products. As customers become increasingly price sensitive, we have experienced new competition arising from manufacturers who decided to go into direct competition with us by performing their own manufacturing. If this development continues, we may experience downward pressure on our pricing or lose sales, which may have a material adverse effect on our operating results, financial condition and cash flows.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Strategic Business Transactions</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We have historically made strategic acquisitions of businesses in industries adjacent to our core business and will likely acquire additional businesses or engage in strategic partnerships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 Furthermore, we may sell or divest certain non-core businesses or assets as a part of our business strategy. However, there can be no assurance that we will be successful in selling or divesting from any such businesses or assets. We may incur substantial expenses associated with identifying and evaluating potential sales. The process of exploring any sale or divestment may be time consuming and disruptive to our business operations, and if we are unable to effectively manage the process, our business, financial condition and operating results could be adversely affected. We also cannot assure that any potential sale or divestment, if consummated, will prove to be beneficial to our shareholders. Any potential sale or divestment would be</w:t>
      </w:r>
    </w:p>
    <w:p>
      <w:pPr>
        <w:sectPr>
          <w:pgSz w:w="11880" w:h="15480" w:orient="portrait"/>
          <w:cols w:equalWidth="0" w:num="1">
            <w:col w:w="10260"/>
          </w:cols>
          <w:pgMar w:left="820" w:top="609" w:right="80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23</w:t>
      </w:r>
    </w:p>
    <w:p>
      <w:pPr>
        <w:sectPr>
          <w:pgSz w:w="11880" w:h="15480" w:orient="portrait"/>
          <w:cols w:equalWidth="0" w:num="1">
            <w:col w:w="10260"/>
          </w:cols>
          <w:pgMar w:left="820" w:top="609" w:right="800" w:bottom="0" w:gutter="0" w:footer="0" w:header="0"/>
          <w:type w:val="continuous"/>
        </w:sectPr>
      </w:pPr>
    </w:p>
    <w:bookmarkStart w:id="27" w:name="page28"/>
    <w:bookmarkEnd w:id="27"/>
    <w:p>
      <w:pPr>
        <w:jc w:val="both"/>
        <w:spacing w:after="0" w:line="309" w:lineRule="auto"/>
        <w:rPr>
          <w:sz w:val="20"/>
          <w:szCs w:val="20"/>
          <w:color w:val="auto"/>
        </w:rPr>
      </w:pPr>
      <w:r>
        <w:rPr>
          <w:rFonts w:ascii="Times New Roman" w:cs="Times New Roman" w:eastAsia="Times New Roman" w:hAnsi="Times New Roman"/>
          <w:sz w:val="19"/>
          <w:szCs w:val="19"/>
          <w:color w:val="454546"/>
        </w:rPr>
        <w:t>dependent upon a number of factors that may be beyond our control, including, among other factors, market conditions, industry trends, the interest of third parties in the assets and the availability of financing to potential buyers on reasonable terms.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Recruitment and Retention of Talent and Key Employees</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In order to be successful, we must attract, hire, retain, train, motivate, and develop qualified executives, engineers, technical staff and other key employees. Identifying, developing internally or hiring externally, training and retaining qualified executives, engineers and qualified sales representatives are critical to our future, and competition for experienced employees in the technology industry can be intense as employees' expectations of compensation, benefits and work flexibility continue to increase. Equity-based compensation can be important to attracting and retaining qualified employees and lack of positive performance in our stock price may adversely affect our ability to attract or retain key employees. In addition, workforce dynamics are constantly evolving in all regions, and we may not be able to manage changing workforce dynamics successfully.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Doing Business in the PRC</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Presently, we manufacture many of our products in our factory in the PRC. Additionally, many of our contract manufacturers are located in the PRC. In addition to the other risks identified herein, doing business in the PRC carries a number of risks including the following: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The Fluctuation of the Chinese Yuan Renminbi May Adversely Impact Our Manufacturing Costs</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Under Chinese monetary policy, the Chinese Yuan Renminbi is permitted to fluctuate within a managed band against a basket of certain foreign currencies and has resulted in increased volatility in the exchange rate of the Chinese Yuan Renminbi against the U.S. Dollar. Any significant appreciation of the Chinese Yuan Renminbi against the U.S. Dollar could lead to higher manufacturing costs for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Availability of Adequate Workforce Levels</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Presently, a portion of workers at our PRC factory are obtained from third-party employment agencies. As the labor laws, social insurance and wage levels continue to grow, our costs to employ these and other workers in the PRC may grow beyond that anticipated by management. Some of our key customers have demanded that we reduce the percentage of workers sourced from third-party employment agencies, which may also lead to increased costs in recruitment, retention and compliance.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Changes in the Policies of the PRC Government May Have a Significant Impact Upon the Business We Conduct in the PRC and the Profitability of Such Business</w:t>
      </w:r>
    </w:p>
    <w:p>
      <w:pPr>
        <w:jc w:val="both"/>
        <w:spacing w:after="0" w:line="251" w:lineRule="auto"/>
        <w:rPr>
          <w:sz w:val="20"/>
          <w:szCs w:val="20"/>
          <w:color w:val="auto"/>
        </w:rPr>
      </w:pPr>
      <w:r>
        <w:rPr>
          <w:rFonts w:ascii="Times New Roman" w:cs="Times New Roman" w:eastAsia="Times New Roman" w:hAnsi="Times New Roman"/>
          <w:sz w:val="20"/>
          <w:szCs w:val="20"/>
          <w:color w:val="454546"/>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 Additionally, in light of recent geo-political tensions and competing territorial claims, the PRC's relationships with other countries or governments could grow more complex or openly adversarial, potentially leading to far-reaching market disruptions. Potential conflict across the Taiwan Strait or between the PRC and other countries or governments could cause a significant adverse effect to our business and could lead to a disruption in our ability to operate in or source from the PRC.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The PRC Laws and Regulations Governing Our Current Business Operations are Sometimes Vague and Uncertain</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There are substantial uncertainties regarding the interpretation and application of PRC laws and regulations, including but not limited to the laws and regulations governing our business, or the enforcement and performance of our arrangements with customers.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 levying fines; revoking our business and other licenses; requiring that we restructure our ownership or operations; and requiring that we discontinue any portion or all of our business.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The PRC's Legal and Judicial System May Not Adequately Protect Our Business and Operations and the Rights of Foreign Investors</w:t>
      </w:r>
    </w:p>
    <w:p>
      <w:pPr>
        <w:jc w:val="both"/>
        <w:spacing w:after="0" w:line="255" w:lineRule="auto"/>
        <w:rPr>
          <w:sz w:val="20"/>
          <w:szCs w:val="20"/>
          <w:color w:val="auto"/>
        </w:rPr>
      </w:pPr>
      <w:r>
        <w:rPr>
          <w:rFonts w:ascii="Times New Roman" w:cs="Times New Roman" w:eastAsia="Times New Roman" w:hAnsi="Times New Roman"/>
          <w:sz w:val="20"/>
          <w:szCs w:val="20"/>
          <w:color w:val="454546"/>
        </w:rPr>
        <w:t>The PRC legal and judicial system may negatively impact foreign investors, with inconsistent enforcement of existing laws. In addition, the promulgation of new laws, changes to existing laws and the preemption of local regulations by national laws may adversely affect foreign investors.</w:t>
      </w:r>
    </w:p>
    <w:p>
      <w:pPr>
        <w:sectPr>
          <w:pgSz w:w="11880" w:h="15480" w:orient="portrait"/>
          <w:cols w:equalWidth="0" w:num="1">
            <w:col w:w="10260"/>
          </w:cols>
          <w:pgMar w:left="820" w:top="613" w:right="800" w:bottom="0" w:gutter="0" w:footer="0" w:header="0"/>
        </w:sect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24</w:t>
      </w:r>
    </w:p>
    <w:p>
      <w:pPr>
        <w:sectPr>
          <w:pgSz w:w="11880" w:h="15480" w:orient="portrait"/>
          <w:cols w:equalWidth="0" w:num="1">
            <w:col w:w="10260"/>
          </w:cols>
          <w:pgMar w:left="820" w:top="613" w:right="80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454546"/>
        </w:rPr>
        <w:t>Risks Relating to Regulation and Legal Matters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Certain Regulatory and Financial Risks Related to Climate Change</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Concerns about climate change may result in the imposition of additional regulations or restrictions to which we may become subject. A number of governments or governmental bodies have introduced or are contemplating regulatory changes in response to climate change, including regulating greenhouse gas emissions. The outcome of new legislation or regulation in the U.S. and other jurisdictions in which we operate may result in new or additional requirements, additional charges to fund energy efficiency activities, and fees or restrictions on certain activities. Compliance with these climate change initiatives may also result in additional costs to us. Any adopted future climate change regulations could also negatively impact our ability to compete with companies situated in areas not subject to such limitations. Even without such regulation, increased public awareness and adverse publicity about potential impacts on climate change emanating from us or our industry could harm us. We may not be able to recover the cost of compliance with new or more stringent laws and regulations, which could adversely affect our results of operations, financial position or cash flows. Ultimately, the impacts of climate change, whether involving physical risks or transition risks, are expected to be widespread and unpredictable and may materially adversely affect our business and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Significant Developments From Potential Changes in U.S. Trade Policies Could Have a Material Adverse Effect On Us</w:t>
      </w:r>
    </w:p>
    <w:p>
      <w:pPr>
        <w:spacing w:after="0" w:line="34"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454546"/>
        </w:rPr>
        <w:t>In the nations where we have operations or otherwise conduct business, we are also subject to tariffs, import/export controls, and other trade-related laws and limitations. These limits, regulations, and tariffs may significantly disrupt our business, affecting our capacity to manufacture, source components and sell goods. The current U.S. administration has introduced policies imposing tariffs on goods manufactured abroad, including goods manufactured in the PRC, Vietnam, Taiwan and Mexico. Significant uncertainty continues to exist about the future of U.S. trade policy and the implementation of new tariffs, as well as any possible exemptions from the tariffs (such as through the USMCA). We are monitoring these actions, which could have an adverse impact on our business strategy, operating results and financial condition. The measures by the administration may increase costs for certain goods imported into the United States, and there can be no assurance that these tariffs will not be implemented or increased in the future, with the previously mentioned countries or additional countries with which we do business. The degree to which these changes in U.S. trade policy affect our operating results will be influenced by the specific details of the changes in trade policies, their timing and duration, and our effectiveness in deploying tools and strategies to address these issues. We manufacture a substantial amount of our products in the PRC and Mexico and are presently subject to these additional tariffs and will remain so until the tariff lists are altered. These tariffs, and other governmental action relating to international trade agreements or policies,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Policy Changes Affecting International Trade Could Adversely Impact the Demand for Our Products and Our Competitive Position</w:t>
      </w:r>
    </w:p>
    <w:p>
      <w:pPr>
        <w:jc w:val="both"/>
        <w:spacing w:after="0" w:line="252" w:lineRule="auto"/>
        <w:rPr>
          <w:sz w:val="20"/>
          <w:szCs w:val="20"/>
          <w:color w:val="auto"/>
        </w:rPr>
      </w:pPr>
      <w:r>
        <w:rPr>
          <w:rFonts w:ascii="Times New Roman" w:cs="Times New Roman" w:eastAsia="Times New Roman" w:hAnsi="Times New Roman"/>
          <w:sz w:val="20"/>
          <w:szCs w:val="20"/>
          <w:color w:val="454546"/>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may benefit from free trade agreements. Efforts to withdraw from or substantially modify such agreements or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Risks and Uncertainties Associated with Our Expansion Into and Our Operations Outside of the United States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20"/>
          <w:szCs w:val="20"/>
          <w:color w:val="454546"/>
        </w:rPr>
        <w:t>Our international operations continue to grow, making up a significant part of our current business and future strategic plans. We presently operate factories in the PRC, Vietnam and Brazil, engineering centers in India, Japan and Korea and rely on third-party manufacturers located in Asia and Mexico.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w:t>
      </w:r>
    </w:p>
    <w:p>
      <w:pPr>
        <w:sectPr>
          <w:pgSz w:w="11880" w:h="15480" w:orient="portrait"/>
          <w:cols w:equalWidth="0" w:num="1">
            <w:col w:w="10260"/>
          </w:cols>
          <w:pgMar w:left="820" w:top="606" w:right="800" w:bottom="0" w:gutter="0" w:footer="0" w:header="0"/>
        </w:sect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25</w:t>
      </w:r>
    </w:p>
    <w:p>
      <w:pPr>
        <w:sectPr>
          <w:pgSz w:w="11880" w:h="15480" w:orient="portrait"/>
          <w:cols w:equalWidth="0" w:num="1">
            <w:col w:w="10260"/>
          </w:cols>
          <w:pgMar w:left="820" w:top="606" w:right="800" w:bottom="0" w:gutter="0" w:footer="0" w:header="0"/>
          <w:type w:val="continuous"/>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20"/>
          <w:szCs w:val="20"/>
          <w:color w:val="454546"/>
        </w:rPr>
        <w:t>an organization doing business in many different countries; (5) uncertainties as to the enforceability of contract and intellectual property rights under local laws; (6) rapid changes in government policy, political or civil unrest, acts of terrorism, or the threat of international boycotts or U.S. anti-boycott legislation; and (7) currency exchange rate fluctuations.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are also exposed to risks relating to U.S. policy with respect to companies doing business in foreign jurisdictions, and as such we are subject to a variety of taxes in the U.S. (federal, state, and local) and numerous foreign 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which make the ultimate tax determination uncertain.</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We become subject to tax controversies in various jurisdictions at various times, and these jurisdictions may assess additional tax liabilities against us. Developments in an audit, investigation, or other tax controversy could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Failure by Our International Operations to Comply With Anti-Corruption Laws or Trade Sanctions Could Increase Our Costs, Reduce Our Profits, Limit Our Growth, Harm Our Reputation, or Subject Us to Broader Liability</w:t>
      </w:r>
    </w:p>
    <w:p>
      <w:pPr>
        <w:jc w:val="both"/>
        <w:spacing w:after="0" w:line="251" w:lineRule="auto"/>
        <w:rPr>
          <w:sz w:val="20"/>
          <w:szCs w:val="20"/>
          <w:color w:val="auto"/>
        </w:rPr>
      </w:pPr>
      <w:r>
        <w:rPr>
          <w:rFonts w:ascii="Times New Roman" w:cs="Times New Roman" w:eastAsia="Times New Roman" w:hAnsi="Times New Roman"/>
          <w:sz w:val="20"/>
          <w:szCs w:val="20"/>
          <w:color w:val="454546"/>
        </w:rPr>
        <w:t>We are subject to restrictions imposed by the U.S. Foreign Corrupt Practices Act and anti-corruption laws and regulations of other countries applicable to our operations, such as the U.K. Bribery Act. These laws require us to maintain adequate internal controls and accurate books and records. We have properties and do business in many parts of the world where corruption is common, and our compliance with anti-corruption laws may potentially conflict with local customs and practices. The compliance programs, internal controls and policies we maintain and enforce to promote compliance with these laws may not prevent our employees, contractors or agents from acting in ways prohibited by these laws and regulations. We are also subject to trade sanctions administered by the U.S. Office of Foreign Assets Control and the U.S. Department of Commerce, and other U.S. government agencies, and authorities in other countries where we do business. Our Global Compliance Department, compliance programs, and internal control policies and procedures may not prevent conduct that is prohibited under these rules. The United States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or damage our reputation or result in lawsuits or regulatory actions being brought against us or our officers or directors. In addition, the operation of these laws and regulations or an imposition of further restrictions in these areas could increase our cost of operations, reduce our profits or cause us to forgo development opportunities or limit certain business operations that would otherwise support growth.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We are Subject to a Wide Variety of Complex Domestic and Foreign Laws and Regulations</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We are subject to a wide variety of complex domestic and foreign laws and regulations, and legal compliance risks, including securities laws, tax laws, employment and pension-related laws, competition laws, U.S. and foreign export and trading laws, laws governing improper business practices, and health, safety and environmental laws and regulations. These laws and regulations not only govern our current operations and products but could also impose liability on us for our past operations. From time to time, our Company, our operations and the industries in which we operate are being reviewed or investigated by regulators, which may lead to enforcement actions or the assertion of private litigation claims and damages. Our costs to respond to any investigation or to comply with these laws and regulations may increase as these requirements become more stringent in the future, and these increased costs may adversely affect our results of operations, cash flow or financial condition. 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pay significant settlements, fines and penalties, which may have a material adverse effect on our results of operations, cash flows or financial condition.</w:t>
      </w:r>
    </w:p>
    <w:p>
      <w:pPr>
        <w:sectPr>
          <w:pgSz w:w="11880" w:h="15480" w:orient="portrait"/>
          <w:cols w:equalWidth="0" w:num="1">
            <w:col w:w="10260"/>
          </w:cols>
          <w:pgMar w:left="820" w:top="613" w:right="800" w:bottom="0" w:gutter="0" w:footer="0" w:header="0"/>
        </w:sectPr>
      </w:pP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26</w:t>
      </w:r>
    </w:p>
    <w:p>
      <w:pPr>
        <w:sectPr>
          <w:pgSz w:w="11880" w:h="15480" w:orient="portrait"/>
          <w:cols w:equalWidth="0" w:num="1">
            <w:col w:w="10260"/>
          </w:cols>
          <w:pgMar w:left="820" w:top="613" w:right="80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i w:val="1"/>
          <w:iCs w:val="1"/>
          <w:u w:val="single" w:color="auto"/>
          <w:color w:val="454546"/>
        </w:rPr>
        <w:t>Patents, Trademarks, and Copyrights</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while our business is not materially dependent upon any single patent, trade secret, trademark, trade name, copyright, or know-how, we do have "families" of patents that are interrelated, which if determined to be invalid or unenforceable, could have a detrimental effect on our business.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In addition, as is typical in our business, third parties (including non-practicing entities ("NPEs")) may challenge the validity of our patents. In the event that such challenges prove successful, the value of our patents may decline which, in turn, could have an adverse effect on our business. 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Potential for Litigation</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 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Environmental Matters</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454546"/>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 In addition, our operations, supply chain and our products are expected to become increasingly subject to federal, state, local and foreign laws, regulations, and international treaties relating to climate change, such as climate disclosure, carbon pricing or product energy efficiency requirements, requiring us to comply or potentially face market-access limitations or other sanctions including fines. We strive to continually improve the energy and carbon efficiency of our operations, supply chain and product portfolio and deliver more cost-effective and lower carbon technology solutions to our customers.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Regulations Related to the Use of Conflict-Free Minerals May Increase Our Costs and Expenses, and an Inability to Certify that Our Products are Conflict-Free May Adversely Affect Customer Relationships</w:t>
      </w:r>
    </w:p>
    <w:p>
      <w:pPr>
        <w:jc w:val="both"/>
        <w:spacing w:after="0" w:line="260" w:lineRule="auto"/>
        <w:rPr>
          <w:sz w:val="20"/>
          <w:szCs w:val="20"/>
          <w:color w:val="auto"/>
        </w:rPr>
      </w:pPr>
      <w:r>
        <w:rPr>
          <w:rFonts w:ascii="Times New Roman" w:cs="Times New Roman" w:eastAsia="Times New Roman" w:hAnsi="Times New Roman"/>
          <w:sz w:val="20"/>
          <w:szCs w:val="20"/>
          <w:color w:val="454546"/>
        </w:rPr>
        <w:t>The Dodd-Frank Wall Street Reform and Consumer Protection Act contains provisions to improve the transparency and accountability of the use by public companies in their products of minerals mined in certain countries and to prevent the</w:t>
      </w:r>
    </w:p>
    <w:p>
      <w:pPr>
        <w:sectPr>
          <w:pgSz w:w="11880" w:h="15480" w:orient="portrait"/>
          <w:cols w:equalWidth="0" w:num="1">
            <w:col w:w="10260"/>
          </w:cols>
          <w:pgMar w:left="820" w:top="849" w:right="800" w:bottom="0" w:gutter="0" w:footer="0" w:header="0"/>
        </w:sectPr>
      </w:pP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27</w:t>
      </w:r>
    </w:p>
    <w:p>
      <w:pPr>
        <w:sectPr>
          <w:pgSz w:w="11880" w:h="15480" w:orient="portrait"/>
          <w:cols w:equalWidth="0" w:num="1">
            <w:col w:w="10260"/>
          </w:cols>
          <w:pgMar w:left="820" w:top="849" w:right="800" w:bottom="0" w:gutter="0" w:footer="0" w:header="0"/>
          <w:type w:val="continuous"/>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20"/>
          <w:szCs w:val="20"/>
          <w:color w:val="454546"/>
        </w:rPr>
        <w:t>sourcing of such "conflict" minerals. As a result, the SEC enacted annual disclosure and reporting requirements for public companies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The Prominence and Evolution on Disclosures related to Sustainability, Human Capital, and Governance and Other Corporate Responsibility Matters May Expose Us to Certain Performance and Reputational Risks</w:t>
      </w:r>
    </w:p>
    <w:p>
      <w:pPr>
        <w:jc w:val="both"/>
        <w:spacing w:after="0" w:line="251" w:lineRule="auto"/>
        <w:rPr>
          <w:sz w:val="20"/>
          <w:szCs w:val="20"/>
          <w:color w:val="auto"/>
        </w:rPr>
      </w:pPr>
      <w:r>
        <w:rPr>
          <w:rFonts w:ascii="Times New Roman" w:cs="Times New Roman" w:eastAsia="Times New Roman" w:hAnsi="Times New Roman"/>
          <w:sz w:val="20"/>
          <w:szCs w:val="20"/>
          <w:color w:val="454546"/>
        </w:rPr>
        <w:t>We have established certain goals related to sustainability, human capital, and governance matters and the reporting of such data.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 Standards for tracking and reporting such matters continue to evolve. Methodologies for reporting such data may be updated and previously reported data may be adjusted to reflect improvement in availability and quality of third-party data, changing assumptions, changes in the nature and scope of our operations and other changes in circumstances. Our processes and controls for reporting these matters relating to our operations and supply chain are evolving along with various standards for identifying, measuring, and reporting such metrics, including related disclosures that may be required by the SEC, European and other regulators, and such standards may change over time. One such method is our use of the EcoVadis sustainability rating system. Further, we may amend, abandon or replace our goals related to sustainability, human capital, and governance matters due to a change in strategy, reduced relevance of such goals or changing market conditions and we may take certain actions that stakeholders or regulators view as contrary to such goals. Certain stakeholders may have different views on where our focus on such matters should be placed, including different views of regulators in the various jurisdictions in which we operate. If our practices do not meet evolving investor or other stakeholder expectations and standards, then our reputation or our attractiveness as an investment, business partner, service provider or employer could be negatively impacted.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Relating to Our Stock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The Price of Our Common Stock is Volatile and May Decline Regardless of Our Operating Performance</w:t>
      </w:r>
    </w:p>
    <w:p>
      <w:pPr>
        <w:spacing w:after="0" w:line="34"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454546"/>
        </w:rPr>
        <w:t>Historically, we have had large fluctuations in the price of our common stock, including a significant decline in our stock price, and such fluctuations may continue. The trading market for our common stock has historically been at low volumes and our market price is volatile and may fluctuate significantly in response to a number of factors, most of which we cannot control, including 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 announcements concerning strategic transactions, such as spin-offs, joint ventures and acquisitions or divestitures; the financial projections we may provide to the public, any changes in these projections or our failure to meet these projections; changes in financial estimates or ratings by any securities analysts who follow our common stock, our failure to meet these estimates or failure of those analysts to initiate or maintain coverage of our common stock; the inclusion or removal of our common stock from any indices; investor perceptions as to the likelihood of achievement of near-term goals; changes in market share of significant customers; changes in operating performance and stock market valuations of other technology or content providing companies generally; and market conditions or trends in our industry or the economy as a whole. Stockholders of other companies have instituted securities class action litigation against such companies after periods of price volatility in such companies’ stock. If we were to become involved in such securities litigation, we may incur substantial costs and the attention of management may be diverted from our business.</w:t>
      </w:r>
    </w:p>
    <w:p>
      <w:pPr>
        <w:spacing w:after="0" w:line="2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454546"/>
        </w:rPr>
        <w:t>In addition, our officers and directors periodically sell shares of our common stock which they own, many times pursuant to trading plans established under Rule 10b5-1 of the Securities Exchange Act of 1934, as amended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454546"/>
        </w:rPr>
        <w:t>Approved Stock Repurchase Programs May Not Result in a Positive Return of Capital to Stockholders</w:t>
      </w:r>
    </w:p>
    <w:p>
      <w:pPr>
        <w:spacing w:after="0" w:line="3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454546"/>
        </w:rPr>
        <w:t>Periodically, our Board approves programs to repurchase our common stock based upon an assessment of the then current value as compared to the then trading ranges and investor analyst reports. Also considered in this decision is the effect any such repurchases may have on our cash balances and needs, cash flow, and short- and long-term borrowing. Additionally, we, the</w:t>
      </w:r>
    </w:p>
    <w:p>
      <w:pPr>
        <w:sectPr>
          <w:pgSz w:w="11880" w:h="15480" w:orient="portrait"/>
          <w:cols w:equalWidth="0" w:num="1">
            <w:col w:w="10260"/>
          </w:cols>
          <w:pgMar w:left="820" w:top="613" w:right="800" w:bottom="0" w:gutter="0" w:footer="0" w:header="0"/>
        </w:sect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28</w:t>
      </w:r>
    </w:p>
    <w:p>
      <w:pPr>
        <w:sectPr>
          <w:pgSz w:w="11880" w:h="15480" w:orient="portrait"/>
          <w:cols w:equalWidth="0" w:num="1">
            <w:col w:w="10260"/>
          </w:cols>
          <w:pgMar w:left="820" w:top="613" w:right="800" w:bottom="0" w:gutter="0" w:footer="0" w:header="0"/>
          <w:type w:val="continuous"/>
        </w:sectPr>
      </w:pPr>
    </w:p>
    <w:bookmarkStart w:id="32" w:name="page33"/>
    <w:bookmarkEnd w:id="32"/>
    <w:p>
      <w:pPr>
        <w:ind w:right="100"/>
        <w:spacing w:after="0" w:line="238" w:lineRule="auto"/>
        <w:rPr>
          <w:sz w:val="20"/>
          <w:szCs w:val="20"/>
          <w:color w:val="auto"/>
        </w:rPr>
      </w:pPr>
      <w:r>
        <w:rPr>
          <w:rFonts w:ascii="Times New Roman" w:cs="Times New Roman" w:eastAsia="Times New Roman" w:hAnsi="Times New Roman"/>
          <w:sz w:val="20"/>
          <w:szCs w:val="20"/>
          <w:color w:val="454546"/>
        </w:rPr>
        <w:t>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0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Our Governing Corporate Documents Contain, and Our Board May Implement, Antitakeover Provisions that May Deter Takeover Attempts</w:t>
      </w:r>
    </w:p>
    <w:p>
      <w:pPr>
        <w:jc w:val="both"/>
        <w:spacing w:after="0" w:line="255" w:lineRule="auto"/>
        <w:rPr>
          <w:sz w:val="20"/>
          <w:szCs w:val="20"/>
          <w:color w:val="auto"/>
        </w:rPr>
      </w:pPr>
      <w:r>
        <w:rPr>
          <w:rFonts w:ascii="Times New Roman" w:cs="Times New Roman" w:eastAsia="Times New Roman" w:hAnsi="Times New Roman"/>
          <w:sz w:val="20"/>
          <w:szCs w:val="20"/>
          <w:color w:val="454546"/>
        </w:rPr>
        <w:t>Our governing corporate documents, among other things, require super-majority votes in connection with certain mergers and similar transactions. In addition, our Board may, without stockholder approval, implement other anti-takeover defenses, such as a stockholder's rights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Relating to Economic Conditions and Global Events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General political and economic factors beyond our control could adversely affect our business and results of operations. These factors include, but are not limited to, supply chain disruptions, labor shortages, wage pressures, geo-political matters and conflicts, rising inflation and potential economic slowdown or recession, as well as increases in costs including fuel and energy costs, foreign currency exchange rate fluctuations, tariffs, and other matters that influence consumer spending and preferences. Among other events, international conflicts have led to disruption of international shipping lanes, causing shipping delays and fluctuating freight costs. These conflicts and the resulting sanctions and related countermeasures could lead to market disruptions, including significant volatility in commodity prices, credit and capital markets, and supply chain interruptions. Additionally, they have the potential to spread to or exacerbate tensions in other countries or regions, leading to new and unanticipated disruptions.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Global markets continued to face threats and uncertain economic and financial market conditions that may also adversely affect the financial condition of our customers, suppliers and other business partners. Any significant decrease in customers'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capital markets, negatively affecting our ability to implement our business strategy.</w:t>
      </w:r>
    </w:p>
    <w:p>
      <w:pPr>
        <w:spacing w:after="0" w:line="20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454546"/>
        </w:rPr>
        <w:t>In the nations where we have operations or otherwise conduct business, we are also subject to tariffs, import/export controls, and other trade-related laws and limitations. These limits, regulations, and tariffs may significantly disrupt our business, affecting our capacity to manufacture, source components and sell goods. The current U.S. administration has introduced policies imposing tariffs on goods manufactured abroad, including goods manufactured in the PRC, Vietnam, Taiwan and Mexico. Significant uncertainty continues to exist about the future of U.S. trade policy and the implementation of new tariffs, as well as any possible exemptions from the tariffs (such as through the USMCA). We are monitoring these actions, which could have an adverse impact on our business strategy, operating results and financial condition. The measures by the administration may increase costs for certain goods imported into the United States, and there can be no assurances that additional tariffs will not be implemented or increased in the future, with the previously mentioned countries or additional countries with which we do business. The degree to which these changes in U.S. trade policy affect our operating results will be influenced by the specific details of the changes in trade policies, their timing and duration, and our effectiveness in deploying tools and strategies to address these issues. In addition, retaliatory tariffs imposed by other countries or other potential government actions, could result in further adverse impacts on our business strategy, operating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General Risks</w:t>
      </w:r>
    </w:p>
    <w:p>
      <w:pPr>
        <w:spacing w:after="0" w:line="25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Economic Downturns and Other Global, National, and Regional Conditions May Adversely Affect Our Results of Operations, Cash Flow, Liquidity or Financial Condition</w:t>
      </w:r>
    </w:p>
    <w:p>
      <w:pPr>
        <w:ind w:right="180"/>
        <w:spacing w:after="0" w:line="249" w:lineRule="auto"/>
        <w:rPr>
          <w:sz w:val="20"/>
          <w:szCs w:val="20"/>
          <w:color w:val="auto"/>
        </w:rPr>
      </w:pPr>
      <w:r>
        <w:rPr>
          <w:rFonts w:ascii="Times New Roman" w:cs="Times New Roman" w:eastAsia="Times New Roman" w:hAnsi="Times New Roman"/>
          <w:sz w:val="19"/>
          <w:szCs w:val="19"/>
          <w:color w:val="454546"/>
        </w:rPr>
        <w:t>Because we conduct our business on a global platform, our business is sensitive to global and regional business and economic conditions. Adverse changes in global, national, regional economies, governmental policies (including in areas such as trade, travel, immigration, healthcare, and related issues), and geopolitical conditions (such as the Russian invasion of Ukraine, conflict in the Middle East, tension across the Taiwan Strait and tension between the United States and foreign countries, and the ramifications of those and other events) impact our activities. Additionally, we conduct business in countries, including Argentina, that have policies which restrict outbound U.S. Dollar transactions. Such conditions in the United States and worldwide may impact our business due to weak economic conditions, changes in energy prices and currency values, political instability, heightened travel security measures, advisories, or disruptions, and concerns over disease, violence, war, or</w:t>
      </w:r>
    </w:p>
    <w:p>
      <w:pPr>
        <w:sectPr>
          <w:pgSz w:w="11880" w:h="15480" w:orient="portrait"/>
          <w:cols w:equalWidth="0" w:num="1">
            <w:col w:w="10260"/>
          </w:cols>
          <w:pgMar w:left="820" w:top="613" w:right="800" w:bottom="0" w:gutter="0" w:footer="0" w:header="0"/>
        </w:sectPr>
      </w:pP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29</w:t>
      </w:r>
    </w:p>
    <w:p>
      <w:pPr>
        <w:sectPr>
          <w:pgSz w:w="11880" w:h="15480" w:orient="portrait"/>
          <w:cols w:equalWidth="0" w:num="1">
            <w:col w:w="10260"/>
          </w:cols>
          <w:pgMar w:left="820" w:top="613" w:right="800" w:bottom="0" w:gutter="0" w:footer="0" w:header="0"/>
          <w:type w:val="continuous"/>
        </w:sectPr>
      </w:pPr>
    </w:p>
    <w:bookmarkStart w:id="33" w:name="page34"/>
    <w:bookmarkEnd w:id="33"/>
    <w:p>
      <w:pPr>
        <w:ind w:right="40"/>
        <w:spacing w:after="0"/>
        <w:rPr>
          <w:sz w:val="20"/>
          <w:szCs w:val="20"/>
          <w:color w:val="auto"/>
        </w:rPr>
      </w:pPr>
      <w:r>
        <w:rPr>
          <w:rFonts w:ascii="Times New Roman" w:cs="Times New Roman" w:eastAsia="Times New Roman" w:hAnsi="Times New Roman"/>
          <w:sz w:val="20"/>
          <w:szCs w:val="20"/>
          <w:color w:val="454546"/>
        </w:rPr>
        <w:t>terrorism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2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Global economic uncertainty continues to exist. The continuation or worsening of the global economic downturn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 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21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454546"/>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0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454546"/>
        </w:rPr>
        <w:t>Risks Relating to Natural or Man-Made Disasters, Contagious Disease, Climate Change, Violence, or War May Cause Increases in the Cost of Raw Materials, Production, and Energy which May Adversely Affect Our Earnings or Cash Flow</w:t>
      </w:r>
    </w:p>
    <w:p>
      <w:pPr>
        <w:ind w:right="20"/>
        <w:spacing w:after="0" w:line="234" w:lineRule="auto"/>
        <w:rPr>
          <w:sz w:val="20"/>
          <w:szCs w:val="20"/>
          <w:color w:val="auto"/>
        </w:rPr>
      </w:pPr>
      <w:r>
        <w:rPr>
          <w:rFonts w:ascii="Times New Roman" w:cs="Times New Roman" w:eastAsia="Times New Roman" w:hAnsi="Times New Roman"/>
          <w:sz w:val="20"/>
          <w:szCs w:val="20"/>
          <w:color w:val="454546"/>
        </w:rPr>
        <w:t>Our ability, including manufacturing or distribution capabilities, and that of our suppliers, business partners and contract manufacturers, to make, move and sell products is critical to our success. We purchase raw materials and energy for use in the manufacturing, distribution and sale of our products. So called “Acts of God,” such as hurricanes, earthquakes, tsunamis, floods, volcanic activity, wildfires, and other natural disasters, as well as man-made disasters and the spread of contagious diseases in locations where we lease and/or own properties and equipment or manage our business,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previously experienced from the COVID-19 pandemic, any one or more of these events, including the actions taken in ongoing international conflicts, could disrupt sales volumes, raw material and fuel supplies and increase our costs, reduce our ability to manufacture and supply our products, and/or increase our operating costs, all of which could adversely affect our earnings or cash flows and profits. There are also inherent climate-related risks wherever our business is conducted. Changes in market dynamics, stakeholder expectations, local, national and international climate change policies, and the frequency and intensity of extreme weather events on critical infrastructure globally, all have the potential to disrupt our business and operations. Such events could result in increases in our costs and expenses and harm our future revenue, cash flows and financial positions.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1B. UNRESOLVED STAFF COMMENTS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None.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1C. CYBERSECURITY</w:t>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have developed cybersecurity risk management processes to identify, manage, and prevent risks related to cybersecurity. Our Information Technology ("IT") team manages our cybersecurity program and the security measures and processes we have in 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 Management and Strategy</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30</w:t>
      </w:r>
    </w:p>
    <w:p>
      <w:pPr>
        <w:sectPr>
          <w:pgSz w:w="11880" w:h="15480" w:orient="portrait"/>
          <w:cols w:equalWidth="0" w:num="1">
            <w:col w:w="10260"/>
          </w:cols>
          <w:pgMar w:left="820" w:top="613" w:right="800" w:bottom="0" w:gutter="0" w:footer="0" w:header="0"/>
          <w:type w:val="continuous"/>
        </w:sectPr>
      </w:pPr>
    </w:p>
    <w:bookmarkStart w:id="34" w:name="page35"/>
    <w:bookmarkEnd w:id="34"/>
    <w:p>
      <w:pPr>
        <w:jc w:val="both"/>
        <w:spacing w:after="0" w:line="260" w:lineRule="auto"/>
        <w:rPr>
          <w:sz w:val="20"/>
          <w:szCs w:val="20"/>
          <w:color w:val="auto"/>
        </w:rPr>
      </w:pPr>
      <w:r>
        <w:rPr>
          <w:rFonts w:ascii="Times New Roman" w:cs="Times New Roman" w:eastAsia="Times New Roman" w:hAnsi="Times New Roman"/>
          <w:sz w:val="20"/>
          <w:szCs w:val="20"/>
          <w:color w:val="454546"/>
        </w:rPr>
        <w:t>Cybersecurity is managed as part of our enterprise risk management program. We have integrated cybersecurity risk management into our enterprise-wide risk assessment through evaluations of IT infrastructure, compliance audits and aligning cybersecurity goals with overall business objectives. We work with cybersecurity experts to better understand potential cybersecurity threats.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Measures we have employed to identify potential cybersecurity threats include advanced threat detection systems, such as intrusion detection systems and security information and event management tools. We manage and work to prevent these cybersecurity threats using a variety of strategies, including deploying firewalls and anti-malware tools, implementing access controls and leading security audits. Our incident response plans and monitoring systems also support detection and prevention of cybersecurity threats.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aim to monitor these risks in connection with third parties in addition to our own operations. We collaborate with external cybersecurity consultants and auditors for independent audits and vulnerability assessments of our existing processes and systems. Our third-party cybersecurity risk assessment program is designed to oversee certain third parties and have those third parties adhere to cybersecurity standards. This program has measures to help further manage and attempt to mitigate potential cybersecurity risks arising from third-party engagements, including security audits, compliance checks for cybersecurity standards, risk evaluation procedures for certain third parties, contractual security requirements in certain third party agreements and monitoring tools. We conduct cybersecurity training with our employees as appropriate based on their roles within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Governance</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Our Board plays a role in guiding and overseeing our cybersecurity strategies and has tasked our Audit Committee with the responsibility for cybersecurity oversight by setting policies, reviewing risk management strategies and reviewing compliance with legal and regulatory requirements. The Audit Committee, as appropriate, briefs the Board on cybersecurity matters.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Management is also responsible for upholding our cybersecurity processes. To this end, we have established a global cybersecurity management team, led by our Vice President, Cybersecurity. Our Vice President, Cybersecurity reports directly to our Senior Vice President and CFO and is primarily responsible for cybersecurity oversight and for developing strategies to mitigate risks from cybersecurity threats, monitoring policy compliance and educating staff on security practices. In carrying out his duties, our Vice President, Cybersecurity provides periodic reports to the Director of our Internal Audit Department, who, in turn, briefs the Audit Committee of the Board on the contents of such reports, including incident reports, compliance status and updates on cybersecurity initiatives.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Our Vice President, Cybersecurity has extensive experience assessing and managing risks from cybersecurity threats, including more than 20 years of experience in information technology and information security positions; serving in information technology leadership positions at the Company for more than 7 years; and has other significant experience in the areas of risk management, information technology and information security, including the following industry certifications: MCSE, MCDBA and CISSP.</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To date, management has not identified risks from cybersecurity threats, including as a result of any previous cybersecurity incidents, that have materially affected or are reasonably likely to materially affect the Company, including its business strategy, results of operations, or financial condition. While we work to maintain our cybersecurity processes, there can be no assurance that such actions will be sufficient to prevent cybersecurity incidents or mitigate all potential risks or threats to such systems, networks, and data or those of our third-party providers.</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31</w:t>
      </w:r>
    </w:p>
    <w:p>
      <w:pPr>
        <w:sectPr>
          <w:pgSz w:w="11880" w:h="15480" w:orient="portrait"/>
          <w:cols w:equalWidth="0" w:num="1">
            <w:col w:w="10260"/>
          </w:cols>
          <w:pgMar w:left="820" w:top="613" w:right="80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454546"/>
        </w:rPr>
        <w:t>ITEM 2. PROPERTIES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global headquarters is located in Scottsdale, Arizona. We utilize the following facilities: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454546"/>
              </w:rPr>
              <w:t>Location</w:t>
            </w:r>
          </w:p>
        </w:tc>
        <w:tc>
          <w:tcPr>
            <w:tcW w:w="80" w:type="dxa"/>
            <w:vAlign w:val="bottom"/>
          </w:tcPr>
          <w:p>
            <w:pPr>
              <w:spacing w:after="0"/>
              <w:rPr>
                <w:sz w:val="16"/>
                <w:szCs w:val="16"/>
                <w:color w:val="auto"/>
              </w:rPr>
            </w:pPr>
          </w:p>
        </w:tc>
        <w:tc>
          <w:tcPr>
            <w:tcW w:w="348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b w:val="1"/>
                <w:bCs w:val="1"/>
                <w:color w:val="454546"/>
              </w:rPr>
              <w:t>Purpose or Use</w:t>
            </w:r>
          </w:p>
        </w:tc>
        <w:tc>
          <w:tcPr>
            <w:tcW w:w="80" w:type="dxa"/>
            <w:vAlign w:val="bottom"/>
          </w:tcPr>
          <w:p>
            <w:pPr>
              <w:spacing w:after="0"/>
              <w:rPr>
                <w:sz w:val="16"/>
                <w:szCs w:val="16"/>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454546"/>
              </w:rPr>
              <w:t>Square</w:t>
            </w:r>
          </w:p>
        </w:tc>
        <w:tc>
          <w:tcPr>
            <w:tcW w:w="80" w:type="dxa"/>
            <w:vAlign w:val="bottom"/>
          </w:tcPr>
          <w:p>
            <w:pPr>
              <w:spacing w:after="0"/>
              <w:rPr>
                <w:sz w:val="16"/>
                <w:szCs w:val="16"/>
                <w:color w:val="auto"/>
              </w:rPr>
            </w:pPr>
          </w:p>
        </w:tc>
        <w:tc>
          <w:tcPr>
            <w:tcW w:w="340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b w:val="1"/>
                <w:bCs w:val="1"/>
                <w:color w:val="454546"/>
              </w:rPr>
              <w:t>Status</w:t>
            </w:r>
          </w:p>
        </w:tc>
        <w:tc>
          <w:tcPr>
            <w:tcW w:w="0" w:type="dxa"/>
            <w:vAlign w:val="bottom"/>
          </w:tcPr>
          <w:p>
            <w:pPr>
              <w:spacing w:after="0"/>
              <w:rPr>
                <w:sz w:val="1"/>
                <w:szCs w:val="1"/>
                <w:color w:val="auto"/>
              </w:rPr>
            </w:pPr>
          </w:p>
        </w:tc>
      </w:tr>
      <w:tr>
        <w:trPr>
          <w:trHeight w:val="214"/>
        </w:trPr>
        <w:tc>
          <w:tcPr>
            <w:tcW w:w="2100" w:type="dxa"/>
            <w:vAlign w:val="bottom"/>
            <w:tcBorders>
              <w:bottom w:val="single" w:sz="8" w:color="454546"/>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3480" w:type="dxa"/>
            <w:vAlign w:val="bottom"/>
            <w:tcBorders>
              <w:bottom w:val="single" w:sz="8" w:color="454546"/>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000" w:type="dxa"/>
            <w:vAlign w:val="bottom"/>
            <w:tcBorders>
              <w:bottom w:val="single" w:sz="8" w:color="454546"/>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454546"/>
              </w:rPr>
              <w:t>Feet</w:t>
            </w:r>
          </w:p>
        </w:tc>
        <w:tc>
          <w:tcPr>
            <w:tcW w:w="80" w:type="dxa"/>
            <w:vAlign w:val="bottom"/>
            <w:tcBorders>
              <w:bottom w:val="single" w:sz="8" w:color="E3E4E5"/>
            </w:tcBorders>
          </w:tcPr>
          <w:p>
            <w:pPr>
              <w:spacing w:after="0"/>
              <w:rPr>
                <w:sz w:val="18"/>
                <w:szCs w:val="18"/>
                <w:color w:val="auto"/>
              </w:rPr>
            </w:pPr>
          </w:p>
        </w:tc>
        <w:tc>
          <w:tcPr>
            <w:tcW w:w="3400" w:type="dxa"/>
            <w:vAlign w:val="bottom"/>
            <w:tcBorders>
              <w:bottom w:val="single" w:sz="8" w:color="45454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E3E4E5"/>
          </w:tcPr>
          <w:p>
            <w:pPr>
              <w:ind w:left="40"/>
              <w:spacing w:after="0" w:line="182" w:lineRule="exact"/>
              <w:rPr>
                <w:sz w:val="20"/>
                <w:szCs w:val="20"/>
                <w:color w:val="auto"/>
              </w:rPr>
            </w:pPr>
            <w:r>
              <w:rPr>
                <w:rFonts w:ascii="Times New Roman" w:cs="Times New Roman" w:eastAsia="Times New Roman" w:hAnsi="Times New Roman"/>
                <w:sz w:val="20"/>
                <w:szCs w:val="20"/>
                <w:color w:val="454546"/>
              </w:rPr>
              <w:t>Scottsdale, Arizona</w:t>
            </w:r>
          </w:p>
        </w:tc>
        <w:tc>
          <w:tcPr>
            <w:tcW w:w="80" w:type="dxa"/>
            <w:vAlign w:val="bottom"/>
            <w:shd w:val="clear" w:color="auto" w:fill="E3E4E5"/>
          </w:tcPr>
          <w:p>
            <w:pPr>
              <w:spacing w:after="0"/>
              <w:rPr>
                <w:sz w:val="15"/>
                <w:szCs w:val="15"/>
                <w:color w:val="auto"/>
              </w:rPr>
            </w:pPr>
          </w:p>
        </w:tc>
        <w:tc>
          <w:tcPr>
            <w:tcW w:w="3480" w:type="dxa"/>
            <w:vAlign w:val="bottom"/>
            <w:shd w:val="clear" w:color="auto" w:fill="E3E4E5"/>
          </w:tcPr>
          <w:p>
            <w:pPr>
              <w:ind w:left="60"/>
              <w:spacing w:after="0" w:line="182" w:lineRule="exact"/>
              <w:rPr>
                <w:sz w:val="20"/>
                <w:szCs w:val="20"/>
                <w:color w:val="auto"/>
              </w:rPr>
            </w:pPr>
            <w:r>
              <w:rPr>
                <w:rFonts w:ascii="Times New Roman" w:cs="Times New Roman" w:eastAsia="Times New Roman" w:hAnsi="Times New Roman"/>
                <w:sz w:val="20"/>
                <w:szCs w:val="20"/>
                <w:color w:val="454546"/>
              </w:rPr>
              <w:t>Corporate headquarters, engineering,</w:t>
            </w:r>
          </w:p>
        </w:tc>
        <w:tc>
          <w:tcPr>
            <w:tcW w:w="80" w:type="dxa"/>
            <w:vAlign w:val="bottom"/>
            <w:shd w:val="clear" w:color="auto" w:fill="E3E4E5"/>
          </w:tcPr>
          <w:p>
            <w:pPr>
              <w:spacing w:after="0"/>
              <w:rPr>
                <w:sz w:val="15"/>
                <w:szCs w:val="15"/>
                <w:color w:val="auto"/>
              </w:rPr>
            </w:pPr>
          </w:p>
        </w:tc>
        <w:tc>
          <w:tcPr>
            <w:tcW w:w="1000" w:type="dxa"/>
            <w:vAlign w:val="bottom"/>
            <w:shd w:val="clear" w:color="auto" w:fill="E3E4E5"/>
          </w:tcPr>
          <w:p>
            <w:pPr>
              <w:jc w:val="right"/>
              <w:spacing w:after="0" w:line="182" w:lineRule="exact"/>
              <w:rPr>
                <w:sz w:val="20"/>
                <w:szCs w:val="20"/>
                <w:color w:val="auto"/>
              </w:rPr>
            </w:pPr>
            <w:r>
              <w:rPr>
                <w:rFonts w:ascii="Times New Roman" w:cs="Times New Roman" w:eastAsia="Times New Roman" w:hAnsi="Times New Roman"/>
                <w:sz w:val="20"/>
                <w:szCs w:val="20"/>
                <w:color w:val="454546"/>
              </w:rPr>
              <w:t>25,106</w:t>
            </w:r>
          </w:p>
        </w:tc>
        <w:tc>
          <w:tcPr>
            <w:tcW w:w="80" w:type="dxa"/>
            <w:vAlign w:val="bottom"/>
            <w:shd w:val="clear" w:color="auto" w:fill="E3E4E5"/>
          </w:tcPr>
          <w:p>
            <w:pPr>
              <w:spacing w:after="0"/>
              <w:rPr>
                <w:sz w:val="15"/>
                <w:szCs w:val="15"/>
                <w:color w:val="auto"/>
              </w:rPr>
            </w:pPr>
          </w:p>
        </w:tc>
        <w:tc>
          <w:tcPr>
            <w:tcW w:w="3400" w:type="dxa"/>
            <w:vAlign w:val="bottom"/>
            <w:shd w:val="clear" w:color="auto" w:fill="E3E4E5"/>
          </w:tcPr>
          <w:p>
            <w:pPr>
              <w:ind w:left="40"/>
              <w:spacing w:after="0" w:line="182" w:lineRule="exact"/>
              <w:rPr>
                <w:sz w:val="20"/>
                <w:szCs w:val="20"/>
                <w:color w:val="auto"/>
              </w:rPr>
            </w:pPr>
            <w:r>
              <w:rPr>
                <w:rFonts w:ascii="Times New Roman" w:cs="Times New Roman" w:eastAsia="Times New Roman" w:hAnsi="Times New Roman"/>
                <w:sz w:val="20"/>
                <w:szCs w:val="20"/>
                <w:color w:val="454546"/>
              </w:rPr>
              <w:t>Leased, expires February 27, 2027</w:t>
            </w:r>
          </w:p>
        </w:tc>
        <w:tc>
          <w:tcPr>
            <w:tcW w:w="0" w:type="dxa"/>
            <w:vAlign w:val="bottom"/>
          </w:tcPr>
          <w:p>
            <w:pPr>
              <w:spacing w:after="0"/>
              <w:rPr>
                <w:sz w:val="1"/>
                <w:szCs w:val="1"/>
                <w:color w:val="auto"/>
              </w:rPr>
            </w:pPr>
          </w:p>
        </w:tc>
      </w:tr>
      <w:tr>
        <w:trPr>
          <w:trHeight w:val="274"/>
        </w:trPr>
        <w:tc>
          <w:tcPr>
            <w:tcW w:w="210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348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80" w:type="dxa"/>
            <w:vAlign w:val="bottom"/>
            <w:shd w:val="clear" w:color="auto" w:fill="E3E4E5"/>
          </w:tcPr>
          <w:p>
            <w:pPr>
              <w:spacing w:after="0"/>
              <w:rPr>
                <w:sz w:val="23"/>
                <w:szCs w:val="23"/>
                <w:color w:val="auto"/>
              </w:rPr>
            </w:pPr>
          </w:p>
        </w:tc>
        <w:tc>
          <w:tcPr>
            <w:tcW w:w="100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340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Hong Kong, PRC</w:t>
            </w:r>
          </w:p>
        </w:tc>
        <w:tc>
          <w:tcPr>
            <w:tcW w:w="80" w:type="dxa"/>
            <w:vAlign w:val="bottom"/>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Asian headquarters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6,550</w:t>
            </w:r>
          </w:p>
        </w:tc>
        <w:tc>
          <w:tcPr>
            <w:tcW w:w="8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Leased, expires July 31, 2028</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Enschede, Netherlands</w:t>
            </w:r>
          </w:p>
        </w:tc>
        <w:tc>
          <w:tcPr>
            <w:tcW w:w="80" w:type="dxa"/>
            <w:vAlign w:val="bottom"/>
            <w:tcBorders>
              <w:bottom w:val="single" w:sz="8" w:color="E3E4E5"/>
            </w:tcBorders>
            <w:shd w:val="clear" w:color="auto" w:fill="E3E4E5"/>
          </w:tcPr>
          <w:p>
            <w:pPr>
              <w:spacing w:after="0"/>
              <w:rPr>
                <w:sz w:val="23"/>
                <w:szCs w:val="23"/>
                <w:color w:val="auto"/>
              </w:rPr>
            </w:pPr>
          </w:p>
        </w:tc>
        <w:tc>
          <w:tcPr>
            <w:tcW w:w="348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European headquarters and call center</w:t>
            </w:r>
          </w:p>
        </w:tc>
        <w:tc>
          <w:tcPr>
            <w:tcW w:w="108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19,440</w:t>
            </w:r>
          </w:p>
        </w:tc>
        <w:tc>
          <w:tcPr>
            <w:tcW w:w="80" w:type="dxa"/>
            <w:vAlign w:val="bottom"/>
            <w:tcBorders>
              <w:bottom w:val="single" w:sz="8" w:color="E3E4E5"/>
            </w:tcBorders>
            <w:shd w:val="clear" w:color="auto" w:fill="E3E4E5"/>
          </w:tcPr>
          <w:p>
            <w:pPr>
              <w:spacing w:after="0"/>
              <w:rPr>
                <w:sz w:val="23"/>
                <w:szCs w:val="23"/>
                <w:color w:val="auto"/>
              </w:rPr>
            </w:pPr>
          </w:p>
        </w:tc>
        <w:tc>
          <w:tcPr>
            <w:tcW w:w="340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Leased, expires February 28, 2029</w:t>
            </w:r>
          </w:p>
        </w:tc>
        <w:tc>
          <w:tcPr>
            <w:tcW w:w="0" w:type="dxa"/>
            <w:vAlign w:val="bottom"/>
          </w:tcPr>
          <w:p>
            <w:pPr>
              <w:spacing w:after="0"/>
              <w:rPr>
                <w:sz w:val="1"/>
                <w:szCs w:val="1"/>
                <w:color w:val="auto"/>
              </w:rPr>
            </w:pPr>
          </w:p>
        </w:tc>
      </w:tr>
      <w:tr>
        <w:trPr>
          <w:trHeight w:val="260"/>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Bangalore, India</w:t>
            </w:r>
          </w:p>
        </w:tc>
        <w:tc>
          <w:tcPr>
            <w:tcW w:w="80" w:type="dxa"/>
            <w:vAlign w:val="bottom"/>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Engineering, research and development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21,326</w:t>
            </w:r>
          </w:p>
        </w:tc>
        <w:tc>
          <w:tcPr>
            <w:tcW w:w="80" w:type="dxa"/>
            <w:vAlign w:val="bottom"/>
          </w:tcPr>
          <w:p>
            <w:pPr>
              <w:spacing w:after="0"/>
              <w:rPr>
                <w:sz w:val="22"/>
                <w:szCs w:val="22"/>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Leased, expires May 31, 2026</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Carlsbad, California</w:t>
            </w:r>
          </w:p>
        </w:tc>
        <w:tc>
          <w:tcPr>
            <w:tcW w:w="80" w:type="dxa"/>
            <w:vAlign w:val="bottom"/>
            <w:tcBorders>
              <w:bottom w:val="single" w:sz="8" w:color="E3E4E5"/>
            </w:tcBorders>
            <w:shd w:val="clear" w:color="auto" w:fill="E3E4E5"/>
          </w:tcPr>
          <w:p>
            <w:pPr>
              <w:spacing w:after="0"/>
              <w:rPr>
                <w:sz w:val="23"/>
                <w:szCs w:val="23"/>
                <w:color w:val="auto"/>
              </w:rPr>
            </w:pPr>
          </w:p>
        </w:tc>
        <w:tc>
          <w:tcPr>
            <w:tcW w:w="348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Engineering, research and development</w:t>
            </w:r>
          </w:p>
        </w:tc>
        <w:tc>
          <w:tcPr>
            <w:tcW w:w="108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30,758</w:t>
            </w:r>
          </w:p>
        </w:tc>
        <w:tc>
          <w:tcPr>
            <w:tcW w:w="80" w:type="dxa"/>
            <w:vAlign w:val="bottom"/>
            <w:tcBorders>
              <w:bottom w:val="single" w:sz="8" w:color="E3E4E5"/>
            </w:tcBorders>
            <w:shd w:val="clear" w:color="auto" w:fill="E3E4E5"/>
          </w:tcPr>
          <w:p>
            <w:pPr>
              <w:spacing w:after="0"/>
              <w:rPr>
                <w:sz w:val="23"/>
                <w:szCs w:val="23"/>
                <w:color w:val="auto"/>
              </w:rPr>
            </w:pPr>
          </w:p>
        </w:tc>
        <w:tc>
          <w:tcPr>
            <w:tcW w:w="340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Leased, expires December 31, 2027</w:t>
            </w:r>
          </w:p>
        </w:tc>
        <w:tc>
          <w:tcPr>
            <w:tcW w:w="0" w:type="dxa"/>
            <w:vAlign w:val="bottom"/>
          </w:tcPr>
          <w:p>
            <w:pPr>
              <w:spacing w:after="0"/>
              <w:rPr>
                <w:sz w:val="1"/>
                <w:szCs w:val="1"/>
                <w:color w:val="auto"/>
              </w:rPr>
            </w:pPr>
          </w:p>
        </w:tc>
      </w:tr>
      <w:tr>
        <w:trPr>
          <w:trHeight w:val="260"/>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Plymouth, Minnesota</w:t>
            </w:r>
          </w:p>
        </w:tc>
        <w:tc>
          <w:tcPr>
            <w:tcW w:w="80" w:type="dxa"/>
            <w:vAlign w:val="bottom"/>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Engineering, research and development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2,000</w:t>
            </w:r>
          </w:p>
        </w:tc>
        <w:tc>
          <w:tcPr>
            <w:tcW w:w="80" w:type="dxa"/>
            <w:vAlign w:val="bottom"/>
          </w:tcPr>
          <w:p>
            <w:pPr>
              <w:spacing w:after="0"/>
              <w:rPr>
                <w:sz w:val="22"/>
                <w:szCs w:val="22"/>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Leased, expires June 30, 2027</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Poway, California</w:t>
            </w:r>
          </w:p>
        </w:tc>
        <w:tc>
          <w:tcPr>
            <w:tcW w:w="80" w:type="dxa"/>
            <w:vAlign w:val="bottom"/>
            <w:tcBorders>
              <w:bottom w:val="single" w:sz="8" w:color="E3E4E5"/>
            </w:tcBorders>
            <w:shd w:val="clear" w:color="auto" w:fill="E3E4E5"/>
          </w:tcPr>
          <w:p>
            <w:pPr>
              <w:spacing w:after="0"/>
              <w:rPr>
                <w:sz w:val="23"/>
                <w:szCs w:val="23"/>
                <w:color w:val="auto"/>
              </w:rPr>
            </w:pPr>
          </w:p>
        </w:tc>
        <w:tc>
          <w:tcPr>
            <w:tcW w:w="348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Engineering, research and development</w:t>
            </w:r>
          </w:p>
        </w:tc>
        <w:tc>
          <w:tcPr>
            <w:tcW w:w="108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7,891</w:t>
            </w:r>
          </w:p>
        </w:tc>
        <w:tc>
          <w:tcPr>
            <w:tcW w:w="80" w:type="dxa"/>
            <w:vAlign w:val="bottom"/>
            <w:tcBorders>
              <w:bottom w:val="single" w:sz="8" w:color="E3E4E5"/>
            </w:tcBorders>
            <w:shd w:val="clear" w:color="auto" w:fill="E3E4E5"/>
          </w:tcPr>
          <w:p>
            <w:pPr>
              <w:spacing w:after="0"/>
              <w:rPr>
                <w:sz w:val="23"/>
                <w:szCs w:val="23"/>
                <w:color w:val="auto"/>
              </w:rPr>
            </w:pPr>
          </w:p>
        </w:tc>
        <w:tc>
          <w:tcPr>
            <w:tcW w:w="340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Leased, expires December 31, 2026</w:t>
            </w:r>
          </w:p>
        </w:tc>
        <w:tc>
          <w:tcPr>
            <w:tcW w:w="0" w:type="dxa"/>
            <w:vAlign w:val="bottom"/>
          </w:tcPr>
          <w:p>
            <w:pPr>
              <w:spacing w:after="0"/>
              <w:rPr>
                <w:sz w:val="1"/>
                <w:szCs w:val="1"/>
                <w:color w:val="auto"/>
              </w:rPr>
            </w:pPr>
          </w:p>
        </w:tc>
      </w:tr>
      <w:tr>
        <w:trPr>
          <w:trHeight w:val="260"/>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Santa Ana, California</w:t>
            </w:r>
          </w:p>
        </w:tc>
        <w:tc>
          <w:tcPr>
            <w:tcW w:w="80" w:type="dxa"/>
            <w:vAlign w:val="bottom"/>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Engineering, research and development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18,420</w:t>
            </w:r>
          </w:p>
        </w:tc>
        <w:tc>
          <w:tcPr>
            <w:tcW w:w="80" w:type="dxa"/>
            <w:vAlign w:val="bottom"/>
          </w:tcPr>
          <w:p>
            <w:pPr>
              <w:spacing w:after="0"/>
              <w:rPr>
                <w:sz w:val="22"/>
                <w:szCs w:val="22"/>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Leased, expires November 30, 2027</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Suzhou, PRC</w:t>
            </w:r>
          </w:p>
        </w:tc>
        <w:tc>
          <w:tcPr>
            <w:tcW w:w="80" w:type="dxa"/>
            <w:vAlign w:val="bottom"/>
            <w:tcBorders>
              <w:bottom w:val="single" w:sz="8" w:color="E3E4E5"/>
            </w:tcBorders>
            <w:shd w:val="clear" w:color="auto" w:fill="E3E4E5"/>
          </w:tcPr>
          <w:p>
            <w:pPr>
              <w:spacing w:after="0"/>
              <w:rPr>
                <w:sz w:val="23"/>
                <w:szCs w:val="23"/>
                <w:color w:val="auto"/>
              </w:rPr>
            </w:pPr>
          </w:p>
        </w:tc>
        <w:tc>
          <w:tcPr>
            <w:tcW w:w="348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Engineering, research and development</w:t>
            </w:r>
          </w:p>
        </w:tc>
        <w:tc>
          <w:tcPr>
            <w:tcW w:w="108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5,705</w:t>
            </w:r>
          </w:p>
        </w:tc>
        <w:tc>
          <w:tcPr>
            <w:tcW w:w="80" w:type="dxa"/>
            <w:vAlign w:val="bottom"/>
            <w:tcBorders>
              <w:bottom w:val="single" w:sz="8" w:color="E3E4E5"/>
            </w:tcBorders>
            <w:shd w:val="clear" w:color="auto" w:fill="E3E4E5"/>
          </w:tcPr>
          <w:p>
            <w:pPr>
              <w:spacing w:after="0"/>
              <w:rPr>
                <w:sz w:val="23"/>
                <w:szCs w:val="23"/>
                <w:color w:val="auto"/>
              </w:rPr>
            </w:pPr>
          </w:p>
        </w:tc>
        <w:tc>
          <w:tcPr>
            <w:tcW w:w="34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Leased, expires December 31, 2027</w:t>
            </w:r>
          </w:p>
        </w:tc>
        <w:tc>
          <w:tcPr>
            <w:tcW w:w="0" w:type="dxa"/>
            <w:vAlign w:val="bottom"/>
          </w:tcPr>
          <w:p>
            <w:pPr>
              <w:spacing w:after="0"/>
              <w:rPr>
                <w:sz w:val="1"/>
                <w:szCs w:val="1"/>
                <w:color w:val="auto"/>
              </w:rPr>
            </w:pPr>
          </w:p>
        </w:tc>
      </w:tr>
      <w:tr>
        <w:trPr>
          <w:trHeight w:val="279"/>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Hai Duong, Vietnam</w:t>
            </w:r>
          </w:p>
        </w:tc>
        <w:tc>
          <w:tcPr>
            <w:tcW w:w="80" w:type="dxa"/>
            <w:vAlign w:val="bottom"/>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Manufacturing facility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124,776</w:t>
            </w:r>
          </w:p>
        </w:tc>
        <w:tc>
          <w:tcPr>
            <w:tcW w:w="8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Leased, expires June 30, 2035</w:t>
            </w:r>
          </w:p>
        </w:tc>
        <w:tc>
          <w:tcPr>
            <w:tcW w:w="0" w:type="dxa"/>
            <w:vAlign w:val="bottom"/>
          </w:tcPr>
          <w:p>
            <w:pPr>
              <w:spacing w:after="0"/>
              <w:rPr>
                <w:sz w:val="1"/>
                <w:szCs w:val="1"/>
                <w:color w:val="auto"/>
              </w:rPr>
            </w:pPr>
          </w:p>
        </w:tc>
      </w:tr>
      <w:tr>
        <w:trPr>
          <w:trHeight w:val="291"/>
        </w:trPr>
        <w:tc>
          <w:tcPr>
            <w:tcW w:w="21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Manaus, Brazil</w:t>
            </w:r>
          </w:p>
        </w:tc>
        <w:tc>
          <w:tcPr>
            <w:tcW w:w="80" w:type="dxa"/>
            <w:vAlign w:val="bottom"/>
            <w:shd w:val="clear" w:color="auto" w:fill="E3E4E5"/>
          </w:tcPr>
          <w:p>
            <w:pPr>
              <w:spacing w:after="0"/>
              <w:rPr>
                <w:sz w:val="24"/>
                <w:szCs w:val="24"/>
                <w:color w:val="auto"/>
              </w:rPr>
            </w:pPr>
          </w:p>
        </w:tc>
        <w:tc>
          <w:tcPr>
            <w:tcW w:w="348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Manufacturing facility</w:t>
            </w:r>
          </w:p>
        </w:tc>
        <w:tc>
          <w:tcPr>
            <w:tcW w:w="10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56,120</w:t>
            </w:r>
          </w:p>
        </w:tc>
        <w:tc>
          <w:tcPr>
            <w:tcW w:w="80" w:type="dxa"/>
            <w:vAlign w:val="bottom"/>
            <w:shd w:val="clear" w:color="auto" w:fill="E3E4E5"/>
          </w:tcPr>
          <w:p>
            <w:pPr>
              <w:spacing w:after="0"/>
              <w:rPr>
                <w:sz w:val="24"/>
                <w:szCs w:val="24"/>
                <w:color w:val="auto"/>
              </w:rPr>
            </w:pPr>
          </w:p>
        </w:tc>
        <w:tc>
          <w:tcPr>
            <w:tcW w:w="3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Leased, expires August 19, 2028</w:t>
            </w:r>
          </w:p>
        </w:tc>
        <w:tc>
          <w:tcPr>
            <w:tcW w:w="0" w:type="dxa"/>
            <w:vAlign w:val="bottom"/>
          </w:tcPr>
          <w:p>
            <w:pPr>
              <w:spacing w:after="0"/>
              <w:rPr>
                <w:sz w:val="1"/>
                <w:szCs w:val="1"/>
                <w:color w:val="auto"/>
              </w:rPr>
            </w:pPr>
          </w:p>
        </w:tc>
      </w:tr>
      <w:tr>
        <w:trPr>
          <w:trHeight w:val="279"/>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Monterrey, Mexico</w:t>
            </w:r>
          </w:p>
        </w:tc>
        <w:tc>
          <w:tcPr>
            <w:tcW w:w="80" w:type="dxa"/>
            <w:vAlign w:val="bottom"/>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Manufacturing facility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61,296</w:t>
            </w:r>
          </w:p>
        </w:tc>
        <w:tc>
          <w:tcPr>
            <w:tcW w:w="8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Leased, closed July 31, 2025.</w:t>
            </w:r>
          </w:p>
        </w:tc>
        <w:tc>
          <w:tcPr>
            <w:tcW w:w="0" w:type="dxa"/>
            <w:vAlign w:val="bottom"/>
          </w:tcPr>
          <w:p>
            <w:pPr>
              <w:spacing w:after="0"/>
              <w:rPr>
                <w:sz w:val="1"/>
                <w:szCs w:val="1"/>
                <w:color w:val="auto"/>
              </w:rPr>
            </w:pPr>
          </w:p>
        </w:tc>
      </w:tr>
      <w:tr>
        <w:trPr>
          <w:trHeight w:val="292"/>
        </w:trPr>
        <w:tc>
          <w:tcPr>
            <w:tcW w:w="2100" w:type="dxa"/>
            <w:vAlign w:val="bottom"/>
            <w:shd w:val="clear" w:color="auto" w:fill="E3E4E5"/>
          </w:tcPr>
          <w:p>
            <w:pPr>
              <w:ind w:left="40"/>
              <w:spacing w:after="0" w:line="292" w:lineRule="exact"/>
              <w:rPr>
                <w:sz w:val="20"/>
                <w:szCs w:val="20"/>
                <w:color w:val="auto"/>
              </w:rPr>
            </w:pPr>
            <w:r>
              <w:rPr>
                <w:rFonts w:ascii="Times New Roman" w:cs="Times New Roman" w:eastAsia="Times New Roman" w:hAnsi="Times New Roman"/>
                <w:sz w:val="20"/>
                <w:szCs w:val="20"/>
                <w:color w:val="454546"/>
              </w:rPr>
              <w:t xml:space="preserve">Yangzhou, PRC </w:t>
            </w:r>
            <w:r>
              <w:rPr>
                <w:rFonts w:ascii="Times New Roman" w:cs="Times New Roman" w:eastAsia="Times New Roman" w:hAnsi="Times New Roman"/>
                <w:sz w:val="26"/>
                <w:szCs w:val="26"/>
                <w:color w:val="454546"/>
                <w:vertAlign w:val="superscript"/>
              </w:rPr>
              <w:t>(1)</w:t>
            </w:r>
          </w:p>
        </w:tc>
        <w:tc>
          <w:tcPr>
            <w:tcW w:w="80" w:type="dxa"/>
            <w:vAlign w:val="bottom"/>
            <w:shd w:val="clear" w:color="auto" w:fill="E3E4E5"/>
          </w:tcPr>
          <w:p>
            <w:pPr>
              <w:spacing w:after="0"/>
              <w:rPr>
                <w:sz w:val="24"/>
                <w:szCs w:val="24"/>
                <w:color w:val="auto"/>
              </w:rPr>
            </w:pPr>
          </w:p>
        </w:tc>
        <w:tc>
          <w:tcPr>
            <w:tcW w:w="348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Manufacturing facility</w:t>
            </w:r>
          </w:p>
        </w:tc>
        <w:tc>
          <w:tcPr>
            <w:tcW w:w="10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1,247,688</w:t>
            </w:r>
          </w:p>
        </w:tc>
        <w:tc>
          <w:tcPr>
            <w:tcW w:w="80" w:type="dxa"/>
            <w:vAlign w:val="bottom"/>
            <w:shd w:val="clear" w:color="auto" w:fill="E3E4E5"/>
          </w:tcPr>
          <w:p>
            <w:pPr>
              <w:spacing w:after="0"/>
              <w:rPr>
                <w:sz w:val="24"/>
                <w:szCs w:val="24"/>
                <w:color w:val="auto"/>
              </w:rPr>
            </w:pPr>
          </w:p>
        </w:tc>
        <w:tc>
          <w:tcPr>
            <w:tcW w:w="3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Land leased, expires November 19, 2060</w:t>
            </w:r>
          </w:p>
        </w:tc>
        <w:tc>
          <w:tcPr>
            <w:tcW w:w="0" w:type="dxa"/>
            <w:vAlign w:val="bottom"/>
          </w:tcPr>
          <w:p>
            <w:pPr>
              <w:spacing w:after="0"/>
              <w:rPr>
                <w:sz w:val="1"/>
                <w:szCs w:val="1"/>
                <w:color w:val="auto"/>
              </w:rPr>
            </w:pPr>
          </w:p>
        </w:tc>
      </w:tr>
      <w:tr>
        <w:trPr>
          <w:trHeight w:val="272"/>
        </w:trPr>
        <w:tc>
          <w:tcPr>
            <w:tcW w:w="21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Guangzhou, PRC</w:t>
            </w:r>
          </w:p>
        </w:tc>
        <w:tc>
          <w:tcPr>
            <w:tcW w:w="80" w:type="dxa"/>
            <w:vAlign w:val="bottom"/>
          </w:tcPr>
          <w:p>
            <w:pPr>
              <w:spacing w:after="0"/>
              <w:rPr>
                <w:sz w:val="23"/>
                <w:szCs w:val="23"/>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Service center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26,850</w:t>
            </w:r>
          </w:p>
        </w:tc>
        <w:tc>
          <w:tcPr>
            <w:tcW w:w="8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Leased, expires April 14,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-2664460</wp:posOffset>
            </wp:positionV>
            <wp:extent cx="653415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extLst>
                    </a:blip>
                    <a:srcRect/>
                    <a:stretch>
                      <a:fillRect/>
                    </a:stretch>
                  </pic:blipFill>
                  <pic:spPr bwMode="auto">
                    <a:xfrm>
                      <a:off x="0" y="0"/>
                      <a:ext cx="6534150" cy="50800"/>
                    </a:xfrm>
                    <a:prstGeom prst="rect">
                      <a:avLst/>
                    </a:prstGeom>
                    <a:noFill/>
                  </pic:spPr>
                </pic:pic>
              </a:graphicData>
            </a:graphic>
          </wp:anchor>
        </w:drawing>
      </w:r>
    </w:p>
    <w:p>
      <w:pPr>
        <w:spacing w:after="0" w:line="271" w:lineRule="exact"/>
        <w:rPr>
          <w:sz w:val="20"/>
          <w:szCs w:val="20"/>
          <w:color w:val="auto"/>
        </w:rPr>
      </w:pPr>
    </w:p>
    <w:p>
      <w:pPr>
        <w:jc w:val="both"/>
        <w:ind w:left="720" w:hanging="370"/>
        <w:spacing w:after="0" w:line="234" w:lineRule="auto"/>
        <w:tabs>
          <w:tab w:leader="none" w:pos="720" w:val="left"/>
        </w:tabs>
        <w:numPr>
          <w:ilvl w:val="0"/>
          <w:numId w:val="10"/>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Private ownership of land in mainland PRC is not allowed. All land in the PRC is owned by the government and cannot be sold to any individual or entity. These facilities were developed on land which we lease from the PRC government.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In addition to the facilities listed above, we lease space in various international locations, primarily for use as sales offices.</w:t>
      </w:r>
    </w:p>
    <w:p>
      <w:pPr>
        <w:spacing w:after="0" w:line="2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Upon expiration of our facilities leases, we believe we will obtain lease agreements under similar terms; however, there can be no assurance that we will receive similar terms or that any offer to renew will be accepted.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currently believe that our manufacturing, engineering, and research and development facilities are suitable and adequate for our continued needs. We will continue to assess the suitability and adequacy of these facilities to meet both our current needs, as well as our expected future requirements.</w:t>
      </w:r>
    </w:p>
    <w:p>
      <w:pPr>
        <w:spacing w:after="0" w:line="19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454546"/>
        </w:rPr>
        <w:t>See "ITEM 8. FINANCIAL STATEMENTS AND SUPPLEMENTARY DATA — Notes to Consolidated Financial Statements — Note 8" for additional information regarding our obligations under leases.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3. LEGAL PROCEEDINGS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We are subject to lawsuits arising out of the conduct of our business. The discussion of our litigation matters in "ITEM 8.</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54546"/>
        </w:rPr>
        <w:t>FINANCIAL STATEMENTS AND SUPPLEMENTARY DATA — Notes to Consolidated Financial Statements — Note 13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Commitments and Contingencies — Litigation" is incorporated by reference.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4. MINE SAFETY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Not applicable.</w:t>
      </w: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32</w:t>
      </w:r>
    </w:p>
    <w:p>
      <w:pPr>
        <w:sectPr>
          <w:pgSz w:w="11880" w:h="15480" w:orient="portrait"/>
          <w:cols w:equalWidth="0" w:num="1">
            <w:col w:w="10260"/>
          </w:cols>
          <w:pgMar w:left="820" w:top="606" w:right="800" w:bottom="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454546"/>
        </w:rPr>
        <w:t>PART II</w:t>
      </w:r>
    </w:p>
    <w:p>
      <w:pPr>
        <w:spacing w:after="0" w:line="2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454546"/>
        </w:rPr>
        <w:t>ITEM 5. MARKET FOR REGISTRANT'S COMMON EQUITY, RELATED STOCKHOLDER MATTERS AND ISSUER PURCHASES OF EQUITY SECURITIES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Our common stock trades on the Nasdaq Global Select Market under the symbol UEIC. Our stockholders of record on March 4, 2026 numbered 134. We have never paid cash dividends on our common stock. We intend to retain our earnings, if any, to reinvest in the business for future operations and expansion and, as such, we do not anticipate paying any cash dividends in the foreseeable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Purchases of Equity Securities</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The following table sets forth, for the fourth quarter, our total stock repurchases, average price paid per share and the maximum number of shares that may yet be purchased on the open market under our plans or programs: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6"/>
                <w:szCs w:val="16"/>
                <w:b w:val="1"/>
                <w:bCs w:val="1"/>
                <w:color w:val="454546"/>
              </w:rPr>
              <w:t>Weighted</w:t>
            </w:r>
          </w:p>
        </w:tc>
        <w:tc>
          <w:tcPr>
            <w:tcW w:w="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Total Number of</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Maximum Number</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Shares Purchased</w:t>
            </w:r>
          </w:p>
        </w:tc>
        <w:tc>
          <w:tcPr>
            <w:tcW w:w="8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of Shares that May</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vMerge w:val="restart"/>
          </w:tcPr>
          <w:p>
            <w:pPr>
              <w:jc w:val="right"/>
              <w:ind w:right="90"/>
              <w:spacing w:after="0"/>
              <w:rPr>
                <w:sz w:val="20"/>
                <w:szCs w:val="20"/>
                <w:color w:val="auto"/>
              </w:rPr>
            </w:pPr>
            <w:r>
              <w:rPr>
                <w:rFonts w:ascii="Times New Roman" w:cs="Times New Roman" w:eastAsia="Times New Roman" w:hAnsi="Times New Roman"/>
                <w:sz w:val="16"/>
                <w:szCs w:val="16"/>
                <w:b w:val="1"/>
                <w:bCs w:val="1"/>
                <w:color w:val="454546"/>
              </w:rPr>
              <w:t>Total Number of</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70"/>
              <w:spacing w:after="0" w:line="160" w:lineRule="exact"/>
              <w:rPr>
                <w:sz w:val="20"/>
                <w:szCs w:val="20"/>
                <w:color w:val="auto"/>
              </w:rPr>
            </w:pPr>
            <w:r>
              <w:rPr>
                <w:rFonts w:ascii="Times New Roman" w:cs="Times New Roman" w:eastAsia="Times New Roman" w:hAnsi="Times New Roman"/>
                <w:sz w:val="16"/>
                <w:szCs w:val="16"/>
                <w:b w:val="1"/>
                <w:bCs w:val="1"/>
                <w:color w:val="454546"/>
              </w:rPr>
              <w:t>Average</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as Part of Publicly</w:t>
            </w:r>
          </w:p>
        </w:tc>
        <w:tc>
          <w:tcPr>
            <w:tcW w:w="8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Yet Be Purchased</w:t>
            </w:r>
          </w:p>
        </w:tc>
        <w:tc>
          <w:tcPr>
            <w:tcW w:w="0" w:type="dxa"/>
            <w:vAlign w:val="bottom"/>
          </w:tcPr>
          <w:p>
            <w:pPr>
              <w:spacing w:after="0"/>
              <w:rPr>
                <w:sz w:val="1"/>
                <w:szCs w:val="1"/>
                <w:color w:val="auto"/>
              </w:rPr>
            </w:pPr>
          </w:p>
        </w:tc>
      </w:tr>
      <w:tr>
        <w:trPr>
          <w:trHeight w:val="160"/>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Period</w:t>
            </w:r>
          </w:p>
        </w:tc>
        <w:tc>
          <w:tcPr>
            <w:tcW w:w="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70"/>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Price Paid</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Announced Plans</w:t>
            </w:r>
          </w:p>
        </w:tc>
        <w:tc>
          <w:tcPr>
            <w:tcW w:w="8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Under the Plans or</w:t>
            </w:r>
          </w:p>
        </w:tc>
        <w:tc>
          <w:tcPr>
            <w:tcW w:w="0" w:type="dxa"/>
            <w:vAlign w:val="bottom"/>
          </w:tcPr>
          <w:p>
            <w:pPr>
              <w:spacing w:after="0"/>
              <w:rPr>
                <w:sz w:val="1"/>
                <w:szCs w:val="1"/>
                <w:color w:val="auto"/>
              </w:rPr>
            </w:pPr>
          </w:p>
        </w:tc>
      </w:tr>
      <w:tr>
        <w:trPr>
          <w:trHeight w:val="214"/>
        </w:trPr>
        <w:tc>
          <w:tcPr>
            <w:tcW w:w="408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520" w:type="dxa"/>
            <w:vAlign w:val="bottom"/>
            <w:tcBorders>
              <w:bottom w:val="single" w:sz="8" w:color="454546"/>
            </w:tcBorders>
          </w:tcPr>
          <w:p>
            <w:pPr>
              <w:jc w:val="right"/>
              <w:spacing w:after="0" w:line="214" w:lineRule="exact"/>
              <w:rPr>
                <w:sz w:val="20"/>
                <w:szCs w:val="20"/>
                <w:color w:val="auto"/>
              </w:rPr>
            </w:pPr>
            <w:r>
              <w:rPr>
                <w:rFonts w:ascii="Times New Roman" w:cs="Times New Roman" w:eastAsia="Times New Roman" w:hAnsi="Times New Roman"/>
                <w:sz w:val="16"/>
                <w:szCs w:val="16"/>
                <w:b w:val="1"/>
                <w:bCs w:val="1"/>
                <w:color w:val="454546"/>
              </w:rPr>
              <w:t xml:space="preserve">Shares Purchased </w:t>
            </w:r>
            <w:r>
              <w:rPr>
                <w:rFonts w:ascii="Times New Roman" w:cs="Times New Roman" w:eastAsia="Times New Roman" w:hAnsi="Times New Roman"/>
                <w:sz w:val="20"/>
                <w:szCs w:val="20"/>
                <w:b w:val="1"/>
                <w:bCs w:val="1"/>
                <w:color w:val="454546"/>
                <w:vertAlign w:val="superscript"/>
              </w:rPr>
              <w:t>(1)</w:t>
            </w:r>
          </w:p>
        </w:tc>
        <w:tc>
          <w:tcPr>
            <w:tcW w:w="80" w:type="dxa"/>
            <w:vAlign w:val="bottom"/>
            <w:tcBorders>
              <w:bottom w:val="single" w:sz="8" w:color="E3E4E5"/>
            </w:tcBorders>
          </w:tcPr>
          <w:p>
            <w:pPr>
              <w:spacing w:after="0"/>
              <w:rPr>
                <w:sz w:val="18"/>
                <w:szCs w:val="18"/>
                <w:color w:val="auto"/>
              </w:rPr>
            </w:pPr>
          </w:p>
        </w:tc>
        <w:tc>
          <w:tcPr>
            <w:tcW w:w="240" w:type="dxa"/>
            <w:vAlign w:val="bottom"/>
            <w:tcBorders>
              <w:bottom w:val="single" w:sz="8" w:color="454546"/>
            </w:tcBorders>
          </w:tcPr>
          <w:p>
            <w:pPr>
              <w:spacing w:after="0"/>
              <w:rPr>
                <w:sz w:val="18"/>
                <w:szCs w:val="18"/>
                <w:color w:val="auto"/>
              </w:rPr>
            </w:pPr>
          </w:p>
        </w:tc>
        <w:tc>
          <w:tcPr>
            <w:tcW w:w="1160" w:type="dxa"/>
            <w:vAlign w:val="bottom"/>
            <w:tcBorders>
              <w:bottom w:val="single" w:sz="8" w:color="454546"/>
            </w:tcBorders>
          </w:tcPr>
          <w:p>
            <w:pPr>
              <w:jc w:val="center"/>
              <w:ind w:right="170"/>
              <w:spacing w:after="0"/>
              <w:rPr>
                <w:sz w:val="20"/>
                <w:szCs w:val="20"/>
                <w:color w:val="auto"/>
              </w:rPr>
            </w:pPr>
            <w:r>
              <w:rPr>
                <w:rFonts w:ascii="Times New Roman" w:cs="Times New Roman" w:eastAsia="Times New Roman" w:hAnsi="Times New Roman"/>
                <w:sz w:val="16"/>
                <w:szCs w:val="16"/>
                <w:b w:val="1"/>
                <w:bCs w:val="1"/>
                <w:color w:val="454546"/>
                <w:w w:val="98"/>
              </w:rPr>
              <w:t>per Share</w:t>
            </w:r>
          </w:p>
        </w:tc>
        <w:tc>
          <w:tcPr>
            <w:tcW w:w="60" w:type="dxa"/>
            <w:vAlign w:val="bottom"/>
            <w:tcBorders>
              <w:bottom w:val="single" w:sz="8" w:color="E3E4E5"/>
            </w:tcBorders>
          </w:tcPr>
          <w:p>
            <w:pPr>
              <w:spacing w:after="0"/>
              <w:rPr>
                <w:sz w:val="18"/>
                <w:szCs w:val="18"/>
                <w:color w:val="auto"/>
              </w:rPr>
            </w:pPr>
          </w:p>
        </w:tc>
        <w:tc>
          <w:tcPr>
            <w:tcW w:w="140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rPr>
              <w:t>or Programs</w:t>
            </w:r>
          </w:p>
        </w:tc>
        <w:tc>
          <w:tcPr>
            <w:tcW w:w="80" w:type="dxa"/>
            <w:vAlign w:val="bottom"/>
            <w:tcBorders>
              <w:bottom w:val="single" w:sz="8" w:color="E3E4E5"/>
            </w:tcBorders>
          </w:tcPr>
          <w:p>
            <w:pPr>
              <w:spacing w:after="0"/>
              <w:rPr>
                <w:sz w:val="18"/>
                <w:szCs w:val="18"/>
                <w:color w:val="auto"/>
              </w:rPr>
            </w:pPr>
          </w:p>
        </w:tc>
        <w:tc>
          <w:tcPr>
            <w:tcW w:w="1580" w:type="dxa"/>
            <w:vAlign w:val="bottom"/>
            <w:tcBorders>
              <w:bottom w:val="single" w:sz="8" w:color="454546"/>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454546"/>
                <w:w w:val="96"/>
              </w:rPr>
              <w:t xml:space="preserve">Programs </w:t>
            </w:r>
            <w:r>
              <w:rPr>
                <w:rFonts w:ascii="Times New Roman" w:cs="Times New Roman" w:eastAsia="Times New Roman" w:hAnsi="Times New Roman"/>
                <w:sz w:val="20"/>
                <w:szCs w:val="20"/>
                <w:b w:val="1"/>
                <w:bCs w:val="1"/>
                <w:color w:val="454546"/>
                <w:w w:val="96"/>
                <w:vertAlign w:val="superscript"/>
              </w:rPr>
              <w:t>(2)</w:t>
            </w:r>
          </w:p>
        </w:tc>
        <w:tc>
          <w:tcPr>
            <w:tcW w:w="0" w:type="dxa"/>
            <w:vAlign w:val="bottom"/>
          </w:tcPr>
          <w:p>
            <w:pPr>
              <w:spacing w:after="0"/>
              <w:rPr>
                <w:sz w:val="1"/>
                <w:szCs w:val="1"/>
                <w:color w:val="auto"/>
              </w:rPr>
            </w:pPr>
          </w:p>
        </w:tc>
      </w:tr>
      <w:tr>
        <w:trPr>
          <w:trHeight w:val="290"/>
        </w:trPr>
        <w:tc>
          <w:tcPr>
            <w:tcW w:w="40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October 1, 2025 - October 31, 2025</w:t>
            </w:r>
          </w:p>
        </w:tc>
        <w:tc>
          <w:tcPr>
            <w:tcW w:w="60" w:type="dxa"/>
            <w:vAlign w:val="bottom"/>
            <w:shd w:val="clear" w:color="auto" w:fill="E3E4E5"/>
          </w:tcPr>
          <w:p>
            <w:pPr>
              <w:spacing w:after="0"/>
              <w:rPr>
                <w:sz w:val="24"/>
                <w:szCs w:val="24"/>
                <w:color w:val="auto"/>
              </w:rPr>
            </w:pPr>
          </w:p>
        </w:tc>
        <w:tc>
          <w:tcPr>
            <w:tcW w:w="15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32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116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1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6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778,362</w:t>
            </w:r>
          </w:p>
        </w:tc>
        <w:tc>
          <w:tcPr>
            <w:tcW w:w="0" w:type="dxa"/>
            <w:vAlign w:val="bottom"/>
          </w:tcPr>
          <w:p>
            <w:pPr>
              <w:spacing w:after="0"/>
              <w:rPr>
                <w:sz w:val="1"/>
                <w:szCs w:val="1"/>
                <w:color w:val="auto"/>
              </w:rPr>
            </w:pPr>
          </w:p>
        </w:tc>
      </w:tr>
      <w:tr>
        <w:trPr>
          <w:trHeight w:val="293"/>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November 1, 2025- November 30,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607,557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454546"/>
              </w:rPr>
              <w:t>2.96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(607,557)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170,805</w:t>
            </w:r>
          </w:p>
        </w:tc>
        <w:tc>
          <w:tcPr>
            <w:tcW w:w="0" w:type="dxa"/>
            <w:vAlign w:val="bottom"/>
          </w:tcPr>
          <w:p>
            <w:pPr>
              <w:spacing w:after="0"/>
              <w:rPr>
                <w:sz w:val="1"/>
                <w:szCs w:val="1"/>
                <w:color w:val="auto"/>
              </w:rPr>
            </w:pPr>
          </w:p>
        </w:tc>
      </w:tr>
      <w:tr>
        <w:trPr>
          <w:trHeight w:val="315"/>
        </w:trPr>
        <w:tc>
          <w:tcPr>
            <w:tcW w:w="40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December 1, 2025- December 31, 2025</w:t>
            </w:r>
          </w:p>
        </w:tc>
        <w:tc>
          <w:tcPr>
            <w:tcW w:w="60" w:type="dxa"/>
            <w:vAlign w:val="bottom"/>
            <w:tcBorders>
              <w:bottom w:val="single" w:sz="8" w:color="E3E4E5"/>
            </w:tcBorders>
            <w:shd w:val="clear" w:color="auto" w:fill="E3E4E5"/>
          </w:tcPr>
          <w:p>
            <w:pPr>
              <w:spacing w:after="0"/>
              <w:rPr>
                <w:sz w:val="24"/>
                <w:szCs w:val="24"/>
                <w:color w:val="auto"/>
              </w:rPr>
            </w:pPr>
          </w:p>
        </w:tc>
        <w:tc>
          <w:tcPr>
            <w:tcW w:w="152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157,644</w:t>
            </w:r>
          </w:p>
        </w:tc>
        <w:tc>
          <w:tcPr>
            <w:tcW w:w="8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160" w:type="dxa"/>
            <w:vAlign w:val="bottom"/>
            <w:tcBorders>
              <w:bottom w:val="single" w:sz="8" w:color="E3E4E5"/>
            </w:tcBorders>
            <w:shd w:val="clear" w:color="auto" w:fill="E3E4E5"/>
          </w:tcPr>
          <w:p>
            <w:pPr>
              <w:jc w:val="right"/>
              <w:ind w:right="10"/>
              <w:spacing w:after="0"/>
              <w:rPr>
                <w:sz w:val="20"/>
                <w:szCs w:val="20"/>
                <w:color w:val="auto"/>
              </w:rPr>
            </w:pPr>
            <w:r>
              <w:rPr>
                <w:rFonts w:ascii="Times New Roman" w:cs="Times New Roman" w:eastAsia="Times New Roman" w:hAnsi="Times New Roman"/>
                <w:sz w:val="20"/>
                <w:szCs w:val="20"/>
                <w:color w:val="454546"/>
              </w:rPr>
              <w:t>3.20</w:t>
            </w:r>
          </w:p>
        </w:tc>
        <w:tc>
          <w:tcPr>
            <w:tcW w:w="60" w:type="dxa"/>
            <w:vAlign w:val="bottom"/>
            <w:tcBorders>
              <w:bottom w:val="single" w:sz="8" w:color="E3E4E5"/>
            </w:tcBorders>
            <w:shd w:val="clear" w:color="auto" w:fill="E3E4E5"/>
          </w:tcPr>
          <w:p>
            <w:pPr>
              <w:spacing w:after="0"/>
              <w:rPr>
                <w:sz w:val="24"/>
                <w:szCs w:val="24"/>
                <w:color w:val="auto"/>
              </w:rPr>
            </w:pPr>
          </w:p>
        </w:tc>
        <w:tc>
          <w:tcPr>
            <w:tcW w:w="14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(157,249)</w:t>
            </w:r>
          </w:p>
        </w:tc>
        <w:tc>
          <w:tcPr>
            <w:tcW w:w="1660" w:type="dxa"/>
            <w:vAlign w:val="bottom"/>
            <w:tcBorders>
              <w:bottom w:val="single" w:sz="8" w:color="E3E4E5"/>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13,556</w:t>
            </w:r>
          </w:p>
        </w:tc>
        <w:tc>
          <w:tcPr>
            <w:tcW w:w="0" w:type="dxa"/>
            <w:vAlign w:val="bottom"/>
          </w:tcPr>
          <w:p>
            <w:pPr>
              <w:spacing w:after="0"/>
              <w:rPr>
                <w:sz w:val="1"/>
                <w:szCs w:val="1"/>
                <w:color w:val="auto"/>
              </w:rPr>
            </w:pPr>
          </w:p>
        </w:tc>
      </w:tr>
      <w:tr>
        <w:trPr>
          <w:trHeight w:val="242"/>
        </w:trPr>
        <w:tc>
          <w:tcPr>
            <w:tcW w:w="40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765,201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454546"/>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(764,806)</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-805815</wp:posOffset>
            </wp:positionV>
            <wp:extent cx="655320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-234315</wp:posOffset>
            </wp:positionV>
            <wp:extent cx="101282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extLst>
                    </a:blip>
                    <a:srcRect/>
                    <a:stretch>
                      <a:fillRect/>
                    </a:stretch>
                  </pic:blipFill>
                  <pic:spPr bwMode="auto">
                    <a:xfrm>
                      <a:off x="0" y="0"/>
                      <a:ext cx="1012825" cy="508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-234315</wp:posOffset>
            </wp:positionV>
            <wp:extent cx="93662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extLst>
                    </a:blip>
                    <a:srcRect/>
                    <a:stretch>
                      <a:fillRect/>
                    </a:stretch>
                  </pic:blipFill>
                  <pic:spPr bwMode="auto">
                    <a:xfrm>
                      <a:off x="0" y="0"/>
                      <a:ext cx="936625" cy="50800"/>
                    </a:xfrm>
                    <a:prstGeom prst="rect">
                      <a:avLst/>
                    </a:prstGeom>
                    <a:noFill/>
                  </pic:spPr>
                </pic:pic>
              </a:graphicData>
            </a:graphic>
          </wp:anchor>
        </w:drawing>
      </w:r>
    </w:p>
    <w:p>
      <w:pPr>
        <w:spacing w:after="0" w:line="228" w:lineRule="exact"/>
        <w:rPr>
          <w:sz w:val="20"/>
          <w:szCs w:val="20"/>
          <w:color w:val="auto"/>
        </w:rPr>
      </w:pPr>
    </w:p>
    <w:p>
      <w:pPr>
        <w:ind w:left="720" w:hanging="370"/>
        <w:spacing w:after="0" w:line="226" w:lineRule="auto"/>
        <w:tabs>
          <w:tab w:leader="none" w:pos="720" w:val="left"/>
        </w:tabs>
        <w:numPr>
          <w:ilvl w:val="0"/>
          <w:numId w:val="11"/>
        </w:numPr>
        <w:rPr>
          <w:rFonts w:ascii="Times New Roman" w:cs="Times New Roman" w:eastAsia="Times New Roman" w:hAnsi="Times New Roman"/>
          <w:sz w:val="26"/>
          <w:szCs w:val="26"/>
          <w:b w:val="1"/>
          <w:bCs w:val="1"/>
          <w:color w:val="454546"/>
          <w:vertAlign w:val="superscript"/>
        </w:rPr>
      </w:pPr>
      <w:r>
        <w:rPr>
          <w:rFonts w:ascii="Times New Roman" w:cs="Times New Roman" w:eastAsia="Times New Roman" w:hAnsi="Times New Roman"/>
          <w:sz w:val="20"/>
          <w:szCs w:val="20"/>
          <w:color w:val="454546"/>
        </w:rPr>
        <w:t>Of the repurchases in December, 395 shares represent common stock of the Company that was owned and tendered by employees to satisfy tax withholding obligations in connection with the vesting of restricted shares.</w:t>
      </w:r>
    </w:p>
    <w:p>
      <w:pPr>
        <w:spacing w:after="0" w:line="221" w:lineRule="exact"/>
        <w:rPr>
          <w:rFonts w:ascii="Times New Roman" w:cs="Times New Roman" w:eastAsia="Times New Roman" w:hAnsi="Times New Roman"/>
          <w:sz w:val="26"/>
          <w:szCs w:val="26"/>
          <w:b w:val="1"/>
          <w:bCs w:val="1"/>
          <w:color w:val="454546"/>
          <w:vertAlign w:val="superscript"/>
        </w:rPr>
      </w:pPr>
    </w:p>
    <w:p>
      <w:pPr>
        <w:jc w:val="both"/>
        <w:ind w:left="720" w:hanging="370"/>
        <w:spacing w:after="0" w:line="246" w:lineRule="auto"/>
        <w:tabs>
          <w:tab w:leader="none" w:pos="720" w:val="left"/>
        </w:tabs>
        <w:numPr>
          <w:ilvl w:val="0"/>
          <w:numId w:val="11"/>
        </w:numPr>
        <w:rPr>
          <w:rFonts w:ascii="Times New Roman" w:cs="Times New Roman" w:eastAsia="Times New Roman" w:hAnsi="Times New Roman"/>
          <w:sz w:val="26"/>
          <w:szCs w:val="26"/>
          <w:b w:val="1"/>
          <w:bCs w:val="1"/>
          <w:color w:val="454546"/>
          <w:vertAlign w:val="superscript"/>
        </w:rPr>
      </w:pPr>
      <w:r>
        <w:rPr>
          <w:rFonts w:ascii="Times New Roman" w:cs="Times New Roman" w:eastAsia="Times New Roman" w:hAnsi="Times New Roman"/>
          <w:sz w:val="20"/>
          <w:szCs w:val="20"/>
          <w:color w:val="454546"/>
        </w:rPr>
        <w:t>On October 26, 2023, our Board approved a share repurchase program with an effective date of November 7, 2023 (the "Share Repurchase Program"). Pursuant to the Share Repurchase Program, we are authorized to repurchase up to 1,000,000 shares of our common stock and to date, we have repurchased 986,444 shares of our common stock. On November 4, 2025, our Board authorized management to continue to execute under the Share Repurchase Program. As a result, pursuant to this authorization, we may, from time to time, repurchase up to the lesser of $1.2 million worth of our common stock or 13,556 shares (the total remaining number of shares available for repurchase under the Share Repurchase Program). This authorization will remain in effect until such time as the Board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spacing w:after="0" w:line="2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454546"/>
        </w:rPr>
        <w:t>On March 11, 2026, the Board authorized an amendment to the Share Repurchase Program to repurchase up to an additional 1,000,000 shares, or a total of 1,013,556 shares (including the 13,556 shares remaining available under the prior Board authorization for repurchase under the Share Repurchase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6. [RESERVED]</w:t>
      </w: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33</w:t>
      </w:r>
    </w:p>
    <w:p>
      <w:pPr>
        <w:sectPr>
          <w:pgSz w:w="11880" w:h="15480" w:orient="portrait"/>
          <w:cols w:equalWidth="0" w:num="1">
            <w:col w:w="10260"/>
          </w:cols>
          <w:pgMar w:left="820" w:top="606" w:right="800" w:bottom="0" w:gutter="0" w:footer="0" w:header="0"/>
          <w:type w:val="continuous"/>
        </w:sectPr>
      </w:pPr>
    </w:p>
    <w:bookmarkStart w:id="37" w:name="page38"/>
    <w:bookmarkEnd w:id="37"/>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454546"/>
        </w:rPr>
        <w:t>ITEM 7. MANAGEMENT'S DISCUSSION AND ANALYSIS OF FINANCIAL CONDITION AND RESULTS OF OPERATIONS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generally discuss fiscal years 2025 and 2024 items and year-to-year comparisons between 2025 and 2024 in the section that follows. Discussions of fiscal year 2023 items and year-to-year comparisons between 2024 and 2023 that are not included in this Annual Report on Form 10-K may be found in "Management's Discussion and Analysis of Financial Condition and Results of Operations" in Part II, Item 7 of our Annual Report on Form 10-K for the year ended December 31, 2024.</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i w:val="1"/>
          <w:iCs w:val="1"/>
          <w:color w:val="454546"/>
        </w:rPr>
        <w:t>The following discussion should be read in conjunction with the Consolidated Financial Statements and the related notes that appear elsewhere in this document. In addition to historical information, the following discussion contains forward-looking statements that involve risks and uncertainties. These forward-looking statements include, but are not limited to, those matters discussed under the heading “Forward-looking Statements.” Our actual results could differ materially from those anticipated by these forward</w:t>
      </w:r>
      <w:r>
        <w:rPr>
          <w:rFonts w:ascii="Arial" w:cs="Arial" w:eastAsia="Arial" w:hAnsi="Arial"/>
          <w:sz w:val="20"/>
          <w:szCs w:val="20"/>
          <w:color w:val="454546"/>
        </w:rPr>
        <w:t>-</w:t>
      </w:r>
      <w:r>
        <w:rPr>
          <w:rFonts w:ascii="Times New Roman" w:cs="Times New Roman" w:eastAsia="Times New Roman" w:hAnsi="Times New Roman"/>
          <w:sz w:val="20"/>
          <w:szCs w:val="20"/>
          <w:i w:val="1"/>
          <w:iCs w:val="1"/>
          <w:color w:val="454546"/>
        </w:rPr>
        <w:t>looking statements due to various factors, including, but not limited to, those set forth under Item 1A. Risk Factors of this Annual Report on Form 10-K and elsewhere in this document.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design, develop, manufacture, ship and support climate control solutions, wireless sensors and smart home control products, home entertainment control products, technology and software solutions and audio-video ("AV") accessories, that are used by the world's leading brands in the climate control, security, home automation and home appliance, home entertainment and consumer electronics markets. Our product and technology offerings include: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Connected home:</w:t>
      </w:r>
    </w:p>
    <w:p>
      <w:pPr>
        <w:spacing w:after="0" w:line="250" w:lineRule="exact"/>
        <w:rPr>
          <w:sz w:val="20"/>
          <w:szCs w:val="20"/>
          <w:color w:val="auto"/>
        </w:rPr>
      </w:pPr>
    </w:p>
    <w:p>
      <w:pPr>
        <w:jc w:val="both"/>
        <w:ind w:left="720" w:hanging="370"/>
        <w:spacing w:after="0" w:line="259" w:lineRule="auto"/>
        <w:tabs>
          <w:tab w:leader="none" w:pos="720" w:val="left"/>
        </w:tabs>
        <w:numPr>
          <w:ilvl w:val="0"/>
          <w:numId w:val="12"/>
        </w:numPr>
        <w:rPr>
          <w:rFonts w:ascii="Times New Roman" w:cs="Times New Roman" w:eastAsia="Times New Roman" w:hAnsi="Times New Roman"/>
          <w:sz w:val="20"/>
          <w:szCs w:val="20"/>
          <w:i w:val="1"/>
          <w:iCs w:val="1"/>
          <w:color w:val="454546"/>
        </w:rPr>
      </w:pPr>
      <w:r>
        <w:rPr>
          <w:rFonts w:ascii="Times New Roman" w:cs="Times New Roman" w:eastAsia="Times New Roman" w:hAnsi="Times New Roman"/>
          <w:sz w:val="20"/>
          <w:szCs w:val="20"/>
          <w:b w:val="1"/>
          <w:bCs w:val="1"/>
          <w:color w:val="454546"/>
        </w:rPr>
        <w:t xml:space="preserve">Climate Control Solutions: </w:t>
      </w:r>
      <w:r>
        <w:rPr>
          <w:rFonts w:ascii="Times New Roman" w:cs="Times New Roman" w:eastAsia="Times New Roman" w:hAnsi="Times New Roman"/>
          <w:sz w:val="20"/>
          <w:szCs w:val="20"/>
          <w:color w:val="454546"/>
        </w:rPr>
        <w:t>Our innovative climate control solutions include wireless and wired controllers, smart</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thermostats and connected peripherals for sensing and smart energy 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spacing w:after="0" w:line="38" w:lineRule="exact"/>
        <w:rPr>
          <w:rFonts w:ascii="Times New Roman" w:cs="Times New Roman" w:eastAsia="Times New Roman" w:hAnsi="Times New Roman"/>
          <w:sz w:val="20"/>
          <w:szCs w:val="20"/>
          <w:i w:val="1"/>
          <w:iCs w:val="1"/>
          <w:color w:val="454546"/>
        </w:rPr>
      </w:pPr>
    </w:p>
    <w:p>
      <w:pPr>
        <w:jc w:val="both"/>
        <w:ind w:left="720" w:hanging="370"/>
        <w:spacing w:after="0" w:line="268" w:lineRule="auto"/>
        <w:tabs>
          <w:tab w:leader="none" w:pos="72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Smart Home and Security Products: </w:t>
      </w:r>
      <w:r>
        <w:rPr>
          <w:rFonts w:ascii="Times New Roman" w:cs="Times New Roman" w:eastAsia="Times New Roman" w:hAnsi="Times New Roman"/>
          <w:sz w:val="20"/>
          <w:szCs w:val="20"/>
          <w:color w:val="454546"/>
        </w:rPr>
        <w:t>We offer proprietary and standards-based radio frequency ("RF") wireless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remote controls and sensors designed for residential security, safety and a broad variety of home automation applications, such as smart lighting and motorized shades.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Home entertainment:</w:t>
      </w:r>
    </w:p>
    <w:p>
      <w:pPr>
        <w:spacing w:after="0" w:line="298" w:lineRule="exact"/>
        <w:rPr>
          <w:sz w:val="20"/>
          <w:szCs w:val="20"/>
          <w:color w:val="auto"/>
        </w:rPr>
      </w:pPr>
    </w:p>
    <w:p>
      <w:pPr>
        <w:jc w:val="both"/>
        <w:ind w:left="720" w:hanging="370"/>
        <w:spacing w:after="0" w:line="257" w:lineRule="auto"/>
        <w:tabs>
          <w:tab w:leader="none" w:pos="720" w:val="left"/>
        </w:tabs>
        <w:numPr>
          <w:ilvl w:val="0"/>
          <w:numId w:val="1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Home Entertainment Products: </w:t>
      </w:r>
      <w:r>
        <w:rPr>
          <w:rFonts w:ascii="Times New Roman" w:cs="Times New Roman" w:eastAsia="Times New Roman" w:hAnsi="Times New Roman"/>
          <w:sz w:val="20"/>
          <w:szCs w:val="20"/>
          <w:color w:val="454546"/>
        </w:rPr>
        <w:t>Our industry-leading portfolio includes RF-capable, voice-enabled universal remote</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spacing w:after="0" w:line="42" w:lineRule="exact"/>
        <w:rPr>
          <w:rFonts w:ascii="Times New Roman" w:cs="Times New Roman" w:eastAsia="Times New Roman" w:hAnsi="Times New Roman"/>
          <w:sz w:val="20"/>
          <w:szCs w:val="20"/>
          <w:color w:val="454546"/>
        </w:rPr>
      </w:pPr>
    </w:p>
    <w:p>
      <w:pPr>
        <w:jc w:val="both"/>
        <w:ind w:left="720" w:hanging="370"/>
        <w:spacing w:after="0" w:line="259" w:lineRule="auto"/>
        <w:tabs>
          <w:tab w:leader="none" w:pos="720" w:val="left"/>
        </w:tabs>
        <w:numPr>
          <w:ilvl w:val="0"/>
          <w:numId w:val="1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Software and Cloud Services: </w:t>
      </w:r>
      <w:r>
        <w:rPr>
          <w:rFonts w:ascii="Times New Roman" w:cs="Times New Roman" w:eastAsia="Times New Roman" w:hAnsi="Times New Roman"/>
          <w:sz w:val="20"/>
          <w:szCs w:val="20"/>
          <w:color w:val="454546"/>
        </w:rPr>
        <w:t>Our software, firmware and technology solutions enable devices such as smart TVs,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hybrid set-top boxes, game consoles and other consumer electronic and 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spacing w:after="0" w:line="39" w:lineRule="exact"/>
        <w:rPr>
          <w:rFonts w:ascii="Times New Roman" w:cs="Times New Roman" w:eastAsia="Times New Roman" w:hAnsi="Times New Roman"/>
          <w:sz w:val="20"/>
          <w:szCs w:val="20"/>
          <w:color w:val="454546"/>
        </w:rPr>
      </w:pPr>
    </w:p>
    <w:p>
      <w:pPr>
        <w:jc w:val="both"/>
        <w:ind w:left="720" w:hanging="370"/>
        <w:spacing w:after="0" w:line="257" w:lineRule="auto"/>
        <w:tabs>
          <w:tab w:leader="none" w:pos="720" w:val="left"/>
        </w:tabs>
        <w:numPr>
          <w:ilvl w:val="0"/>
          <w:numId w:val="1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Intellectual Property and Licensing: </w:t>
      </w:r>
      <w:r>
        <w:rPr>
          <w:rFonts w:ascii="Times New Roman" w:cs="Times New Roman" w:eastAsia="Times New Roman" w:hAnsi="Times New Roman"/>
          <w:sz w:val="20"/>
          <w:szCs w:val="20"/>
          <w:color w:val="454546"/>
        </w:rPr>
        <w:t>We license our intellectual property primarily to OEMs and video service</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providers. Our cloud-enabled 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operate as one business segment. We have one domestic subsidiary and 22 international subsidiaries located in Brazil, France, Germany, Hong Kong (3), India, Italy, Japan, Korea, Mexico (2), the Netherlands, People's Republic of China (the "PRC") (6), Singapore, Spain, United Kingdom and Vietnam.</w:t>
      </w:r>
    </w:p>
    <w:p>
      <w:pPr>
        <w:sectPr>
          <w:pgSz w:w="11880" w:h="15480" w:orient="portrait"/>
          <w:cols w:equalWidth="0" w:num="1">
            <w:col w:w="10260"/>
          </w:cols>
          <w:pgMar w:left="820" w:top="606" w:right="800" w:bottom="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34</w:t>
      </w:r>
    </w:p>
    <w:p>
      <w:pPr>
        <w:sectPr>
          <w:pgSz w:w="11880" w:h="15480" w:orient="portrait"/>
          <w:cols w:equalWidth="0" w:num="1">
            <w:col w:w="10260"/>
          </w:cols>
          <w:pgMar w:left="820" w:top="606" w:right="80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454546"/>
        </w:rPr>
        <w:t>To recap our results for 2025:</w:t>
      </w:r>
    </w:p>
    <w:p>
      <w:pPr>
        <w:spacing w:after="0" w:line="250" w:lineRule="exact"/>
        <w:rPr>
          <w:sz w:val="20"/>
          <w:szCs w:val="20"/>
          <w:color w:val="auto"/>
        </w:rPr>
      </w:pPr>
    </w:p>
    <w:p>
      <w:pPr>
        <w:ind w:left="1080" w:hanging="370"/>
        <w:spacing w:after="0"/>
        <w:tabs>
          <w:tab w:leader="none" w:pos="1080" w:val="left"/>
        </w:tabs>
        <w:numPr>
          <w:ilvl w:val="0"/>
          <w:numId w:val="1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Net sales decreased 6.7% to $368.3 million in 2025 from $394.9 million in 2024.</w:t>
      </w:r>
    </w:p>
    <w:p>
      <w:pPr>
        <w:spacing w:after="0" w:line="3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1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gross profit percentage remained consistent at 28.9% in 2025 and in 2024.</w:t>
      </w:r>
    </w:p>
    <w:p>
      <w:pPr>
        <w:spacing w:after="0" w:line="10" w:lineRule="exact"/>
        <w:rPr>
          <w:rFonts w:ascii="Times New Roman" w:cs="Times New Roman" w:eastAsia="Times New Roman" w:hAnsi="Times New Roman"/>
          <w:sz w:val="20"/>
          <w:szCs w:val="20"/>
          <w:color w:val="454546"/>
        </w:rPr>
      </w:pPr>
    </w:p>
    <w:p>
      <w:pPr>
        <w:ind w:left="1080" w:hanging="370"/>
        <w:spacing w:after="0"/>
        <w:tabs>
          <w:tab w:leader="none" w:pos="1080" w:val="left"/>
        </w:tabs>
        <w:numPr>
          <w:ilvl w:val="0"/>
          <w:numId w:val="1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Operating expenses, as a percent of sales, decreased to 30.6% in 2025 from 32.7% in 2024.</w:t>
      </w:r>
    </w:p>
    <w:p>
      <w:pPr>
        <w:spacing w:after="0" w:line="10" w:lineRule="exact"/>
        <w:rPr>
          <w:rFonts w:ascii="Times New Roman" w:cs="Times New Roman" w:eastAsia="Times New Roman" w:hAnsi="Times New Roman"/>
          <w:sz w:val="20"/>
          <w:szCs w:val="20"/>
          <w:color w:val="454546"/>
        </w:rPr>
      </w:pPr>
    </w:p>
    <w:p>
      <w:pPr>
        <w:ind w:left="1080" w:hanging="370"/>
        <w:spacing w:after="0" w:line="250" w:lineRule="auto"/>
        <w:tabs>
          <w:tab w:leader="none" w:pos="1080" w:val="left"/>
        </w:tabs>
        <w:numPr>
          <w:ilvl w:val="0"/>
          <w:numId w:val="1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Operating loss was $6.4 million in 2025 compared to $15.3 million in 2024, and our operating loss percentage was 1.7% in 2025, compared to 3.9% in 2024.</w:t>
      </w:r>
    </w:p>
    <w:p>
      <w:pPr>
        <w:ind w:left="1080" w:hanging="370"/>
        <w:spacing w:after="0"/>
        <w:tabs>
          <w:tab w:leader="none" w:pos="1080" w:val="left"/>
        </w:tabs>
        <w:numPr>
          <w:ilvl w:val="0"/>
          <w:numId w:val="1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Income tax expense was $6.6 million in 2025 compared to $5.4 million in 2024.</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Macroeconomic Conditions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have been negatively impacted and we expect to continue to be negatively impacted by adverse macroeconomic conditions, including new tariffs imposed or to be imposed on goods manufactured in Vietnam, Taiwan, the PRC, and Mexico, and reduced consumer spending on durable goods. Economic tensions and changes in international trade policies, including the recent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Manufacturing Footprint</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have continued to evaluate our global manufacturing footprint as part of our overall cost optimization and return to profitability strategy. In July 2025, our Board approved a plan to shut down our Mexico manufacturing facility. As of December 31, 2025 we have successfully closed the Mexico manufacturing facility and moved production from such facility to a combination of our Vietnam factory and a contract manufacturer based in Mexico.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Short-Term Employee Furlough</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In October 2025, we announced a short-term furlough program affecting approximately 3% of our workforce in November 2025 and 4% of our workforce in December 2025. This action was taken as part of our cost containment efforts, and was designed to align labor costs with current business activity levels during the year-end holiday season, while preserving long-term employment relationships. The furloughs were temporary in nature, with affected employees returning to work after 80 hours. During the furlough period, the Company continued to provide certain benefits to affected employees, including healthcare coverage. The furlough program modestly reduced our labor-related expenses and supported ongoing cost management objectives.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Critical Accounting Estimates</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454546"/>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estimates affect our more significant judgments and estimates used in the preparation of our</w:t>
      </w:r>
    </w:p>
    <w:p>
      <w:pPr>
        <w:sectPr>
          <w:pgSz w:w="11880" w:h="15480" w:orient="portrait"/>
          <w:cols w:equalWidth="0" w:num="1">
            <w:col w:w="10260"/>
          </w:cols>
          <w:pgMar w:left="820" w:top="853" w:right="800" w:bottom="0"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35</w:t>
      </w:r>
    </w:p>
    <w:p>
      <w:pPr>
        <w:sectPr>
          <w:pgSz w:w="11880" w:h="15480" w:orient="portrait"/>
          <w:cols w:equalWidth="0" w:num="1">
            <w:col w:w="10260"/>
          </w:cols>
          <w:pgMar w:left="820" w:top="853" w:right="800" w:bottom="0" w:gutter="0" w:footer="0" w:header="0"/>
          <w:type w:val="continuous"/>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20"/>
          <w:szCs w:val="20"/>
          <w:color w:val="454546"/>
        </w:rPr>
        <w:t>consolidated financial statements. In addition to the accounting policies mentioned below, see "ITEM 8. FINANCIAL STATEMENTS AND SUPPLEMENTARY DATA — Notes to Consolidated Financial Statements — Note 2" for other 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Revenue recognition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Revenue is recognized when control of a good or service is transferred to a customer. Our performance obligations are satisfied over time or at a point in time, depending on the nature of the product. Revenue is recognized over time when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There is significant judgment exercised by management in identifying and evaluating whether new contracts and/or products meet the criteria for over time or point in time revenue recognition. Significant judgments include the evaluation of legal terms and rights within each jurisdiction that we operate, specifically as it relates to our entitlement to gross margin at termination, and the evaluation of whether it is possible, contractually or economically, to repurpose or redirect 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Inventories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$0.9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 Any changes to the realizability of our deferred tax assets or liabilities may have a material impact on our financial statements.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We are subject to income taxes in the United States and foreign countries, and we are subject to routine corporate income tax audits in many of these jurisdictions. We believe that our tax return positions are fully supported, but tax authorities could challenge certain positions which may not be fully sustained.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454546"/>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w:t>
      </w:r>
    </w:p>
    <w:p>
      <w:pPr>
        <w:sectPr>
          <w:pgSz w:w="11880" w:h="15480" w:orient="portrait"/>
          <w:cols w:equalWidth="0" w:num="1">
            <w:col w:w="10260"/>
          </w:cols>
          <w:pgMar w:left="820" w:top="613" w:right="800" w:bottom="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36</w:t>
      </w:r>
    </w:p>
    <w:p>
      <w:pPr>
        <w:sectPr>
          <w:pgSz w:w="11880" w:h="15480" w:orient="portrait"/>
          <w:cols w:equalWidth="0" w:num="1">
            <w:col w:w="10260"/>
          </w:cols>
          <w:pgMar w:left="820" w:top="613" w:right="800" w:bottom="0" w:gutter="0" w:footer="0" w:header="0"/>
          <w:type w:val="continuous"/>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20"/>
          <w:szCs w:val="20"/>
          <w:color w:val="454546"/>
        </w:rPr>
        <w:t>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following table sets forth our results of operations expressed as a percentage of net sales for the periods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3040" w:type="dxa"/>
            <w:vAlign w:val="bottom"/>
            <w:tcBorders>
              <w:bottom w:val="single" w:sz="8" w:color="454546"/>
            </w:tcBorders>
            <w:gridSpan w:val="3"/>
          </w:tcPr>
          <w:p>
            <w:pPr>
              <w:jc w:val="right"/>
              <w:ind w:right="524"/>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35"/>
        </w:trPr>
        <w:tc>
          <w:tcPr>
            <w:tcW w:w="7200" w:type="dxa"/>
            <w:vAlign w:val="bottom"/>
            <w:tcBorders>
              <w:bottom w:val="single" w:sz="8" w:color="E3E4E5"/>
            </w:tcBorders>
          </w:tcPr>
          <w:p>
            <w:pPr>
              <w:spacing w:after="0"/>
              <w:rPr>
                <w:sz w:val="20"/>
                <w:szCs w:val="20"/>
                <w:color w:val="auto"/>
              </w:rPr>
            </w:pPr>
          </w:p>
        </w:tc>
        <w:tc>
          <w:tcPr>
            <w:tcW w:w="1480" w:type="dxa"/>
            <w:vAlign w:val="bottom"/>
            <w:tcBorders>
              <w:bottom w:val="single" w:sz="8" w:color="454546"/>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1480" w:type="dxa"/>
            <w:vAlign w:val="bottom"/>
            <w:tcBorders>
              <w:bottom w:val="single" w:sz="8" w:color="454546"/>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2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Net sales</w:t>
            </w:r>
          </w:p>
        </w:tc>
        <w:tc>
          <w:tcPr>
            <w:tcW w:w="1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100.0 %</w:t>
            </w:r>
          </w:p>
        </w:tc>
        <w:tc>
          <w:tcPr>
            <w:tcW w:w="15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100.0 %</w:t>
            </w:r>
          </w:p>
        </w:tc>
      </w:tr>
      <w:tr>
        <w:trPr>
          <w:trHeight w:val="290"/>
        </w:trPr>
        <w:tc>
          <w:tcPr>
            <w:tcW w:w="72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Cost of sales</w:t>
            </w:r>
          </w:p>
        </w:tc>
        <w:tc>
          <w:tcPr>
            <w:tcW w:w="1480" w:type="dxa"/>
            <w:vAlign w:val="bottom"/>
            <w:tcBorders>
              <w:bottom w:val="single" w:sz="8" w:color="454546"/>
            </w:tcBorders>
          </w:tcPr>
          <w:p>
            <w:pPr>
              <w:jc w:val="right"/>
              <w:ind w:right="163"/>
              <w:spacing w:after="0"/>
              <w:rPr>
                <w:sz w:val="20"/>
                <w:szCs w:val="20"/>
                <w:color w:val="auto"/>
              </w:rPr>
            </w:pPr>
            <w:r>
              <w:rPr>
                <w:rFonts w:ascii="Times New Roman" w:cs="Times New Roman" w:eastAsia="Times New Roman" w:hAnsi="Times New Roman"/>
                <w:sz w:val="20"/>
                <w:szCs w:val="20"/>
                <w:color w:val="454546"/>
              </w:rPr>
              <w:t>71.1</w:t>
            </w:r>
          </w:p>
        </w:tc>
        <w:tc>
          <w:tcPr>
            <w:tcW w:w="80" w:type="dxa"/>
            <w:vAlign w:val="bottom"/>
            <w:tcBorders>
              <w:bottom w:val="single" w:sz="8" w:color="E3E4E5"/>
            </w:tcBorders>
          </w:tcPr>
          <w:p>
            <w:pPr>
              <w:spacing w:after="0"/>
              <w:rPr>
                <w:sz w:val="24"/>
                <w:szCs w:val="24"/>
                <w:color w:val="auto"/>
              </w:rPr>
            </w:pPr>
          </w:p>
        </w:tc>
        <w:tc>
          <w:tcPr>
            <w:tcW w:w="1480" w:type="dxa"/>
            <w:vAlign w:val="bottom"/>
            <w:tcBorders>
              <w:bottom w:val="single" w:sz="8" w:color="454546"/>
            </w:tcBorders>
          </w:tcPr>
          <w:p>
            <w:pPr>
              <w:jc w:val="right"/>
              <w:ind w:right="164"/>
              <w:spacing w:after="0"/>
              <w:rPr>
                <w:sz w:val="20"/>
                <w:szCs w:val="20"/>
                <w:color w:val="auto"/>
              </w:rPr>
            </w:pPr>
            <w:r>
              <w:rPr>
                <w:rFonts w:ascii="Times New Roman" w:cs="Times New Roman" w:eastAsia="Times New Roman" w:hAnsi="Times New Roman"/>
                <w:sz w:val="20"/>
                <w:szCs w:val="20"/>
                <w:color w:val="454546"/>
              </w:rPr>
              <w:t>71.1</w:t>
            </w:r>
          </w:p>
        </w:tc>
      </w:tr>
      <w:tr>
        <w:trPr>
          <w:trHeight w:val="290"/>
        </w:trPr>
        <w:tc>
          <w:tcPr>
            <w:tcW w:w="72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Gross profit</w:t>
            </w:r>
          </w:p>
        </w:tc>
        <w:tc>
          <w:tcPr>
            <w:tcW w:w="1480" w:type="dxa"/>
            <w:vAlign w:val="bottom"/>
            <w:shd w:val="clear" w:color="auto" w:fill="E3E4E5"/>
          </w:tcPr>
          <w:p>
            <w:pPr>
              <w:jc w:val="right"/>
              <w:ind w:right="163"/>
              <w:spacing w:after="0"/>
              <w:rPr>
                <w:sz w:val="20"/>
                <w:szCs w:val="20"/>
                <w:color w:val="auto"/>
              </w:rPr>
            </w:pPr>
            <w:r>
              <w:rPr>
                <w:rFonts w:ascii="Times New Roman" w:cs="Times New Roman" w:eastAsia="Times New Roman" w:hAnsi="Times New Roman"/>
                <w:sz w:val="20"/>
                <w:szCs w:val="20"/>
                <w:color w:val="454546"/>
              </w:rPr>
              <w:t>28.9</w:t>
            </w:r>
          </w:p>
        </w:tc>
        <w:tc>
          <w:tcPr>
            <w:tcW w:w="1560" w:type="dxa"/>
            <w:vAlign w:val="bottom"/>
            <w:gridSpan w:val="2"/>
            <w:shd w:val="clear" w:color="auto" w:fill="E3E4E5"/>
          </w:tcPr>
          <w:p>
            <w:pPr>
              <w:jc w:val="right"/>
              <w:ind w:right="164"/>
              <w:spacing w:after="0"/>
              <w:rPr>
                <w:sz w:val="20"/>
                <w:szCs w:val="20"/>
                <w:color w:val="auto"/>
              </w:rPr>
            </w:pPr>
            <w:r>
              <w:rPr>
                <w:rFonts w:ascii="Times New Roman" w:cs="Times New Roman" w:eastAsia="Times New Roman" w:hAnsi="Times New Roman"/>
                <w:sz w:val="20"/>
                <w:szCs w:val="20"/>
                <w:color w:val="454546"/>
              </w:rPr>
              <w:t>28.9</w:t>
            </w:r>
          </w:p>
        </w:tc>
      </w:tr>
      <w:tr>
        <w:trPr>
          <w:trHeight w:val="294"/>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Research and development expenses</w:t>
            </w:r>
          </w:p>
        </w:tc>
        <w:tc>
          <w:tcPr>
            <w:tcW w:w="14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454546"/>
              </w:rPr>
              <w:t>7.1</w:t>
            </w:r>
          </w:p>
        </w:tc>
        <w:tc>
          <w:tcPr>
            <w:tcW w:w="1560" w:type="dxa"/>
            <w:vAlign w:val="bottom"/>
            <w:gridSpan w:val="2"/>
          </w:tcPr>
          <w:p>
            <w:pPr>
              <w:jc w:val="right"/>
              <w:ind w:right="164"/>
              <w:spacing w:after="0"/>
              <w:rPr>
                <w:sz w:val="20"/>
                <w:szCs w:val="20"/>
                <w:color w:val="auto"/>
              </w:rPr>
            </w:pPr>
            <w:r>
              <w:rPr>
                <w:rFonts w:ascii="Times New Roman" w:cs="Times New Roman" w:eastAsia="Times New Roman" w:hAnsi="Times New Roman"/>
                <w:sz w:val="20"/>
                <w:szCs w:val="20"/>
                <w:color w:val="454546"/>
              </w:rPr>
              <w:t>7.5</w:t>
            </w:r>
          </w:p>
        </w:tc>
      </w:tr>
      <w:tr>
        <w:trPr>
          <w:trHeight w:val="306"/>
        </w:trPr>
        <w:tc>
          <w:tcPr>
            <w:tcW w:w="72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Selling, general and administrative expenses</w:t>
            </w:r>
          </w:p>
        </w:tc>
        <w:tc>
          <w:tcPr>
            <w:tcW w:w="1480" w:type="dxa"/>
            <w:vAlign w:val="bottom"/>
            <w:shd w:val="clear" w:color="auto" w:fill="E3E4E5"/>
          </w:tcPr>
          <w:p>
            <w:pPr>
              <w:jc w:val="right"/>
              <w:ind w:right="163"/>
              <w:spacing w:after="0"/>
              <w:rPr>
                <w:sz w:val="20"/>
                <w:szCs w:val="20"/>
                <w:color w:val="auto"/>
              </w:rPr>
            </w:pPr>
            <w:r>
              <w:rPr>
                <w:rFonts w:ascii="Times New Roman" w:cs="Times New Roman" w:eastAsia="Times New Roman" w:hAnsi="Times New Roman"/>
                <w:sz w:val="20"/>
                <w:szCs w:val="20"/>
                <w:color w:val="454546"/>
              </w:rPr>
              <w:t>23.2</w:t>
            </w:r>
          </w:p>
        </w:tc>
        <w:tc>
          <w:tcPr>
            <w:tcW w:w="1560" w:type="dxa"/>
            <w:vAlign w:val="bottom"/>
            <w:gridSpan w:val="2"/>
            <w:shd w:val="clear" w:color="auto" w:fill="E3E4E5"/>
          </w:tcPr>
          <w:p>
            <w:pPr>
              <w:jc w:val="right"/>
              <w:ind w:right="164"/>
              <w:spacing w:after="0"/>
              <w:rPr>
                <w:sz w:val="20"/>
                <w:szCs w:val="20"/>
                <w:color w:val="auto"/>
              </w:rPr>
            </w:pPr>
            <w:r>
              <w:rPr>
                <w:rFonts w:ascii="Times New Roman" w:cs="Times New Roman" w:eastAsia="Times New Roman" w:hAnsi="Times New Roman"/>
                <w:sz w:val="20"/>
                <w:szCs w:val="20"/>
                <w:color w:val="454546"/>
              </w:rPr>
              <w:t>23.3</w:t>
            </w:r>
          </w:p>
        </w:tc>
      </w:tr>
      <w:tr>
        <w:trPr>
          <w:trHeight w:val="294"/>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Factory restructuring charges</w:t>
            </w:r>
          </w:p>
        </w:tc>
        <w:tc>
          <w:tcPr>
            <w:tcW w:w="14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454546"/>
              </w:rPr>
              <w:t>0.3</w:t>
            </w:r>
          </w:p>
        </w:tc>
        <w:tc>
          <w:tcPr>
            <w:tcW w:w="1560" w:type="dxa"/>
            <w:vAlign w:val="bottom"/>
            <w:gridSpan w:val="2"/>
          </w:tcPr>
          <w:p>
            <w:pPr>
              <w:jc w:val="right"/>
              <w:ind w:right="164"/>
              <w:spacing w:after="0"/>
              <w:rPr>
                <w:sz w:val="20"/>
                <w:szCs w:val="20"/>
                <w:color w:val="auto"/>
              </w:rPr>
            </w:pPr>
            <w:r>
              <w:rPr>
                <w:rFonts w:ascii="Times New Roman" w:cs="Times New Roman" w:eastAsia="Times New Roman" w:hAnsi="Times New Roman"/>
                <w:sz w:val="20"/>
                <w:szCs w:val="20"/>
                <w:color w:val="454546"/>
              </w:rPr>
              <w:t>0.9</w:t>
            </w:r>
          </w:p>
        </w:tc>
      </w:tr>
      <w:tr>
        <w:trPr>
          <w:trHeight w:val="315"/>
        </w:trPr>
        <w:tc>
          <w:tcPr>
            <w:tcW w:w="72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Legal judgment</w:t>
            </w:r>
          </w:p>
        </w:tc>
        <w:tc>
          <w:tcPr>
            <w:tcW w:w="1480" w:type="dxa"/>
            <w:vAlign w:val="bottom"/>
            <w:tcBorders>
              <w:bottom w:val="single" w:sz="8" w:color="454546"/>
            </w:tcBorders>
            <w:shd w:val="clear" w:color="auto" w:fill="E3E4E5"/>
          </w:tcPr>
          <w:p>
            <w:pPr>
              <w:jc w:val="right"/>
              <w:ind w:right="163"/>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shd w:val="clear" w:color="auto" w:fill="E3E4E5"/>
          </w:tcPr>
          <w:p>
            <w:pPr>
              <w:spacing w:after="0"/>
              <w:rPr>
                <w:sz w:val="24"/>
                <w:szCs w:val="24"/>
                <w:color w:val="auto"/>
              </w:rPr>
            </w:pPr>
          </w:p>
        </w:tc>
        <w:tc>
          <w:tcPr>
            <w:tcW w:w="1480" w:type="dxa"/>
            <w:vAlign w:val="bottom"/>
            <w:tcBorders>
              <w:bottom w:val="single" w:sz="8" w:color="454546"/>
            </w:tcBorders>
            <w:shd w:val="clear" w:color="auto" w:fill="E3E4E5"/>
          </w:tcPr>
          <w:p>
            <w:pPr>
              <w:jc w:val="right"/>
              <w:ind w:right="164"/>
              <w:spacing w:after="0"/>
              <w:rPr>
                <w:sz w:val="20"/>
                <w:szCs w:val="20"/>
                <w:color w:val="auto"/>
              </w:rPr>
            </w:pPr>
            <w:r>
              <w:rPr>
                <w:rFonts w:ascii="Times New Roman" w:cs="Times New Roman" w:eastAsia="Times New Roman" w:hAnsi="Times New Roman"/>
                <w:sz w:val="20"/>
                <w:szCs w:val="20"/>
                <w:color w:val="454546"/>
              </w:rPr>
              <w:t>1.1</w:t>
            </w:r>
          </w:p>
        </w:tc>
      </w:tr>
      <w:tr>
        <w:trPr>
          <w:trHeight w:val="265"/>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Operating income (loss)</w:t>
            </w: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454546"/>
              </w:rPr>
              <w:t>(1.7)</w:t>
            </w:r>
          </w:p>
        </w:tc>
        <w:tc>
          <w:tcPr>
            <w:tcW w:w="1560" w:type="dxa"/>
            <w:vAlign w:val="bottom"/>
            <w:gridSpan w:val="2"/>
          </w:tcPr>
          <w:p>
            <w:pPr>
              <w:jc w:val="right"/>
              <w:ind w:right="84"/>
              <w:spacing w:after="0"/>
              <w:rPr>
                <w:sz w:val="20"/>
                <w:szCs w:val="20"/>
                <w:color w:val="auto"/>
              </w:rPr>
            </w:pPr>
            <w:r>
              <w:rPr>
                <w:rFonts w:ascii="Times New Roman" w:cs="Times New Roman" w:eastAsia="Times New Roman" w:hAnsi="Times New Roman"/>
                <w:sz w:val="20"/>
                <w:szCs w:val="20"/>
                <w:color w:val="454546"/>
              </w:rPr>
              <w:t>(3.9)</w:t>
            </w:r>
          </w:p>
        </w:tc>
      </w:tr>
      <w:tr>
        <w:trPr>
          <w:trHeight w:val="307"/>
        </w:trPr>
        <w:tc>
          <w:tcPr>
            <w:tcW w:w="72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Interest income (expense), net</w:t>
            </w:r>
          </w:p>
        </w:tc>
        <w:tc>
          <w:tcPr>
            <w:tcW w:w="1480" w:type="dxa"/>
            <w:vAlign w:val="bottom"/>
            <w:shd w:val="clear" w:color="auto" w:fill="E3E4E5"/>
          </w:tcPr>
          <w:p>
            <w:pPr>
              <w:jc w:val="right"/>
              <w:ind w:right="83"/>
              <w:spacing w:after="0"/>
              <w:rPr>
                <w:sz w:val="20"/>
                <w:szCs w:val="20"/>
                <w:color w:val="auto"/>
              </w:rPr>
            </w:pPr>
            <w:r>
              <w:rPr>
                <w:rFonts w:ascii="Times New Roman" w:cs="Times New Roman" w:eastAsia="Times New Roman" w:hAnsi="Times New Roman"/>
                <w:sz w:val="20"/>
                <w:szCs w:val="20"/>
                <w:color w:val="454546"/>
              </w:rPr>
              <w:t>(0.3)</w:t>
            </w:r>
          </w:p>
        </w:tc>
        <w:tc>
          <w:tcPr>
            <w:tcW w:w="1560" w:type="dxa"/>
            <w:vAlign w:val="bottom"/>
            <w:gridSpan w:val="2"/>
            <w:shd w:val="clear" w:color="auto" w:fill="E3E4E5"/>
          </w:tcPr>
          <w:p>
            <w:pPr>
              <w:jc w:val="right"/>
              <w:ind w:right="84"/>
              <w:spacing w:after="0"/>
              <w:rPr>
                <w:sz w:val="20"/>
                <w:szCs w:val="20"/>
                <w:color w:val="auto"/>
              </w:rPr>
            </w:pPr>
            <w:r>
              <w:rPr>
                <w:rFonts w:ascii="Times New Roman" w:cs="Times New Roman" w:eastAsia="Times New Roman" w:hAnsi="Times New Roman"/>
                <w:sz w:val="20"/>
                <w:szCs w:val="20"/>
                <w:color w:val="454546"/>
              </w:rPr>
              <w:t>(0.8)</w:t>
            </w:r>
          </w:p>
        </w:tc>
      </w:tr>
      <w:tr>
        <w:trPr>
          <w:trHeight w:val="290"/>
        </w:trPr>
        <w:tc>
          <w:tcPr>
            <w:tcW w:w="72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Other income (expense), net</w:t>
            </w:r>
          </w:p>
        </w:tc>
        <w:tc>
          <w:tcPr>
            <w:tcW w:w="1480" w:type="dxa"/>
            <w:vAlign w:val="bottom"/>
            <w:tcBorders>
              <w:bottom w:val="single" w:sz="8" w:color="454546"/>
            </w:tcBorders>
          </w:tcPr>
          <w:p>
            <w:pPr>
              <w:jc w:val="right"/>
              <w:ind w:right="83"/>
              <w:spacing w:after="0"/>
              <w:rPr>
                <w:sz w:val="20"/>
                <w:szCs w:val="20"/>
                <w:color w:val="auto"/>
              </w:rPr>
            </w:pPr>
            <w:r>
              <w:rPr>
                <w:rFonts w:ascii="Times New Roman" w:cs="Times New Roman" w:eastAsia="Times New Roman" w:hAnsi="Times New Roman"/>
                <w:sz w:val="20"/>
                <w:szCs w:val="20"/>
                <w:color w:val="454546"/>
              </w:rPr>
              <w:t>(1.3)</w:t>
            </w:r>
          </w:p>
        </w:tc>
        <w:tc>
          <w:tcPr>
            <w:tcW w:w="80" w:type="dxa"/>
            <w:vAlign w:val="bottom"/>
            <w:tcBorders>
              <w:bottom w:val="single" w:sz="8" w:color="E3E4E5"/>
            </w:tcBorders>
          </w:tcPr>
          <w:p>
            <w:pPr>
              <w:spacing w:after="0"/>
              <w:rPr>
                <w:sz w:val="24"/>
                <w:szCs w:val="24"/>
                <w:color w:val="auto"/>
              </w:rPr>
            </w:pPr>
          </w:p>
        </w:tc>
        <w:tc>
          <w:tcPr>
            <w:tcW w:w="1480" w:type="dxa"/>
            <w:vAlign w:val="bottom"/>
            <w:tcBorders>
              <w:bottom w:val="single" w:sz="8" w:color="454546"/>
            </w:tcBorders>
          </w:tcPr>
          <w:p>
            <w:pPr>
              <w:jc w:val="right"/>
              <w:ind w:right="164"/>
              <w:spacing w:after="0"/>
              <w:rPr>
                <w:sz w:val="20"/>
                <w:szCs w:val="20"/>
                <w:color w:val="auto"/>
              </w:rPr>
            </w:pPr>
            <w:r>
              <w:rPr>
                <w:rFonts w:ascii="Times New Roman" w:cs="Times New Roman" w:eastAsia="Times New Roman" w:hAnsi="Times New Roman"/>
                <w:sz w:val="20"/>
                <w:szCs w:val="20"/>
                <w:color w:val="454546"/>
              </w:rPr>
              <w:t>0.0</w:t>
            </w:r>
          </w:p>
        </w:tc>
      </w:tr>
      <w:tr>
        <w:trPr>
          <w:trHeight w:val="290"/>
        </w:trPr>
        <w:tc>
          <w:tcPr>
            <w:tcW w:w="72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Income (loss) before provision for income taxes</w:t>
            </w:r>
          </w:p>
        </w:tc>
        <w:tc>
          <w:tcPr>
            <w:tcW w:w="1480" w:type="dxa"/>
            <w:vAlign w:val="bottom"/>
            <w:shd w:val="clear" w:color="auto" w:fill="E3E4E5"/>
          </w:tcPr>
          <w:p>
            <w:pPr>
              <w:jc w:val="right"/>
              <w:ind w:right="83"/>
              <w:spacing w:after="0"/>
              <w:rPr>
                <w:sz w:val="20"/>
                <w:szCs w:val="20"/>
                <w:color w:val="auto"/>
              </w:rPr>
            </w:pPr>
            <w:r>
              <w:rPr>
                <w:rFonts w:ascii="Times New Roman" w:cs="Times New Roman" w:eastAsia="Times New Roman" w:hAnsi="Times New Roman"/>
                <w:sz w:val="20"/>
                <w:szCs w:val="20"/>
                <w:color w:val="454546"/>
              </w:rPr>
              <w:t>(3.3)</w:t>
            </w:r>
          </w:p>
        </w:tc>
        <w:tc>
          <w:tcPr>
            <w:tcW w:w="1560" w:type="dxa"/>
            <w:vAlign w:val="bottom"/>
            <w:gridSpan w:val="2"/>
            <w:shd w:val="clear" w:color="auto" w:fill="E3E4E5"/>
          </w:tcPr>
          <w:p>
            <w:pPr>
              <w:jc w:val="right"/>
              <w:ind w:right="84"/>
              <w:spacing w:after="0"/>
              <w:rPr>
                <w:sz w:val="20"/>
                <w:szCs w:val="20"/>
                <w:color w:val="auto"/>
              </w:rPr>
            </w:pPr>
            <w:r>
              <w:rPr>
                <w:rFonts w:ascii="Times New Roman" w:cs="Times New Roman" w:eastAsia="Times New Roman" w:hAnsi="Times New Roman"/>
                <w:sz w:val="20"/>
                <w:szCs w:val="20"/>
                <w:color w:val="454546"/>
              </w:rPr>
              <w:t>(4.7)</w:t>
            </w:r>
          </w:p>
        </w:tc>
      </w:tr>
      <w:tr>
        <w:trPr>
          <w:trHeight w:val="290"/>
        </w:trPr>
        <w:tc>
          <w:tcPr>
            <w:tcW w:w="72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Provision for income taxes</w:t>
            </w:r>
          </w:p>
        </w:tc>
        <w:tc>
          <w:tcPr>
            <w:tcW w:w="1480" w:type="dxa"/>
            <w:vAlign w:val="bottom"/>
            <w:tcBorders>
              <w:bottom w:val="single" w:sz="8" w:color="454546"/>
            </w:tcBorders>
          </w:tcPr>
          <w:p>
            <w:pPr>
              <w:jc w:val="right"/>
              <w:ind w:right="163"/>
              <w:spacing w:after="0"/>
              <w:rPr>
                <w:sz w:val="20"/>
                <w:szCs w:val="20"/>
                <w:color w:val="auto"/>
              </w:rPr>
            </w:pPr>
            <w:r>
              <w:rPr>
                <w:rFonts w:ascii="Times New Roman" w:cs="Times New Roman" w:eastAsia="Times New Roman" w:hAnsi="Times New Roman"/>
                <w:sz w:val="20"/>
                <w:szCs w:val="20"/>
                <w:color w:val="454546"/>
              </w:rPr>
              <w:t>1.8</w:t>
            </w:r>
          </w:p>
        </w:tc>
        <w:tc>
          <w:tcPr>
            <w:tcW w:w="80" w:type="dxa"/>
            <w:vAlign w:val="bottom"/>
            <w:tcBorders>
              <w:bottom w:val="single" w:sz="8" w:color="E3E4E5"/>
            </w:tcBorders>
          </w:tcPr>
          <w:p>
            <w:pPr>
              <w:spacing w:after="0"/>
              <w:rPr>
                <w:sz w:val="24"/>
                <w:szCs w:val="24"/>
                <w:color w:val="auto"/>
              </w:rPr>
            </w:pPr>
          </w:p>
        </w:tc>
        <w:tc>
          <w:tcPr>
            <w:tcW w:w="1480" w:type="dxa"/>
            <w:vAlign w:val="bottom"/>
            <w:tcBorders>
              <w:bottom w:val="single" w:sz="8" w:color="454546"/>
            </w:tcBorders>
          </w:tcPr>
          <w:p>
            <w:pPr>
              <w:jc w:val="right"/>
              <w:ind w:right="164"/>
              <w:spacing w:after="0"/>
              <w:rPr>
                <w:sz w:val="20"/>
                <w:szCs w:val="20"/>
                <w:color w:val="auto"/>
              </w:rPr>
            </w:pPr>
            <w:r>
              <w:rPr>
                <w:rFonts w:ascii="Times New Roman" w:cs="Times New Roman" w:eastAsia="Times New Roman" w:hAnsi="Times New Roman"/>
                <w:sz w:val="20"/>
                <w:szCs w:val="20"/>
                <w:color w:val="454546"/>
              </w:rPr>
              <w:t>1.4</w:t>
            </w:r>
          </w:p>
        </w:tc>
      </w:tr>
      <w:tr>
        <w:trPr>
          <w:trHeight w:val="280"/>
        </w:trPr>
        <w:tc>
          <w:tcPr>
            <w:tcW w:w="72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Net income (loss)</w:t>
            </w:r>
          </w:p>
        </w:tc>
        <w:tc>
          <w:tcPr>
            <w:tcW w:w="1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(5.1)%</w:t>
            </w:r>
          </w:p>
        </w:tc>
        <w:tc>
          <w:tcPr>
            <w:tcW w:w="15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(6.1)%</w:t>
            </w:r>
          </w:p>
        </w:tc>
      </w:tr>
      <w:tr>
        <w:trPr>
          <w:trHeight w:val="20"/>
        </w:trPr>
        <w:tc>
          <w:tcPr>
            <w:tcW w:w="7200" w:type="dxa"/>
            <w:vAlign w:val="bottom"/>
            <w:tcBorders>
              <w:top w:val="single" w:sz="8" w:color="E3E4E5"/>
            </w:tcBorders>
          </w:tcPr>
          <w:p>
            <w:pPr>
              <w:spacing w:after="0" w:line="20" w:lineRule="exact"/>
              <w:rPr>
                <w:sz w:val="1"/>
                <w:szCs w:val="1"/>
                <w:color w:val="auto"/>
              </w:rPr>
            </w:pPr>
          </w:p>
        </w:tc>
        <w:tc>
          <w:tcPr>
            <w:tcW w:w="14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4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-2520315</wp:posOffset>
            </wp:positionV>
            <wp:extent cx="198437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-2139315</wp:posOffset>
            </wp:positionV>
            <wp:extent cx="101600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1016000"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-1186815</wp:posOffset>
            </wp:positionV>
            <wp:extent cx="101600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1016000"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-615315</wp:posOffset>
            </wp:positionV>
            <wp:extent cx="101600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extLst>
                    </a:blip>
                    <a:srcRect/>
                    <a:stretch>
                      <a:fillRect/>
                    </a:stretch>
                  </pic:blipFill>
                  <pic:spPr bwMode="auto">
                    <a:xfrm>
                      <a:off x="0" y="0"/>
                      <a:ext cx="1016000"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-234315</wp:posOffset>
            </wp:positionV>
            <wp:extent cx="101600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extLst>
                    </a:blip>
                    <a:srcRect/>
                    <a:stretch>
                      <a:fillRect/>
                    </a:stretch>
                  </pic:blipFill>
                  <pic:spPr bwMode="auto">
                    <a:xfrm>
                      <a:off x="0" y="0"/>
                      <a:ext cx="1016000"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-56515</wp:posOffset>
            </wp:positionV>
            <wp:extent cx="1984375" cy="76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extLst>
                    </a:blip>
                    <a:srcRect/>
                    <a:stretch>
                      <a:fillRect/>
                    </a:stretch>
                  </pic:blipFill>
                  <pic:spPr bwMode="auto">
                    <a:xfrm>
                      <a:off x="0" y="0"/>
                      <a:ext cx="1984375" cy="762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Year Ended December 31, 2025 ("2025") Compared to Year Ended December 31, 2024 ("2024")</w:t>
      </w:r>
    </w:p>
    <w:p>
      <w:pPr>
        <w:spacing w:after="0" w:line="25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i w:val="1"/>
          <w:iCs w:val="1"/>
          <w:color w:val="454546"/>
        </w:rPr>
        <w:t xml:space="preserve">Net sales. </w:t>
      </w:r>
      <w:r>
        <w:rPr>
          <w:rFonts w:ascii="Times New Roman" w:cs="Times New Roman" w:eastAsia="Times New Roman" w:hAnsi="Times New Roman"/>
          <w:sz w:val="20"/>
          <w:szCs w:val="20"/>
          <w:color w:val="454546"/>
        </w:rPr>
        <w:t>Net sales for 2025 were $368.3 million, a decrease of 6.7% compared to $394.9 million in 2024. Net sales by channel</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2720" w:type="dxa"/>
            <w:vAlign w:val="bottom"/>
            <w:tcBorders>
              <w:bottom w:val="single" w:sz="8" w:color="454546"/>
            </w:tcBorders>
            <w:gridSpan w:val="4"/>
          </w:tcPr>
          <w:p>
            <w:pPr>
              <w:jc w:val="right"/>
              <w:ind w:right="545"/>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20"/>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19"/>
                <w:szCs w:val="19"/>
                <w:color w:val="auto"/>
              </w:rPr>
            </w:pPr>
          </w:p>
        </w:tc>
        <w:tc>
          <w:tcPr>
            <w:tcW w:w="1140" w:type="dxa"/>
            <w:vAlign w:val="bottom"/>
            <w:tcBorders>
              <w:bottom w:val="single" w:sz="8" w:color="454546"/>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19"/>
                <w:szCs w:val="19"/>
                <w:color w:val="auto"/>
              </w:rPr>
            </w:pPr>
          </w:p>
        </w:tc>
        <w:tc>
          <w:tcPr>
            <w:tcW w:w="360" w:type="dxa"/>
            <w:vAlign w:val="bottom"/>
            <w:tcBorders>
              <w:bottom w:val="single" w:sz="8" w:color="454546"/>
            </w:tcBorders>
          </w:tcPr>
          <w:p>
            <w:pPr>
              <w:spacing w:after="0"/>
              <w:rPr>
                <w:sz w:val="19"/>
                <w:szCs w:val="19"/>
                <w:color w:val="auto"/>
              </w:rPr>
            </w:pPr>
          </w:p>
        </w:tc>
        <w:tc>
          <w:tcPr>
            <w:tcW w:w="1140" w:type="dxa"/>
            <w:vAlign w:val="bottom"/>
            <w:tcBorders>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75"/>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Connected home</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125,384</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108,258</w:t>
            </w:r>
          </w:p>
        </w:tc>
      </w:tr>
      <w:tr>
        <w:trPr>
          <w:trHeight w:val="27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Home entertainment</w:t>
            </w:r>
          </w:p>
        </w:tc>
        <w:tc>
          <w:tcPr>
            <w:tcW w:w="360" w:type="dxa"/>
            <w:vAlign w:val="bottom"/>
            <w:tcBorders>
              <w:bottom w:val="single" w:sz="8" w:color="454546"/>
            </w:tcBorders>
          </w:tcPr>
          <w:p>
            <w:pPr>
              <w:spacing w:after="0"/>
              <w:rPr>
                <w:sz w:val="23"/>
                <w:szCs w:val="23"/>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242,904</w:t>
            </w:r>
          </w:p>
        </w:tc>
        <w:tc>
          <w:tcPr>
            <w:tcW w:w="80" w:type="dxa"/>
            <w:vAlign w:val="bottom"/>
            <w:tcBorders>
              <w:bottom w:val="single" w:sz="8" w:color="E3E4E5"/>
            </w:tcBorders>
          </w:tcPr>
          <w:p>
            <w:pPr>
              <w:spacing w:after="0"/>
              <w:rPr>
                <w:sz w:val="23"/>
                <w:szCs w:val="23"/>
                <w:color w:val="auto"/>
              </w:rPr>
            </w:pPr>
          </w:p>
        </w:tc>
        <w:tc>
          <w:tcPr>
            <w:tcW w:w="360" w:type="dxa"/>
            <w:vAlign w:val="bottom"/>
            <w:tcBorders>
              <w:bottom w:val="single" w:sz="8" w:color="454546"/>
            </w:tcBorders>
          </w:tcPr>
          <w:p>
            <w:pPr>
              <w:spacing w:after="0"/>
              <w:rPr>
                <w:sz w:val="23"/>
                <w:szCs w:val="23"/>
                <w:color w:val="auto"/>
              </w:rPr>
            </w:pPr>
          </w:p>
        </w:tc>
        <w:tc>
          <w:tcPr>
            <w:tcW w:w="114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286,621</w:t>
            </w:r>
          </w:p>
        </w:tc>
      </w:tr>
      <w:tr>
        <w:trPr>
          <w:trHeight w:val="280"/>
        </w:trPr>
        <w:tc>
          <w:tcPr>
            <w:tcW w:w="7180" w:type="dxa"/>
            <w:vAlign w:val="bottom"/>
            <w:shd w:val="clear" w:color="auto" w:fill="E3E4E5"/>
          </w:tcPr>
          <w:p>
            <w:pPr>
              <w:ind w:left="280"/>
              <w:spacing w:after="0"/>
              <w:rPr>
                <w:sz w:val="20"/>
                <w:szCs w:val="20"/>
                <w:color w:val="auto"/>
              </w:rPr>
            </w:pPr>
            <w:r>
              <w:rPr>
                <w:rFonts w:ascii="Times New Roman" w:cs="Times New Roman" w:eastAsia="Times New Roman" w:hAnsi="Times New Roman"/>
                <w:sz w:val="20"/>
                <w:szCs w:val="20"/>
                <w:color w:val="454546"/>
              </w:rPr>
              <w:t>Total net sales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368,288</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394,879</w:t>
            </w:r>
          </w:p>
        </w:tc>
      </w:tr>
      <w:tr>
        <w:trPr>
          <w:trHeight w:val="20"/>
        </w:trPr>
        <w:tc>
          <w:tcPr>
            <w:tcW w:w="71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-596265</wp:posOffset>
            </wp:positionV>
            <wp:extent cx="102552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-56515</wp:posOffset>
            </wp:positionV>
            <wp:extent cx="2003425" cy="76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Net sales in connected home were $125.4 million for the year ended December 31, 2025 compared to $108.3 million for the year ended December 31, 2024. This growth is driven primarily by shipments to large climate control and home automation customers relating to projects won over the past couple of years.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Net sales in home entertainment were $242.9 million for the year ended December 31, 2025 compared to $286.6 million for the year ended December 31, 2024. The decrease in sales within the home entertainment channel was primarily driven by lower demand for subscription broadcasting products in Europe and Latin America, particularly for basic remote controls with lower price points and limited or no advanced features. In addition, several customers in the consumer electronics industry experienced reduced demand for televisions, which led to a corresponding decline in remote control sales in this channel. The retail market also remained weak in 2025, reflecting elevated inventory levels and soft sell-through performance.</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i w:val="1"/>
          <w:iCs w:val="1"/>
          <w:color w:val="454546"/>
        </w:rPr>
        <w:t xml:space="preserve">Gross profit. </w:t>
      </w:r>
      <w:r>
        <w:rPr>
          <w:rFonts w:ascii="Times New Roman" w:cs="Times New Roman" w:eastAsia="Times New Roman" w:hAnsi="Times New Roman"/>
          <w:sz w:val="20"/>
          <w:szCs w:val="20"/>
          <w:color w:val="454546"/>
        </w:rPr>
        <w:t>Gross profit in 2025 was $106.5 million compared to $114.0 million in 2024. Gross profit as a percent of sales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remained consistent at 28.9% in 2025 and 2024. During 2025, gross margin benefited from the stabilization of global freight rates and the Company’s ongoing initiatives to optimize freight and logistics spending, which collectively contributed approximately 60 basis points of improvement compared to the prior year. Gross margin was further favorably impacted by foreign currency movements. A weaker U.S. dollar relative to the Euro and British Pound, together with a stronger U.S. dollar relative to the Vietnamese Dong, contributed approximately 90 basis points of gross margin improvement. These favorable impacts were partially offset by incremental tariff costs that were not recoverable through customer pricing actions, which reduced gross margin by approximately 100 basis points during 2025. In addition, we recorded an additional $0.9 million</w:t>
      </w:r>
    </w:p>
    <w:p>
      <w:pPr>
        <w:sectPr>
          <w:pgSz w:w="11880" w:h="15480" w:orient="portrait"/>
          <w:cols w:equalWidth="0" w:num="1">
            <w:col w:w="10260"/>
          </w:cols>
          <w:pgMar w:left="820" w:top="613" w:right="800" w:bottom="0" w:gutter="0" w:footer="0" w:header="0"/>
        </w:sect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37</w:t>
      </w:r>
    </w:p>
    <w:p>
      <w:pPr>
        <w:sectPr>
          <w:pgSz w:w="11880" w:h="15480" w:orient="portrait"/>
          <w:cols w:equalWidth="0" w:num="1">
            <w:col w:w="10260"/>
          </w:cols>
          <w:pgMar w:left="820" w:top="613" w:right="800" w:bottom="0" w:gutter="0" w:footer="0" w:header="0"/>
          <w:type w:val="continuous"/>
        </w:sectPr>
      </w:pPr>
    </w:p>
    <w:bookmarkStart w:id="41" w:name="page42"/>
    <w:bookmarkEnd w:id="41"/>
    <w:p>
      <w:pPr>
        <w:spacing w:after="0" w:line="281" w:lineRule="auto"/>
        <w:rPr>
          <w:sz w:val="20"/>
          <w:szCs w:val="20"/>
          <w:color w:val="auto"/>
        </w:rPr>
      </w:pPr>
      <w:r>
        <w:rPr>
          <w:rFonts w:ascii="Times New Roman" w:cs="Times New Roman" w:eastAsia="Times New Roman" w:hAnsi="Times New Roman"/>
          <w:sz w:val="20"/>
          <w:szCs w:val="20"/>
          <w:color w:val="454546"/>
        </w:rPr>
        <w:t>impairment charge related to machinery and equipment that will no longer be utilized following the closure of our Mexico manufacturing facility in the fourth quarter of 2025.</w:t>
      </w:r>
    </w:p>
    <w:p>
      <w:pPr>
        <w:spacing w:after="0" w:line="17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i w:val="1"/>
          <w:iCs w:val="1"/>
          <w:color w:val="454546"/>
        </w:rPr>
        <w:t xml:space="preserve">Research and development ("R&amp;D") expenses. </w:t>
      </w:r>
      <w:r>
        <w:rPr>
          <w:rFonts w:ascii="Times New Roman" w:cs="Times New Roman" w:eastAsia="Times New Roman" w:hAnsi="Times New Roman"/>
          <w:sz w:val="20"/>
          <w:szCs w:val="20"/>
          <w:color w:val="454546"/>
        </w:rPr>
        <w:t>R&amp;D expenses decreased 11.6% to $26.3 million in 2025 from $29.7 million in</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2024. The decrease in R&amp;D expenses is primarily attributable to reductions in payroll and related personnel expenses of $2.6 million following headcount optimization actions, a reduction of discretionary travel spending of $0.3 million and also reduced third-party product development costs.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i w:val="1"/>
          <w:iCs w:val="1"/>
          <w:color w:val="454546"/>
        </w:rPr>
        <w:t xml:space="preserve">Selling, general and administrative ("SG&amp;A") expenses. </w:t>
      </w:r>
      <w:r>
        <w:rPr>
          <w:rFonts w:ascii="Times New Roman" w:cs="Times New Roman" w:eastAsia="Times New Roman" w:hAnsi="Times New Roman"/>
          <w:sz w:val="20"/>
          <w:szCs w:val="20"/>
          <w:color w:val="454546"/>
        </w:rPr>
        <w:t>SG&amp;A expenses decreased 7.0% to $85.4 million in 2025 from $91.8</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million in 2024. The decrease in operating expenses primarily reflects lower volume-driven expenses of approximately $2.2 million, consistent with the decline in sales volume during the year. The Company has also implemented cost-reduction initiatives, including organizational rightsizing efforts, which resulted in savings from headcount reductions. People-related expenses decreased by approximately $4.8 million. These reductions were further complemented by approximately $2.8 million of lower discretionary spending, including reductions in travel, software, and professional service expenses. These cost savings were partially offset by certain one-time charges incurred during the year, including $1.3 million related to the abandonment of office space in Carlsbad, California and $2.6 million of severance costs associated with the Company’s global reduction in force.</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i w:val="1"/>
          <w:iCs w:val="1"/>
          <w:color w:val="454546"/>
        </w:rPr>
        <w:t xml:space="preserve">Factory restructuring charges. </w:t>
      </w:r>
      <w:r>
        <w:rPr>
          <w:rFonts w:ascii="Times New Roman" w:cs="Times New Roman" w:eastAsia="Times New Roman" w:hAnsi="Times New Roman"/>
          <w:sz w:val="20"/>
          <w:szCs w:val="20"/>
          <w:color w:val="454546"/>
        </w:rPr>
        <w:t>During the year ended December 31, 2025, we recorded $1.2 million in expense, including</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severance and moving costs associated with the closure of our factory in Mexico. During the year ended December 31, 2024, we recorded $3.6 million in expense, including severance and other closure related activities pertaining to our southern PRC factory, and moving costs associated with the transfer of equipment from our Mexico factory to our facility in Vietnam.</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i w:val="1"/>
          <w:iCs w:val="1"/>
          <w:color w:val="454546"/>
        </w:rPr>
        <w:t xml:space="preserve">Legal judgment. </w:t>
      </w:r>
      <w:r>
        <w:rPr>
          <w:rFonts w:ascii="Times New Roman" w:cs="Times New Roman" w:eastAsia="Times New Roman" w:hAnsi="Times New Roman"/>
          <w:sz w:val="20"/>
          <w:szCs w:val="20"/>
          <w:color w:val="454546"/>
        </w:rPr>
        <w:t>During the year ended December 31, 2024, we recorded $4.2 million in expense, relating to an adverse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judgment against one of our subsidiaries located in the PRC.</w:t>
      </w:r>
    </w:p>
    <w:p>
      <w:pPr>
        <w:spacing w:after="0" w:line="17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i w:val="1"/>
          <w:iCs w:val="1"/>
          <w:color w:val="454546"/>
        </w:rPr>
        <w:t xml:space="preserve">Interest income (expense), net. </w:t>
      </w:r>
      <w:r>
        <w:rPr>
          <w:rFonts w:ascii="Times New Roman" w:cs="Times New Roman" w:eastAsia="Times New Roman" w:hAnsi="Times New Roman"/>
          <w:sz w:val="20"/>
          <w:szCs w:val="20"/>
          <w:color w:val="454546"/>
        </w:rPr>
        <w:t>Net interest expense decreased to $0.9 million in 2025 from $3.4 million in 2024, primarily as a</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result of a lower average loan balance and lower interest rates.</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i w:val="1"/>
          <w:iCs w:val="1"/>
          <w:color w:val="454546"/>
        </w:rPr>
        <w:t xml:space="preserve">Other income (expense), net. </w:t>
      </w:r>
      <w:r>
        <w:rPr>
          <w:rFonts w:ascii="Times New Roman" w:cs="Times New Roman" w:eastAsia="Times New Roman" w:hAnsi="Times New Roman"/>
          <w:sz w:val="20"/>
          <w:szCs w:val="20"/>
          <w:color w:val="454546"/>
        </w:rPr>
        <w:t>Other income, net was $4.6 million in 2025, from $0.1 million in 2024. The deterioration was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primarily due to an increase in net foreign currency losses.</w:t>
      </w:r>
    </w:p>
    <w:p>
      <w:pPr>
        <w:spacing w:after="0" w:line="17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i w:val="1"/>
          <w:iCs w:val="1"/>
          <w:color w:val="454546"/>
        </w:rPr>
        <w:t xml:space="preserve">Provision for income taxes. </w:t>
      </w:r>
      <w:r>
        <w:rPr>
          <w:rFonts w:ascii="Times New Roman" w:cs="Times New Roman" w:eastAsia="Times New Roman" w:hAnsi="Times New Roman"/>
          <w:sz w:val="20"/>
          <w:szCs w:val="20"/>
          <w:color w:val="454546"/>
        </w:rPr>
        <w:t>Income tax expense was $6.6 million in 2025 compared to $5.4 million in 2024. Our effective tax</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rate in 2025 and 2024, (55.5)% and (29.2)%, respectively, differs from the U.S. statutory rate of 21% primarily as a result of our jurisdictional mix of pre-tax income/loss, as well as losses incurred in the U.S. which are not benefited due to a valuation allowance.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Liquidity and Capital Resources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Sources of Cash</w:t>
      </w:r>
    </w:p>
    <w:p>
      <w:pPr>
        <w:spacing w:after="0" w:line="2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While we incurred a loss from operations of $6.4 million in 2025 and $15.3 million in 2024, 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1520" w:type="dxa"/>
            <w:vAlign w:val="bottom"/>
            <w:tcBorders>
              <w:bottom w:val="single" w:sz="8" w:color="454546"/>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840" w:type="dxa"/>
            <w:vAlign w:val="bottom"/>
            <w:tcBorders>
              <w:bottom w:val="single" w:sz="8" w:color="454546"/>
            </w:tcBorders>
          </w:tcPr>
          <w:p>
            <w:pPr>
              <w:spacing w:after="0"/>
              <w:rPr>
                <w:sz w:val="18"/>
                <w:szCs w:val="18"/>
                <w:color w:val="auto"/>
              </w:rPr>
            </w:pPr>
          </w:p>
        </w:tc>
      </w:tr>
      <w:tr>
        <w:trPr>
          <w:trHeight w:val="235"/>
        </w:trPr>
        <w:tc>
          <w:tcPr>
            <w:tcW w:w="75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460" w:type="dxa"/>
            <w:vAlign w:val="bottom"/>
            <w:tcBorders>
              <w:bottom w:val="single" w:sz="8" w:color="454546"/>
            </w:tcBorders>
          </w:tcPr>
          <w:p>
            <w:pPr>
              <w:spacing w:after="0"/>
              <w:rPr>
                <w:sz w:val="20"/>
                <w:szCs w:val="20"/>
                <w:color w:val="auto"/>
              </w:rPr>
            </w:pPr>
          </w:p>
        </w:tc>
        <w:tc>
          <w:tcPr>
            <w:tcW w:w="840" w:type="dxa"/>
            <w:vAlign w:val="bottom"/>
            <w:tcBorders>
              <w:bottom w:val="single" w:sz="8" w:color="454546"/>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454546"/>
                <w:w w:val="99"/>
              </w:rPr>
              <w:t>2024</w:t>
            </w:r>
          </w:p>
        </w:tc>
      </w:tr>
      <w:tr>
        <w:trPr>
          <w:trHeight w:val="290"/>
        </w:trPr>
        <w:tc>
          <w:tcPr>
            <w:tcW w:w="75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Cash and cash equivalents</w:t>
            </w: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32,306</w:t>
            </w:r>
          </w:p>
        </w:tc>
        <w:tc>
          <w:tcPr>
            <w:tcW w:w="540" w:type="dxa"/>
            <w:vAlign w:val="bottom"/>
            <w:gridSpan w:val="2"/>
            <w:shd w:val="clear" w:color="auto" w:fill="E3E4E5"/>
          </w:tcPr>
          <w:p>
            <w:pPr>
              <w:jc w:val="right"/>
              <w:ind w:right="3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26,783</w:t>
            </w:r>
          </w:p>
        </w:tc>
      </w:tr>
      <w:tr>
        <w:trPr>
          <w:trHeight w:val="287"/>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Available borrowing resources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42,459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32,300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-397510</wp:posOffset>
            </wp:positionV>
            <wp:extent cx="175577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38</w:t>
      </w:r>
    </w:p>
    <w:p>
      <w:pPr>
        <w:sectPr>
          <w:pgSz w:w="11880" w:h="15480" w:orient="portrait"/>
          <w:cols w:equalWidth="0" w:num="1">
            <w:col w:w="10260"/>
          </w:cols>
          <w:pgMar w:left="820" w:top="613" w:right="800" w:bottom="0" w:gutter="0" w:footer="0" w:header="0"/>
          <w:type w:val="continuous"/>
        </w:sectPr>
      </w:pPr>
    </w:p>
    <w:bookmarkStart w:id="42" w:name="page43"/>
    <w:bookmarkEnd w:id="42"/>
    <w:p>
      <w:pPr>
        <w:jc w:val="both"/>
        <w:ind w:firstLine="720"/>
        <w:spacing w:after="0" w:line="262" w:lineRule="auto"/>
        <w:rPr>
          <w:sz w:val="20"/>
          <w:szCs w:val="20"/>
          <w:color w:val="auto"/>
        </w:rPr>
      </w:pPr>
      <w:r>
        <w:rPr>
          <w:rFonts w:ascii="Times New Roman" w:cs="Times New Roman" w:eastAsia="Times New Roman" w:hAnsi="Times New Roman"/>
          <w:sz w:val="20"/>
          <w:szCs w:val="20"/>
          <w:i w:val="1"/>
          <w:iCs w:val="1"/>
          <w:color w:val="454546"/>
        </w:rPr>
        <w:t xml:space="preserve">Cash and cash equivalents </w:t>
      </w:r>
      <w:r>
        <w:rPr>
          <w:rFonts w:ascii="Times New Roman" w:cs="Times New Roman" w:eastAsia="Times New Roman" w:hAnsi="Times New Roman"/>
          <w:sz w:val="20"/>
          <w:szCs w:val="20"/>
          <w:color w:val="454546"/>
        </w:rPr>
        <w:t>– At December 31, 2025, we had $1.6 million, $9.0 million, $4.6 million, $10.0 million and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$7.2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192"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i w:val="1"/>
          <w:iCs w:val="1"/>
          <w:color w:val="454546"/>
        </w:rPr>
        <w:t xml:space="preserve">Available Borrowing Resources </w:t>
      </w:r>
      <w:r>
        <w:rPr>
          <w:rFonts w:ascii="Times New Roman" w:cs="Times New Roman" w:eastAsia="Times New Roman" w:hAnsi="Times New Roman"/>
          <w:sz w:val="20"/>
          <w:szCs w:val="20"/>
          <w:color w:val="454546"/>
        </w:rPr>
        <w:t>– Our Second Amended and Restated Credit Agreement ("Second Amended Credit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Agreement") with U.S. Bank National Association ("U.S. Bank") provides for a revolving line of credit ("U.S. Credit Line") that expires on September 30, 2027. The U.S. Credit Line has a maximum availability up to $60.0 million, subject to meeting certain financial conditions. Availability is based on Borrowing Base defined as 75% of accounts receivable aged less than 90 days less reserves for doubtful accounts and returns. The Borrowing Base is calculated monthly. At December 31, 2025, the U.S. Credit Line total availability was $48.5 million. At February 24, 2026, the U.S. Credit Line total availability was $47.1 million.</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 U.S. Credit Line may be used for working capital and other general corporate purposes including acquisitions, share repurchases and capital expenditures. Amounts available for borrowing under the U.S. Credit Line are reduced by the balance of any outstanding letters of credit, of which there were $0.5 million at December 31, 2025. At December 31, 2025, we had an outstanding balance of $5.5 million on our U.S. Credit Line and $42.5 million of availability.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Our subsidiary, Gemstar Technology (Yangzhou) Co. Ltd. ("GTY"), has a Line of Credit Agreement ("Line of Credit Agreement") with the Bank of China, which provides for a revolving line of credit ("China Credit Line" and, together with the U.S. Credit Line, "Credit Lines") through July 16, 2026. We expect to renew the Line of Credit Agreement with the Bank of China prior to its expiration; however, no assurance can be given that future financing will be available or, if available, that we will be offered terms satisfactory to us. The China Credit Line has a maximum availability up to RMB 130.0 million (approximately $18.6 million), subject to meeting certain financial conditions.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 China Credit Line may be used for working capital purposes. Amounts available for borrowing under the China Credit Line are reduced by the balance of any outstanding letters of credit, of which there were none at December 31, 2025. At December 31, 2025, we had an outstanding balance of RMB 130.0 million (approximately $18.6 million) on our China Credit Line and no remaining availability.</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See "ITEM 8. FINANCIAL STATEMENTS AND SUPPLEMENTARY DATA - Notes to Consolidated Financial Statements - Note 9" for further information regarding our Credit Lines.</w:t>
      </w:r>
    </w:p>
    <w:p>
      <w:pPr>
        <w:sectPr>
          <w:pgSz w:w="11880" w:h="15480" w:orient="portrait"/>
          <w:cols w:equalWidth="0" w:num="1">
            <w:col w:w="10260"/>
          </w:cols>
          <w:pgMar w:left="820" w:top="609" w:right="800" w:bottom="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Uses of Cash</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cash flows were as follows:</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540500" cy="215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Cash provided by (used for) operating activities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Cash provided by (used for) investing activities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Cash provided by (used for) financing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-139700</wp:posOffset>
                </wp:positionV>
                <wp:extent cx="6514465" cy="1898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9865"/>
                        </a:xfrm>
                        <a:prstGeom prst="rect">
                          <a:avLst/>
                        </a:prstGeom>
                        <a:solidFill>
                          <a:srgbClr val="E3E4E5"/>
                        </a:solidFill>
                      </wps:spPr>
                      <wps:bodyPr/>
                    </wps:wsp>
                  </a:graphicData>
                </a:graphic>
              </wp:anchor>
            </w:drawing>
          </mc:Choice>
          <mc:Fallback>
            <w:pict>
              <v:rect id="Shape 35" o:spid="_x0000_s1060" style="position:absolute;margin-left:-0.4499pt;margin-top:-11pt;width:512.9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40" w:right="80"/>
        <w:spacing w:after="0"/>
        <w:rPr>
          <w:sz w:val="20"/>
          <w:szCs w:val="20"/>
          <w:color w:val="auto"/>
        </w:rPr>
      </w:pPr>
      <w:r>
        <w:rPr>
          <w:rFonts w:ascii="Times New Roman" w:cs="Times New Roman" w:eastAsia="Times New Roman" w:hAnsi="Times New Roman"/>
          <w:sz w:val="20"/>
          <w:szCs w:val="20"/>
          <w:color w:val="454546"/>
        </w:rPr>
        <w:t>Effect of foreign currency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540500" cy="254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extLst>
                    </a:blip>
                    <a:srcRect/>
                    <a:stretch>
                      <a:fillRect/>
                    </a:stretch>
                  </pic:blipFill>
                  <pic:spPr bwMode="auto">
                    <a:xfrm>
                      <a:off x="0" y="0"/>
                      <a:ext cx="6540500" cy="25400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0"/>
          <w:szCs w:val="20"/>
          <w:color w:val="454546"/>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540500" cy="215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Cash and cash equivalents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Working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454546"/>
                <w:w w:val="99"/>
              </w:rPr>
              <w:t>Year Ended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47"/>
              <w:spacing w:after="0"/>
              <w:rPr>
                <w:sz w:val="20"/>
                <w:szCs w:val="20"/>
                <w:color w:val="auto"/>
              </w:rPr>
            </w:pPr>
            <w:r>
              <w:rPr>
                <w:rFonts w:ascii="Times New Roman" w:cs="Times New Roman" w:eastAsia="Times New Roman" w:hAnsi="Times New Roman"/>
                <w:sz w:val="16"/>
                <w:szCs w:val="16"/>
                <w:b w:val="1"/>
                <w:bCs w:val="1"/>
                <w:color w:val="454546"/>
              </w:rPr>
              <w:t>Increase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454546"/>
                <w:w w:val="99"/>
              </w:rPr>
              <w:t>Year Ended</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11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December 31,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December 31,</w:t>
            </w:r>
          </w:p>
        </w:tc>
        <w:tc>
          <w:tcPr>
            <w:tcW w:w="0" w:type="dxa"/>
            <w:vAlign w:val="bottom"/>
          </w:tcPr>
          <w:p>
            <w:pPr>
              <w:spacing w:after="0"/>
              <w:rPr>
                <w:sz w:val="1"/>
                <w:szCs w:val="1"/>
                <w:color w:val="auto"/>
              </w:rPr>
            </w:pPr>
          </w:p>
        </w:tc>
      </w:tr>
      <w:tr>
        <w:trPr>
          <w:trHeight w:val="214"/>
        </w:trPr>
        <w:tc>
          <w:tcPr>
            <w:tcW w:w="180" w:type="dxa"/>
            <w:vAlign w:val="bottom"/>
            <w:tcBorders>
              <w:bottom w:val="single" w:sz="8" w:color="454546"/>
            </w:tcBorders>
          </w:tcPr>
          <w:p>
            <w:pPr>
              <w:spacing w:after="0"/>
              <w:rPr>
                <w:sz w:val="18"/>
                <w:szCs w:val="18"/>
                <w:color w:val="auto"/>
              </w:rPr>
            </w:pPr>
          </w:p>
        </w:tc>
        <w:tc>
          <w:tcPr>
            <w:tcW w:w="1140" w:type="dxa"/>
            <w:vAlign w:val="bottom"/>
            <w:tcBorders>
              <w:bottom w:val="single" w:sz="8" w:color="454546"/>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454546"/>
                <w:w w:val="99"/>
              </w:rPr>
              <w:t>2025</w:t>
            </w:r>
          </w:p>
        </w:tc>
        <w:tc>
          <w:tcPr>
            <w:tcW w:w="60" w:type="dxa"/>
            <w:vAlign w:val="bottom"/>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1100" w:type="dxa"/>
            <w:vAlign w:val="bottom"/>
            <w:tcBorders>
              <w:bottom w:val="single" w:sz="8" w:color="454546"/>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454546"/>
                <w:w w:val="99"/>
              </w:rPr>
              <w:t>(Decrease)</w:t>
            </w:r>
          </w:p>
        </w:tc>
        <w:tc>
          <w:tcPr>
            <w:tcW w:w="60" w:type="dxa"/>
            <w:vAlign w:val="bottom"/>
          </w:tcPr>
          <w:p>
            <w:pPr>
              <w:spacing w:after="0"/>
              <w:rPr>
                <w:sz w:val="18"/>
                <w:szCs w:val="18"/>
                <w:color w:val="auto"/>
              </w:rPr>
            </w:pPr>
          </w:p>
        </w:tc>
        <w:tc>
          <w:tcPr>
            <w:tcW w:w="180" w:type="dxa"/>
            <w:vAlign w:val="bottom"/>
            <w:tcBorders>
              <w:bottom w:val="single" w:sz="8" w:color="454546"/>
            </w:tcBorders>
          </w:tcPr>
          <w:p>
            <w:pPr>
              <w:spacing w:after="0"/>
              <w:rPr>
                <w:sz w:val="18"/>
                <w:szCs w:val="18"/>
                <w:color w:val="auto"/>
              </w:rPr>
            </w:pPr>
          </w:p>
        </w:tc>
        <w:tc>
          <w:tcPr>
            <w:tcW w:w="1140" w:type="dxa"/>
            <w:vAlign w:val="bottom"/>
            <w:tcBorders>
              <w:bottom w:val="single" w:sz="8" w:color="454546"/>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454546"/>
                <w:w w:val="99"/>
              </w:rPr>
              <w:t>2024</w:t>
            </w:r>
          </w:p>
        </w:tc>
        <w:tc>
          <w:tcPr>
            <w:tcW w:w="0" w:type="dxa"/>
            <w:vAlign w:val="bottom"/>
          </w:tcPr>
          <w:p>
            <w:pPr>
              <w:spacing w:after="0"/>
              <w:rPr>
                <w:sz w:val="1"/>
                <w:szCs w:val="1"/>
                <w:color w:val="auto"/>
              </w:rPr>
            </w:pPr>
          </w:p>
        </w:tc>
      </w:tr>
      <w:tr>
        <w:trPr>
          <w:trHeight w:val="277"/>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23,626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8,804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14,822</w:t>
            </w:r>
          </w:p>
        </w:tc>
        <w:tc>
          <w:tcPr>
            <w:tcW w:w="0" w:type="dxa"/>
            <w:vAlign w:val="bottom"/>
          </w:tcPr>
          <w:p>
            <w:pPr>
              <w:spacing w:after="0"/>
              <w:rPr>
                <w:sz w:val="1"/>
                <w:szCs w:val="1"/>
                <w:color w:val="auto"/>
              </w:rPr>
            </w:pPr>
          </w:p>
        </w:tc>
      </w:tr>
      <w:tr>
        <w:trPr>
          <w:trHeight w:val="300"/>
        </w:trPr>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(6,751)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1,677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(8,428)</w:t>
            </w:r>
          </w:p>
        </w:tc>
        <w:tc>
          <w:tcPr>
            <w:tcW w:w="0" w:type="dxa"/>
            <w:vAlign w:val="bottom"/>
          </w:tcPr>
          <w:p>
            <w:pPr>
              <w:spacing w:after="0"/>
              <w:rPr>
                <w:sz w:val="1"/>
                <w:szCs w:val="1"/>
                <w:color w:val="auto"/>
              </w:rPr>
            </w:pPr>
          </w:p>
        </w:tc>
      </w:tr>
      <w:tr>
        <w:trPr>
          <w:trHeight w:val="300"/>
        </w:trPr>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(16,658)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3,106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(19,764)</w:t>
            </w:r>
          </w:p>
        </w:tc>
        <w:tc>
          <w:tcPr>
            <w:tcW w:w="0" w:type="dxa"/>
            <w:vAlign w:val="bottom"/>
          </w:tcPr>
          <w:p>
            <w:pPr>
              <w:spacing w:after="0"/>
              <w:rPr>
                <w:sz w:val="1"/>
                <w:szCs w:val="1"/>
                <w:color w:val="auto"/>
              </w:rPr>
            </w:pPr>
          </w:p>
        </w:tc>
      </w:tr>
      <w:tr>
        <w:trPr>
          <w:trHeight w:val="483"/>
        </w:trPr>
        <w:tc>
          <w:tcPr>
            <w:tcW w:w="18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8"/>
              <w:spacing w:after="0"/>
              <w:rPr>
                <w:sz w:val="20"/>
                <w:szCs w:val="20"/>
                <w:color w:val="auto"/>
              </w:rPr>
            </w:pPr>
            <w:r>
              <w:rPr>
                <w:rFonts w:ascii="Times New Roman" w:cs="Times New Roman" w:eastAsia="Times New Roman" w:hAnsi="Times New Roman"/>
                <w:sz w:val="20"/>
                <w:szCs w:val="20"/>
                <w:color w:val="454546"/>
              </w:rPr>
              <w:t>5,306</w:t>
            </w:r>
          </w:p>
        </w:tc>
        <w:tc>
          <w:tcPr>
            <w:tcW w:w="60" w:type="dxa"/>
            <w:vAlign w:val="bottom"/>
          </w:tcPr>
          <w:p>
            <w:pPr>
              <w:spacing w:after="0"/>
              <w:rPr>
                <w:sz w:val="24"/>
                <w:szCs w:val="24"/>
                <w:color w:val="auto"/>
              </w:rPr>
            </w:pPr>
          </w:p>
        </w:tc>
        <w:tc>
          <w:tcPr>
            <w:tcW w:w="220" w:type="dxa"/>
            <w:vAlign w:val="bottom"/>
            <w:tcBorders>
              <w:bottom w:val="single" w:sz="8" w:color="454546"/>
            </w:tcBorders>
          </w:tcPr>
          <w:p>
            <w:pPr>
              <w:spacing w:after="0"/>
              <w:rPr>
                <w:sz w:val="24"/>
                <w:szCs w:val="24"/>
                <w:color w:val="auto"/>
              </w:rPr>
            </w:pPr>
          </w:p>
        </w:tc>
        <w:tc>
          <w:tcPr>
            <w:tcW w:w="1100" w:type="dxa"/>
            <w:vAlign w:val="bottom"/>
            <w:tcBorders>
              <w:bottom w:val="single" w:sz="8" w:color="454546"/>
            </w:tcBorders>
          </w:tcPr>
          <w:p>
            <w:pPr>
              <w:jc w:val="right"/>
              <w:ind w:right="7"/>
              <w:spacing w:after="0"/>
              <w:rPr>
                <w:sz w:val="20"/>
                <w:szCs w:val="20"/>
                <w:color w:val="auto"/>
              </w:rPr>
            </w:pPr>
            <w:r>
              <w:rPr>
                <w:rFonts w:ascii="Times New Roman" w:cs="Times New Roman" w:eastAsia="Times New Roman" w:hAnsi="Times New Roman"/>
                <w:sz w:val="20"/>
                <w:szCs w:val="20"/>
                <w:color w:val="454546"/>
              </w:rPr>
              <w:t>7,904</w:t>
            </w:r>
          </w:p>
        </w:tc>
        <w:tc>
          <w:tcPr>
            <w:tcW w:w="60" w:type="dxa"/>
            <w:vAlign w:val="bottom"/>
          </w:tcPr>
          <w:p>
            <w:pPr>
              <w:spacing w:after="0"/>
              <w:rPr>
                <w:sz w:val="24"/>
                <w:szCs w:val="24"/>
                <w:color w:val="auto"/>
              </w:rPr>
            </w:pPr>
          </w:p>
        </w:tc>
        <w:tc>
          <w:tcPr>
            <w:tcW w:w="18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(2,598)</w:t>
            </w:r>
          </w:p>
        </w:tc>
        <w:tc>
          <w:tcPr>
            <w:tcW w:w="0" w:type="dxa"/>
            <w:vAlign w:val="bottom"/>
          </w:tcPr>
          <w:p>
            <w:pPr>
              <w:spacing w:after="0"/>
              <w:rPr>
                <w:sz w:val="1"/>
                <w:szCs w:val="1"/>
                <w:color w:val="auto"/>
              </w:rPr>
            </w:pPr>
          </w:p>
        </w:tc>
      </w:tr>
      <w:tr>
        <w:trPr>
          <w:trHeight w:val="260"/>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5,523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21,491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(15,968)</w:t>
            </w:r>
          </w:p>
        </w:tc>
        <w:tc>
          <w:tcPr>
            <w:tcW w:w="0" w:type="dxa"/>
            <w:vAlign w:val="bottom"/>
          </w:tcPr>
          <w:p>
            <w:pPr>
              <w:spacing w:after="0"/>
              <w:rPr>
                <w:sz w:val="1"/>
                <w:szCs w:val="1"/>
                <w:color w:val="auto"/>
              </w:rPr>
            </w:pPr>
          </w:p>
        </w:tc>
      </w:tr>
      <w:tr>
        <w:trPr>
          <w:trHeight w:val="20"/>
        </w:trPr>
        <w:tc>
          <w:tcPr>
            <w:tcW w:w="18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11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180" w:type="dxa"/>
            <w:vAlign w:val="bottom"/>
          </w:tcPr>
          <w:p>
            <w:pPr>
              <w:spacing w:after="0"/>
              <w:rPr>
                <w:sz w:val="24"/>
                <w:szCs w:val="24"/>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454546"/>
                <w:w w:val="98"/>
              </w:rPr>
              <w:t>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454546"/>
              </w:rPr>
              <w:t>Increase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454546"/>
                <w:w w:val="98"/>
              </w:rPr>
              <w:t>December 31,</w:t>
            </w:r>
          </w:p>
        </w:tc>
        <w:tc>
          <w:tcPr>
            <w:tcW w:w="0" w:type="dxa"/>
            <w:vAlign w:val="bottom"/>
          </w:tcPr>
          <w:p>
            <w:pPr>
              <w:spacing w:after="0"/>
              <w:rPr>
                <w:sz w:val="1"/>
                <w:szCs w:val="1"/>
                <w:color w:val="auto"/>
              </w:rPr>
            </w:pPr>
          </w:p>
        </w:tc>
      </w:tr>
      <w:tr>
        <w:trPr>
          <w:trHeight w:val="214"/>
        </w:trPr>
        <w:tc>
          <w:tcPr>
            <w:tcW w:w="180" w:type="dxa"/>
            <w:vAlign w:val="bottom"/>
            <w:tcBorders>
              <w:bottom w:val="single" w:sz="8" w:color="454546"/>
            </w:tcBorders>
          </w:tcPr>
          <w:p>
            <w:pPr>
              <w:spacing w:after="0"/>
              <w:rPr>
                <w:sz w:val="18"/>
                <w:szCs w:val="18"/>
                <w:color w:val="auto"/>
              </w:rPr>
            </w:pPr>
          </w:p>
        </w:tc>
        <w:tc>
          <w:tcPr>
            <w:tcW w:w="1140" w:type="dxa"/>
            <w:vAlign w:val="bottom"/>
            <w:tcBorders>
              <w:bottom w:val="single" w:sz="8" w:color="454546"/>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454546"/>
                <w:w w:val="99"/>
              </w:rPr>
              <w:t>2025</w:t>
            </w:r>
          </w:p>
        </w:tc>
        <w:tc>
          <w:tcPr>
            <w:tcW w:w="60" w:type="dxa"/>
            <w:vAlign w:val="bottom"/>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1100" w:type="dxa"/>
            <w:vAlign w:val="bottom"/>
            <w:tcBorders>
              <w:bottom w:val="single" w:sz="8" w:color="454546"/>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454546"/>
                <w:w w:val="99"/>
              </w:rPr>
              <w:t>(Decrease)</w:t>
            </w:r>
          </w:p>
        </w:tc>
        <w:tc>
          <w:tcPr>
            <w:tcW w:w="60" w:type="dxa"/>
            <w:vAlign w:val="bottom"/>
          </w:tcPr>
          <w:p>
            <w:pPr>
              <w:spacing w:after="0"/>
              <w:rPr>
                <w:sz w:val="18"/>
                <w:szCs w:val="18"/>
                <w:color w:val="auto"/>
              </w:rPr>
            </w:pPr>
          </w:p>
        </w:tc>
        <w:tc>
          <w:tcPr>
            <w:tcW w:w="180" w:type="dxa"/>
            <w:vAlign w:val="bottom"/>
            <w:tcBorders>
              <w:bottom w:val="single" w:sz="8" w:color="454546"/>
            </w:tcBorders>
          </w:tcPr>
          <w:p>
            <w:pPr>
              <w:spacing w:after="0"/>
              <w:rPr>
                <w:sz w:val="18"/>
                <w:szCs w:val="18"/>
                <w:color w:val="auto"/>
              </w:rPr>
            </w:pPr>
          </w:p>
        </w:tc>
        <w:tc>
          <w:tcPr>
            <w:tcW w:w="1140" w:type="dxa"/>
            <w:vAlign w:val="bottom"/>
            <w:tcBorders>
              <w:bottom w:val="single" w:sz="8" w:color="454546"/>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454546"/>
                <w:w w:val="99"/>
              </w:rPr>
              <w:t>2024</w:t>
            </w:r>
          </w:p>
        </w:tc>
        <w:tc>
          <w:tcPr>
            <w:tcW w:w="0" w:type="dxa"/>
            <w:vAlign w:val="bottom"/>
          </w:tcPr>
          <w:p>
            <w:pPr>
              <w:spacing w:after="0"/>
              <w:rPr>
                <w:sz w:val="1"/>
                <w:szCs w:val="1"/>
                <w:color w:val="auto"/>
              </w:rPr>
            </w:pPr>
          </w:p>
        </w:tc>
      </w:tr>
      <w:tr>
        <w:trPr>
          <w:trHeight w:val="277"/>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32,306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5,523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26,783</w:t>
            </w:r>
          </w:p>
        </w:tc>
        <w:tc>
          <w:tcPr>
            <w:tcW w:w="0" w:type="dxa"/>
            <w:vAlign w:val="bottom"/>
          </w:tcPr>
          <w:p>
            <w:pPr>
              <w:spacing w:after="0"/>
              <w:rPr>
                <w:sz w:val="1"/>
                <w:szCs w:val="1"/>
                <w:color w:val="auto"/>
              </w:rPr>
            </w:pPr>
          </w:p>
        </w:tc>
      </w:tr>
      <w:tr>
        <w:trPr>
          <w:trHeight w:val="300"/>
        </w:trPr>
        <w:tc>
          <w:tcPr>
            <w:tcW w:w="18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85,809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1,606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84,203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5460" w:space="720"/>
            <w:col w:w="4080"/>
          </w:cols>
          <w:pgMar w:left="820" w:top="609" w:right="800" w:bottom="0" w:gutter="0" w:footer="0" w:header="0"/>
          <w:type w:val="continuous"/>
        </w:sectPr>
      </w:pPr>
    </w:p>
    <w:p>
      <w:pPr>
        <w:spacing w:after="0" w:line="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i w:val="1"/>
          <w:iCs w:val="1"/>
          <w:color w:val="454546"/>
        </w:rPr>
        <w:t xml:space="preserve">Net cash provided by operating activities </w:t>
      </w:r>
      <w:r>
        <w:rPr>
          <w:rFonts w:ascii="Times New Roman" w:cs="Times New Roman" w:eastAsia="Times New Roman" w:hAnsi="Times New Roman"/>
          <w:sz w:val="20"/>
          <w:szCs w:val="20"/>
          <w:color w:val="454546"/>
        </w:rPr>
        <w:t>was $23.6 million during 2025 compared to $14.8 million during 2024. Net loss was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$18.6 million for the year ended December 31, 2025 compared to $24.0 million for the year ended December 31, 2024.</w:t>
      </w:r>
    </w:p>
    <w:p>
      <w:pPr>
        <w:sectPr>
          <w:pgSz w:w="11880" w:h="15480" w:orient="portrait"/>
          <w:cols w:equalWidth="0" w:num="1">
            <w:col w:w="10260"/>
          </w:cols>
          <w:pgMar w:left="820" w:top="609" w:right="800" w:bottom="0" w:gutter="0" w:footer="0" w:header="0"/>
          <w:type w:val="continuous"/>
        </w:sect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39</w:t>
      </w:r>
    </w:p>
    <w:p>
      <w:pPr>
        <w:sectPr>
          <w:pgSz w:w="11880" w:h="15480" w:orient="portrait"/>
          <w:cols w:equalWidth="0" w:num="1">
            <w:col w:w="10260"/>
          </w:cols>
          <w:pgMar w:left="820" w:top="609" w:right="800" w:bottom="0" w:gutter="0" w:footer="0" w:header="0"/>
          <w:type w:val="continuous"/>
        </w:sectPr>
      </w:pPr>
    </w:p>
    <w:bookmarkStart w:id="43" w:name="page44"/>
    <w:bookmarkEnd w:id="43"/>
    <w:p>
      <w:pPr>
        <w:jc w:val="both"/>
        <w:spacing w:after="0" w:line="252" w:lineRule="auto"/>
        <w:rPr>
          <w:sz w:val="20"/>
          <w:szCs w:val="20"/>
          <w:color w:val="auto"/>
        </w:rPr>
      </w:pPr>
      <w:r>
        <w:rPr>
          <w:rFonts w:ascii="Times New Roman" w:cs="Times New Roman" w:eastAsia="Times New Roman" w:hAnsi="Times New Roman"/>
          <w:sz w:val="20"/>
          <w:szCs w:val="20"/>
          <w:color w:val="454546"/>
        </w:rPr>
        <w:t>Depreciation and amortization was $14.2 million for the year ended December 31, 2025 compared to $18.1 million during the year ended December 31, 2024, due to decreased purchases of property, plant and equipment over recent years. Inventories decreased by $4.6 million during the year ended December 31, 2025 compared to a decrease of $6.2 million during the year ended December 31, 2024. The decreases in inventories in both years were consistent with the lower sales demand. Our inventory turns were 2.8 turns at December 31, 2025 compared to 3.0 turns at December 31, 2024. The decline in turns was primarily attributable to maintaining required safety stock levels amid lower sales demand. Changes in accounts receivables and contract assets resulted in cash inflows of $41.5 million during the year ended December 31, 2025 compared to cash outflows of $12.2 million during the year ended December 31, 2024, largely as a result of decreased sales and improved customer collections. Days sales outstanding were 75 days at December 31, 2025 compared to 81 days at December 31, 2024. Changes in accounts payable and accrued liabilities resulted in cash outflows of $33.2 million during the year ended December 31, 2025, due primarily to the timing of payments in the fourth quarter and the reduced inventory purchases associated with lower sales demand. Changes in accounts payable and accrued liabilities resulted in cash outflows of $15.7 million during the year ended December 31, 2024, due primarily to the timing of payments in the fourth quarter. Changes in accrued income taxes resulted in cash inflows of $1.9 million during the year ended December 31, 2025 compared to cash inflows of $1.3 million during the year ended December 31, 2024.</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i w:val="1"/>
          <w:iCs w:val="1"/>
          <w:color w:val="454546"/>
        </w:rPr>
        <w:t xml:space="preserve">Net cash used for investing activities </w:t>
      </w:r>
      <w:r>
        <w:rPr>
          <w:rFonts w:ascii="Times New Roman" w:cs="Times New Roman" w:eastAsia="Times New Roman" w:hAnsi="Times New Roman"/>
          <w:sz w:val="20"/>
          <w:szCs w:val="20"/>
          <w:color w:val="454546"/>
        </w:rPr>
        <w:t>during 2025 was $6.8 million, of which $3.9 million and $3.0 million was used for capital</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expenditures and the development of patents, respectively. Net cash used for investing activities during 2024 was $8.4 million, of which $4.5 million and $3.9 million was used for capital expenditures and the development of patents, respectively.</w:t>
      </w:r>
    </w:p>
    <w:p>
      <w:pPr>
        <w:spacing w:after="0" w:line="1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Future cash flows used for investing activities are largely dependent on the timing and amount of capital expenditures and the development of patents. We estimate that we will incur between $6.0 million and $8.0 million during 2026.</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i w:val="1"/>
          <w:iCs w:val="1"/>
          <w:color w:val="454546"/>
        </w:rPr>
        <w:t xml:space="preserve">Net cash used for financing activities </w:t>
      </w:r>
      <w:r>
        <w:rPr>
          <w:rFonts w:ascii="Times New Roman" w:cs="Times New Roman" w:eastAsia="Times New Roman" w:hAnsi="Times New Roman"/>
          <w:sz w:val="20"/>
          <w:szCs w:val="20"/>
          <w:color w:val="454546"/>
        </w:rPr>
        <w:t>was $16.7 million during 2025 compared to $19.8 million during 2024. The primary</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financing activities in 2025 and 2024 were borrowings and repayments on our Credit Lines and repurchases of shares of our common stock. Net repayments on our Credit Lines were $13.6 million in 2025 and $17.8 million in 2024. During 2025, we purchased 871,501 shares of our common stock at a cost of $3.1 million compared to 206,598 shares at a cost of $2.0 million during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"ITEM 8. FINANCIAL STATEMENTS AND SUPPLEMENTARY DATA - Notes to Consolidated Financial Statements - Note 14" for further information regarding our share repurchase programs.</w:t>
      </w:r>
    </w:p>
    <w:p>
      <w:pPr>
        <w:spacing w:after="0" w:line="200" w:lineRule="exact"/>
        <w:rPr>
          <w:sz w:val="20"/>
          <w:szCs w:val="20"/>
          <w:color w:val="auto"/>
        </w:rPr>
      </w:pPr>
    </w:p>
    <w:p>
      <w:pPr>
        <w:jc w:val="both"/>
        <w:ind w:firstLine="720"/>
        <w:spacing w:after="0" w:line="285" w:lineRule="auto"/>
        <w:rPr>
          <w:sz w:val="20"/>
          <w:szCs w:val="20"/>
          <w:color w:val="auto"/>
        </w:rPr>
      </w:pPr>
      <w:r>
        <w:rPr>
          <w:rFonts w:ascii="Times New Roman" w:cs="Times New Roman" w:eastAsia="Times New Roman" w:hAnsi="Times New Roman"/>
          <w:sz w:val="20"/>
          <w:szCs w:val="20"/>
          <w:i w:val="1"/>
          <w:iCs w:val="1"/>
          <w:color w:val="454546"/>
        </w:rPr>
        <w:t xml:space="preserve">Material Cash Commitments </w:t>
      </w:r>
      <w:r>
        <w:rPr>
          <w:rFonts w:ascii="Times New Roman" w:cs="Times New Roman" w:eastAsia="Times New Roman" w:hAnsi="Times New Roman"/>
          <w:sz w:val="20"/>
          <w:szCs w:val="20"/>
          <w:color w:val="454546"/>
        </w:rPr>
        <w:t>– The following table summarizes our material cash commitments and the effect these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commitments are expected to have on our cash flows in future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260" w:type="dxa"/>
            <w:vAlign w:val="bottom"/>
            <w:tcBorders>
              <w:bottom w:val="single" w:sz="8" w:color="454546"/>
            </w:tcBorders>
          </w:tcPr>
          <w:p>
            <w:pPr>
              <w:spacing w:after="0"/>
              <w:rPr>
                <w:sz w:val="18"/>
                <w:szCs w:val="18"/>
                <w:color w:val="auto"/>
              </w:rPr>
            </w:pPr>
          </w:p>
        </w:tc>
        <w:tc>
          <w:tcPr>
            <w:tcW w:w="840" w:type="dxa"/>
            <w:vAlign w:val="bottom"/>
            <w:tcBorders>
              <w:bottom w:val="single" w:sz="8" w:color="454546"/>
            </w:tcBorders>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200" w:type="dxa"/>
            <w:vAlign w:val="bottom"/>
            <w:tcBorders>
              <w:bottom w:val="single" w:sz="8" w:color="454546"/>
            </w:tcBorders>
          </w:tcPr>
          <w:p>
            <w:pPr>
              <w:spacing w:after="0"/>
              <w:rPr>
                <w:sz w:val="18"/>
                <w:szCs w:val="18"/>
                <w:color w:val="auto"/>
              </w:rPr>
            </w:pPr>
          </w:p>
        </w:tc>
        <w:tc>
          <w:tcPr>
            <w:tcW w:w="2440" w:type="dxa"/>
            <w:vAlign w:val="bottom"/>
            <w:tcBorders>
              <w:bottom w:val="single" w:sz="8" w:color="454546"/>
            </w:tcBorders>
            <w:gridSpan w:val="6"/>
          </w:tcPr>
          <w:p>
            <w:pPr>
              <w:jc w:val="center"/>
              <w:ind w:left="507"/>
              <w:spacing w:after="0"/>
              <w:rPr>
                <w:sz w:val="20"/>
                <w:szCs w:val="20"/>
                <w:color w:val="auto"/>
              </w:rPr>
            </w:pPr>
            <w:r>
              <w:rPr>
                <w:rFonts w:ascii="Times New Roman" w:cs="Times New Roman" w:eastAsia="Times New Roman" w:hAnsi="Times New Roman"/>
                <w:sz w:val="16"/>
                <w:szCs w:val="16"/>
                <w:b w:val="1"/>
                <w:bCs w:val="1"/>
                <w:color w:val="454546"/>
                <w:w w:val="99"/>
              </w:rPr>
              <w:t>Payments Due by Period</w:t>
            </w:r>
          </w:p>
        </w:tc>
        <w:tc>
          <w:tcPr>
            <w:tcW w:w="800" w:type="dxa"/>
            <w:vAlign w:val="bottom"/>
            <w:tcBorders>
              <w:bottom w:val="single" w:sz="8" w:color="454546"/>
            </w:tcBorders>
          </w:tcPr>
          <w:p>
            <w:pPr>
              <w:spacing w:after="0"/>
              <w:rPr>
                <w:sz w:val="18"/>
                <w:szCs w:val="18"/>
                <w:color w:val="auto"/>
              </w:rPr>
            </w:pPr>
          </w:p>
        </w:tc>
        <w:tc>
          <w:tcPr>
            <w:tcW w:w="80" w:type="dxa"/>
            <w:vAlign w:val="bottom"/>
            <w:tcBorders>
              <w:bottom w:val="single" w:sz="8" w:color="454546"/>
            </w:tcBorders>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880" w:type="dxa"/>
            <w:vAlign w:val="bottom"/>
            <w:tcBorders>
              <w:bottom w:val="single" w:sz="8" w:color="454546"/>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260" w:type="dxa"/>
            <w:vAlign w:val="bottom"/>
          </w:tcPr>
          <w:p>
            <w:pPr>
              <w:spacing w:after="0"/>
              <w:rPr>
                <w:sz w:val="16"/>
                <w:szCs w:val="16"/>
                <w:color w:val="auto"/>
              </w:rPr>
            </w:pPr>
          </w:p>
        </w:tc>
        <w:tc>
          <w:tcPr>
            <w:tcW w:w="84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454546"/>
              </w:rPr>
              <w:t>Total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454546"/>
              </w:rPr>
              <w:t>Less than</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454546"/>
                <w:w w:val="95"/>
              </w:rPr>
              <w:t>1 - 3</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454546"/>
              </w:rPr>
              <w:t>4 - 5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454546"/>
              </w:rPr>
              <w:t>After</w:t>
            </w:r>
          </w:p>
        </w:tc>
        <w:tc>
          <w:tcPr>
            <w:tcW w:w="0" w:type="dxa"/>
            <w:vAlign w:val="bottom"/>
          </w:tcPr>
          <w:p>
            <w:pPr>
              <w:spacing w:after="0"/>
              <w:rPr>
                <w:sz w:val="1"/>
                <w:szCs w:val="1"/>
                <w:color w:val="auto"/>
              </w:rPr>
            </w:pPr>
          </w:p>
        </w:tc>
      </w:tr>
      <w:tr>
        <w:trPr>
          <w:trHeight w:val="214"/>
        </w:trPr>
        <w:tc>
          <w:tcPr>
            <w:tcW w:w="4480" w:type="dxa"/>
            <w:vAlign w:val="bottom"/>
            <w:tcBorders>
              <w:bottom w:val="single" w:sz="8" w:color="E3E4E5"/>
            </w:tcBorders>
            <w:vMerge w:val="continue"/>
          </w:tcPr>
          <w:p>
            <w:pPr>
              <w:spacing w:after="0"/>
              <w:rPr>
                <w:sz w:val="18"/>
                <w:szCs w:val="18"/>
                <w:color w:val="auto"/>
              </w:rPr>
            </w:pPr>
          </w:p>
        </w:tc>
        <w:tc>
          <w:tcPr>
            <w:tcW w:w="260" w:type="dxa"/>
            <w:vAlign w:val="bottom"/>
            <w:tcBorders>
              <w:bottom w:val="single" w:sz="8" w:color="454546"/>
            </w:tcBorders>
          </w:tcPr>
          <w:p>
            <w:pPr>
              <w:spacing w:after="0"/>
              <w:rPr>
                <w:sz w:val="18"/>
                <w:szCs w:val="18"/>
                <w:color w:val="auto"/>
              </w:rPr>
            </w:pPr>
          </w:p>
        </w:tc>
        <w:tc>
          <w:tcPr>
            <w:tcW w:w="84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0" w:type="dxa"/>
            <w:vAlign w:val="bottom"/>
            <w:tcBorders>
              <w:bottom w:val="single" w:sz="8" w:color="454546"/>
            </w:tcBorders>
          </w:tcPr>
          <w:p>
            <w:pPr>
              <w:spacing w:after="0"/>
              <w:rPr>
                <w:sz w:val="18"/>
                <w:szCs w:val="18"/>
                <w:color w:val="auto"/>
              </w:rPr>
            </w:pPr>
          </w:p>
        </w:tc>
        <w:tc>
          <w:tcPr>
            <w:tcW w:w="900" w:type="dxa"/>
            <w:vAlign w:val="bottom"/>
            <w:tcBorders>
              <w:bottom w:val="single" w:sz="8" w:color="454546"/>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454546"/>
              </w:rPr>
              <w:t>1 year</w:t>
            </w:r>
          </w:p>
        </w:tc>
        <w:tc>
          <w:tcPr>
            <w:tcW w:w="80" w:type="dxa"/>
            <w:vAlign w:val="bottom"/>
            <w:tcBorders>
              <w:bottom w:val="single" w:sz="8" w:color="E3E4E5"/>
            </w:tcBorders>
          </w:tcPr>
          <w:p>
            <w:pPr>
              <w:spacing w:after="0"/>
              <w:rPr>
                <w:sz w:val="18"/>
                <w:szCs w:val="18"/>
                <w:color w:val="auto"/>
              </w:rPr>
            </w:pPr>
          </w:p>
        </w:tc>
        <w:tc>
          <w:tcPr>
            <w:tcW w:w="260" w:type="dxa"/>
            <w:vAlign w:val="bottom"/>
            <w:tcBorders>
              <w:bottom w:val="single" w:sz="8" w:color="454546"/>
            </w:tcBorders>
          </w:tcPr>
          <w:p>
            <w:pPr>
              <w:spacing w:after="0"/>
              <w:rPr>
                <w:sz w:val="18"/>
                <w:szCs w:val="18"/>
                <w:color w:val="auto"/>
              </w:rPr>
            </w:pPr>
          </w:p>
        </w:tc>
        <w:tc>
          <w:tcPr>
            <w:tcW w:w="840" w:type="dxa"/>
            <w:vAlign w:val="bottom"/>
            <w:tcBorders>
              <w:bottom w:val="single" w:sz="8" w:color="454546"/>
            </w:tcBorders>
          </w:tcPr>
          <w:p>
            <w:pPr>
              <w:jc w:val="center"/>
              <w:ind w:right="185"/>
              <w:spacing w:after="0"/>
              <w:rPr>
                <w:sz w:val="20"/>
                <w:szCs w:val="20"/>
                <w:color w:val="auto"/>
              </w:rPr>
            </w:pPr>
            <w:r>
              <w:rPr>
                <w:rFonts w:ascii="Times New Roman" w:cs="Times New Roman" w:eastAsia="Times New Roman" w:hAnsi="Times New Roman"/>
                <w:sz w:val="16"/>
                <w:szCs w:val="16"/>
                <w:b w:val="1"/>
                <w:bCs w:val="1"/>
                <w:color w:val="454546"/>
                <w:w w:val="98"/>
              </w:rPr>
              <w:t>years</w:t>
            </w: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800" w:type="dxa"/>
            <w:vAlign w:val="bottom"/>
            <w:tcBorders>
              <w:bottom w:val="single" w:sz="8" w:color="454546"/>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454546"/>
              </w:rPr>
              <w:t>years</w:t>
            </w:r>
          </w:p>
        </w:tc>
        <w:tc>
          <w:tcPr>
            <w:tcW w:w="80" w:type="dxa"/>
            <w:vAlign w:val="bottom"/>
            <w:tcBorders>
              <w:bottom w:val="single" w:sz="8" w:color="E3E4E5"/>
            </w:tcBorders>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880" w:type="dxa"/>
            <w:vAlign w:val="bottom"/>
            <w:tcBorders>
              <w:bottom w:val="single" w:sz="8" w:color="454546"/>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454546"/>
              </w:rPr>
              <w:t>5 years</w:t>
            </w:r>
          </w:p>
        </w:tc>
        <w:tc>
          <w:tcPr>
            <w:tcW w:w="0" w:type="dxa"/>
            <w:vAlign w:val="bottom"/>
          </w:tcPr>
          <w:p>
            <w:pPr>
              <w:spacing w:after="0"/>
              <w:rPr>
                <w:sz w:val="1"/>
                <w:szCs w:val="1"/>
                <w:color w:val="auto"/>
              </w:rPr>
            </w:pPr>
          </w:p>
        </w:tc>
      </w:tr>
      <w:tr>
        <w:trPr>
          <w:trHeight w:val="290"/>
        </w:trPr>
        <w:tc>
          <w:tcPr>
            <w:tcW w:w="4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Credit Lines</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24,079</w:t>
            </w:r>
          </w:p>
        </w:tc>
        <w:tc>
          <w:tcPr>
            <w:tcW w:w="2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18,579</w:t>
            </w:r>
          </w:p>
        </w:tc>
        <w:tc>
          <w:tcPr>
            <w:tcW w:w="34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5,500</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94"/>
        </w:trPr>
        <w:tc>
          <w:tcPr>
            <w:tcW w:w="44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Inventory purchases</w:t>
            </w:r>
          </w:p>
        </w:tc>
        <w:tc>
          <w:tcPr>
            <w:tcW w:w="2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4,314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306"/>
        </w:trPr>
        <w:tc>
          <w:tcPr>
            <w:tcW w:w="4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Operating lease obligations</w:t>
            </w:r>
          </w:p>
        </w:tc>
        <w:tc>
          <w:tcPr>
            <w:tcW w:w="260" w:type="dxa"/>
            <w:vAlign w:val="bottom"/>
            <w:shd w:val="clear" w:color="auto" w:fill="E3E4E5"/>
          </w:tcPr>
          <w:p>
            <w:pPr>
              <w:spacing w:after="0"/>
              <w:rPr>
                <w:sz w:val="24"/>
                <w:szCs w:val="24"/>
                <w:color w:val="auto"/>
              </w:rPr>
            </w:pPr>
          </w:p>
        </w:tc>
        <w:tc>
          <w:tcPr>
            <w:tcW w:w="8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11,017</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3,899</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4,355</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1,101</w:t>
            </w:r>
          </w:p>
        </w:tc>
        <w:tc>
          <w:tcPr>
            <w:tcW w:w="8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88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1,662</w:t>
            </w:r>
          </w:p>
        </w:tc>
        <w:tc>
          <w:tcPr>
            <w:tcW w:w="0" w:type="dxa"/>
            <w:vAlign w:val="bottom"/>
          </w:tcPr>
          <w:p>
            <w:pPr>
              <w:spacing w:after="0"/>
              <w:rPr>
                <w:sz w:val="1"/>
                <w:szCs w:val="1"/>
                <w:color w:val="auto"/>
              </w:rPr>
            </w:pPr>
          </w:p>
        </w:tc>
      </w:tr>
      <w:tr>
        <w:trPr>
          <w:trHeight w:val="294"/>
        </w:trPr>
        <w:tc>
          <w:tcPr>
            <w:tcW w:w="44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Property, plant, and equipment purchases</w:t>
            </w:r>
          </w:p>
        </w:tc>
        <w:tc>
          <w:tcPr>
            <w:tcW w:w="2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736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315"/>
        </w:trPr>
        <w:tc>
          <w:tcPr>
            <w:tcW w:w="44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Software license</w:t>
            </w:r>
          </w:p>
        </w:tc>
        <w:tc>
          <w:tcPr>
            <w:tcW w:w="260" w:type="dxa"/>
            <w:vAlign w:val="bottom"/>
            <w:tcBorders>
              <w:bottom w:val="single" w:sz="8" w:color="454546"/>
            </w:tcBorders>
            <w:shd w:val="clear" w:color="auto" w:fill="E3E4E5"/>
          </w:tcPr>
          <w:p>
            <w:pPr>
              <w:spacing w:after="0"/>
              <w:rPr>
                <w:sz w:val="24"/>
                <w:szCs w:val="24"/>
                <w:color w:val="auto"/>
              </w:rPr>
            </w:pPr>
          </w:p>
        </w:tc>
        <w:tc>
          <w:tcPr>
            <w:tcW w:w="840" w:type="dxa"/>
            <w:vAlign w:val="bottom"/>
            <w:tcBorders>
              <w:bottom w:val="single" w:sz="8" w:color="454546"/>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6,101</w:t>
            </w:r>
          </w:p>
        </w:tc>
        <w:tc>
          <w:tcPr>
            <w:tcW w:w="60" w:type="dxa"/>
            <w:vAlign w:val="bottom"/>
            <w:tcBorders>
              <w:bottom w:val="single" w:sz="8" w:color="E3E4E5"/>
            </w:tcBorders>
            <w:shd w:val="clear" w:color="auto" w:fill="E3E4E5"/>
          </w:tcPr>
          <w:p>
            <w:pPr>
              <w:spacing w:after="0"/>
              <w:rPr>
                <w:sz w:val="24"/>
                <w:szCs w:val="24"/>
                <w:color w:val="auto"/>
              </w:rPr>
            </w:pPr>
          </w:p>
        </w:tc>
        <w:tc>
          <w:tcPr>
            <w:tcW w:w="200" w:type="dxa"/>
            <w:vAlign w:val="bottom"/>
            <w:tcBorders>
              <w:bottom w:val="single" w:sz="8" w:color="454546"/>
            </w:tcBorders>
            <w:shd w:val="clear" w:color="auto" w:fill="E3E4E5"/>
          </w:tcPr>
          <w:p>
            <w:pPr>
              <w:spacing w:after="0"/>
              <w:rPr>
                <w:sz w:val="24"/>
                <w:szCs w:val="24"/>
                <w:color w:val="auto"/>
              </w:rPr>
            </w:pPr>
          </w:p>
        </w:tc>
        <w:tc>
          <w:tcPr>
            <w:tcW w:w="9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1,074</w:t>
            </w:r>
          </w:p>
        </w:tc>
        <w:tc>
          <w:tcPr>
            <w:tcW w:w="8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454546"/>
            </w:tcBorders>
            <w:shd w:val="clear" w:color="auto" w:fill="E3E4E5"/>
          </w:tcPr>
          <w:p>
            <w:pPr>
              <w:spacing w:after="0"/>
              <w:rPr>
                <w:sz w:val="24"/>
                <w:szCs w:val="24"/>
                <w:color w:val="auto"/>
              </w:rPr>
            </w:pPr>
          </w:p>
        </w:tc>
        <w:tc>
          <w:tcPr>
            <w:tcW w:w="840" w:type="dxa"/>
            <w:vAlign w:val="bottom"/>
            <w:tcBorders>
              <w:bottom w:val="single" w:sz="8" w:color="454546"/>
            </w:tcBorders>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2,461</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454546"/>
            </w:tcBorders>
            <w:shd w:val="clear" w:color="auto" w:fill="E3E4E5"/>
          </w:tcPr>
          <w:p>
            <w:pPr>
              <w:spacing w:after="0"/>
              <w:rPr>
                <w:sz w:val="24"/>
                <w:szCs w:val="24"/>
                <w:color w:val="auto"/>
              </w:rPr>
            </w:pPr>
          </w:p>
        </w:tc>
        <w:tc>
          <w:tcPr>
            <w:tcW w:w="8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2,566</w:t>
            </w:r>
          </w:p>
        </w:tc>
        <w:tc>
          <w:tcPr>
            <w:tcW w:w="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454546"/>
            </w:tcBorders>
            <w:shd w:val="clear" w:color="auto" w:fill="E3E4E5"/>
          </w:tcPr>
          <w:p>
            <w:pPr>
              <w:spacing w:after="0"/>
              <w:rPr>
                <w:sz w:val="24"/>
                <w:szCs w:val="24"/>
                <w:color w:val="auto"/>
              </w:rPr>
            </w:pPr>
          </w:p>
        </w:tc>
        <w:tc>
          <w:tcPr>
            <w:tcW w:w="880" w:type="dxa"/>
            <w:vAlign w:val="bottom"/>
            <w:tcBorders>
              <w:bottom w:val="single" w:sz="8" w:color="454546"/>
            </w:tcBorders>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41"/>
        </w:trPr>
        <w:tc>
          <w:tcPr>
            <w:tcW w:w="44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 material cash commitments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46,247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28,598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12,320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3,667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1,662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top w:val="single" w:sz="8" w:color="454546"/>
              <w:bottom w:val="single" w:sz="8" w:color="454546"/>
            </w:tcBorders>
          </w:tcPr>
          <w:p>
            <w:pPr>
              <w:spacing w:after="0" w:line="20" w:lineRule="exact"/>
              <w:rPr>
                <w:sz w:val="1"/>
                <w:szCs w:val="1"/>
                <w:color w:val="auto"/>
              </w:rPr>
            </w:pPr>
          </w:p>
        </w:tc>
        <w:tc>
          <w:tcPr>
            <w:tcW w:w="84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454546"/>
              <w:bottom w:val="single" w:sz="8" w:color="454546"/>
            </w:tcBorders>
          </w:tcPr>
          <w:p>
            <w:pPr>
              <w:spacing w:after="0" w:line="20" w:lineRule="exact"/>
              <w:rPr>
                <w:sz w:val="1"/>
                <w:szCs w:val="1"/>
                <w:color w:val="auto"/>
              </w:rPr>
            </w:pPr>
          </w:p>
        </w:tc>
        <w:tc>
          <w:tcPr>
            <w:tcW w:w="9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454546"/>
              <w:bottom w:val="single" w:sz="8" w:color="454546"/>
            </w:tcBorders>
          </w:tcPr>
          <w:p>
            <w:pPr>
              <w:spacing w:after="0" w:line="20" w:lineRule="exact"/>
              <w:rPr>
                <w:sz w:val="1"/>
                <w:szCs w:val="1"/>
                <w:color w:val="auto"/>
              </w:rPr>
            </w:pPr>
          </w:p>
        </w:tc>
        <w:tc>
          <w:tcPr>
            <w:tcW w:w="84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454546"/>
              <w:bottom w:val="single" w:sz="8" w:color="454546"/>
            </w:tcBorders>
          </w:tcPr>
          <w:p>
            <w:pPr>
              <w:spacing w:after="0" w:line="20" w:lineRule="exact"/>
              <w:rPr>
                <w:sz w:val="1"/>
                <w:szCs w:val="1"/>
                <w:color w:val="auto"/>
              </w:rPr>
            </w:pPr>
          </w:p>
        </w:tc>
        <w:tc>
          <w:tcPr>
            <w:tcW w:w="8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88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-1186815</wp:posOffset>
            </wp:positionV>
            <wp:extent cx="371792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-234315</wp:posOffset>
            </wp:positionV>
            <wp:extent cx="299720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extLst>
                    </a:blip>
                    <a:srcRect/>
                    <a:stretch>
                      <a:fillRect/>
                    </a:stretch>
                  </pic:blipFill>
                  <pic:spPr bwMode="auto">
                    <a:xfrm>
                      <a:off x="0" y="0"/>
                      <a:ext cx="2997200" cy="508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We anticipate meeting our material cash commitments with our cash generated from operations and available borrowing on our Credit Lines.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Accounting Pronouncements</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454546"/>
        </w:rPr>
        <w:t>See "ITEM 8. FINANCIAL STATEMENTS AND SUPPLEMENTARY DATA — Notes to Consolidated Financial Statements — Note 2" for a discussion of recent accounting pronouncements.</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40</w:t>
      </w:r>
    </w:p>
    <w:p>
      <w:pPr>
        <w:sectPr>
          <w:pgSz w:w="11880" w:h="15480" w:orient="portrait"/>
          <w:cols w:equalWidth="0" w:num="1">
            <w:col w:w="10260"/>
          </w:cols>
          <w:pgMar w:left="820" w:top="613" w:right="80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9"/>
          <w:szCs w:val="19"/>
          <w:b w:val="1"/>
          <w:bCs w:val="1"/>
          <w:color w:val="454546"/>
        </w:rPr>
        <w:t>ITEM 7A. QUANTITATIVE AND QUALITATIVE DISCLOSURES ABOUT MARKET RISK</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Not applicable</w:t>
      </w:r>
    </w:p>
    <w:p>
      <w:pPr>
        <w:sectPr>
          <w:pgSz w:w="11880" w:h="15480" w:orient="portrait"/>
          <w:cols w:equalWidth="0" w:num="1">
            <w:col w:w="9620"/>
          </w:cols>
          <w:pgMar w:left="820" w:top="6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454546"/>
        </w:rPr>
        <w:t>41</w:t>
      </w:r>
    </w:p>
    <w:p>
      <w:pPr>
        <w:sectPr>
          <w:pgSz w:w="11880" w:h="15480" w:orient="portrait"/>
          <w:cols w:equalWidth="0" w:num="1">
            <w:col w:w="9620"/>
          </w:cols>
          <w:pgMar w:left="820" w:top="606" w:right="144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454546"/>
        </w:rPr>
        <w:t>ITEM 8. FINANCIAL STATEMENTS AND SUPPLEMENTARY DATA</w:t>
      </w:r>
    </w:p>
    <w:p>
      <w:pPr>
        <w:spacing w:after="0" w:line="19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454546"/>
        </w:rPr>
        <w:t>INDEX TO CONSOLIDATED FINANCIAL STATEMENTS</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454546"/>
              </w:rPr>
              <w:t>Page</w:t>
            </w:r>
          </w:p>
        </w:tc>
        <w:tc>
          <w:tcPr>
            <w:tcW w:w="0" w:type="dxa"/>
            <w:vAlign w:val="bottom"/>
          </w:tcPr>
          <w:p>
            <w:pPr>
              <w:spacing w:after="0"/>
              <w:rPr>
                <w:sz w:val="1"/>
                <w:szCs w:val="1"/>
                <w:color w:val="auto"/>
              </w:rPr>
            </w:pPr>
          </w:p>
        </w:tc>
      </w:tr>
      <w:tr>
        <w:trPr>
          <w:trHeight w:val="239"/>
        </w:trPr>
        <w:tc>
          <w:tcPr>
            <w:tcW w:w="4680" w:type="dxa"/>
            <w:vAlign w:val="bottom"/>
            <w:tcBorders>
              <w:bottom w:val="single" w:sz="8" w:color="656769"/>
            </w:tcBorders>
            <w:gridSpan w:val="3"/>
          </w:tcPr>
          <w:p>
            <w:pPr>
              <w:spacing w:after="0" w:line="219" w:lineRule="exact"/>
              <w:rPr>
                <w:sz w:val="20"/>
                <w:szCs w:val="20"/>
                <w:color w:val="auto"/>
              </w:rPr>
            </w:pPr>
            <w:r>
              <w:rPr>
                <w:rFonts w:ascii="Times New Roman" w:cs="Times New Roman" w:eastAsia="Times New Roman" w:hAnsi="Times New Roman"/>
                <w:sz w:val="20"/>
                <w:szCs w:val="20"/>
                <w:color w:val="656769"/>
                <w:w w:val="99"/>
              </w:rPr>
              <w:t>Report of Independent Registered Public Accounting Firm</w:t>
            </w:r>
          </w:p>
        </w:tc>
        <w:tc>
          <w:tcPr>
            <w:tcW w:w="4620" w:type="dxa"/>
            <w:vAlign w:val="bottom"/>
            <w:gridSpan w:val="5"/>
            <w:vMerge w:val="restart"/>
          </w:tcPr>
          <w:p>
            <w:pPr>
              <w:jc w:val="right"/>
              <w:ind w:right="2340"/>
              <w:spacing w:after="0"/>
              <w:rPr>
                <w:sz w:val="20"/>
                <w:szCs w:val="20"/>
                <w:color w:val="auto"/>
              </w:rPr>
            </w:pPr>
            <w:r>
              <w:rPr>
                <w:rFonts w:ascii="Times New Roman" w:cs="Times New Roman" w:eastAsia="Times New Roman" w:hAnsi="Times New Roman"/>
                <w:sz w:val="20"/>
                <w:szCs w:val="20"/>
                <w:color w:val="454546"/>
              </w:rPr>
              <w:t>(PCAOB ID Number 248)</w:t>
            </w:r>
          </w:p>
        </w:tc>
        <w:tc>
          <w:tcPr>
            <w:tcW w:w="520" w:type="dxa"/>
            <w:vAlign w:val="bottom"/>
            <w:vMerge w:val="restart"/>
          </w:tcPr>
          <w:p>
            <w:pPr>
              <w:spacing w:after="0"/>
              <w:rPr>
                <w:sz w:val="20"/>
                <w:szCs w:val="20"/>
                <w:color w:val="auto"/>
              </w:rPr>
            </w:pPr>
          </w:p>
        </w:tc>
        <w:tc>
          <w:tcPr>
            <w:tcW w:w="120" w:type="dxa"/>
            <w:vAlign w:val="bottom"/>
            <w:tcBorders>
              <w:top w:val="single" w:sz="8" w:color="454546"/>
              <w:bottom w:val="single" w:sz="8" w:color="454546"/>
            </w:tcBorders>
            <w:vMerge w:val="restart"/>
          </w:tcPr>
          <w:p>
            <w:pPr>
              <w:spacing w:after="0"/>
              <w:rPr>
                <w:sz w:val="20"/>
                <w:szCs w:val="20"/>
                <w:color w:val="auto"/>
              </w:rPr>
            </w:pPr>
          </w:p>
        </w:tc>
        <w:tc>
          <w:tcPr>
            <w:tcW w:w="200" w:type="dxa"/>
            <w:vAlign w:val="bottom"/>
            <w:tcBorders>
              <w:top w:val="single" w:sz="8" w:color="454546"/>
              <w:bottom w:val="single" w:sz="8" w:color="454546"/>
            </w:tcBorders>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20" w:type="dxa"/>
            <w:vAlign w:val="bottom"/>
            <w:gridSpan w:val="5"/>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tcBorders>
              <w:bottom w:val="single" w:sz="8" w:color="6567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920" w:type="dxa"/>
            <w:vAlign w:val="bottom"/>
            <w:tcBorders>
              <w:bottom w:val="single" w:sz="8" w:color="656769"/>
            </w:tcBorders>
            <w:gridSpan w:val="4"/>
          </w:tcPr>
          <w:p>
            <w:pPr>
              <w:spacing w:after="0" w:line="224" w:lineRule="exact"/>
              <w:rPr>
                <w:sz w:val="20"/>
                <w:szCs w:val="20"/>
                <w:color w:val="auto"/>
              </w:rPr>
            </w:pPr>
            <w:r>
              <w:rPr>
                <w:rFonts w:ascii="Times New Roman" w:cs="Times New Roman" w:eastAsia="Times New Roman" w:hAnsi="Times New Roman"/>
                <w:sz w:val="20"/>
                <w:szCs w:val="20"/>
                <w:color w:val="656769"/>
                <w:w w:val="99"/>
              </w:rPr>
              <w:t>Consolidated Balance Sheets at December 31, 2025 and 2024</w:t>
            </w:r>
          </w:p>
        </w:tc>
        <w:tc>
          <w:tcPr>
            <w:tcW w:w="278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620" w:type="dxa"/>
            <w:vAlign w:val="bottom"/>
            <w:vMerge w:val="restart"/>
          </w:tcPr>
          <w:p>
            <w:pPr>
              <w:spacing w:after="0"/>
              <w:rPr>
                <w:sz w:val="20"/>
                <w:szCs w:val="20"/>
                <w:color w:val="auto"/>
              </w:rPr>
            </w:pPr>
          </w:p>
        </w:tc>
        <w:tc>
          <w:tcPr>
            <w:tcW w:w="920" w:type="dxa"/>
            <w:vAlign w:val="bottom"/>
            <w:vMerge w:val="restart"/>
          </w:tcPr>
          <w:p>
            <w:pPr>
              <w:spacing w:after="0"/>
              <w:rPr>
                <w:sz w:val="20"/>
                <w:szCs w:val="20"/>
                <w:color w:val="auto"/>
              </w:rPr>
            </w:pPr>
          </w:p>
        </w:tc>
        <w:tc>
          <w:tcPr>
            <w:tcW w:w="640" w:type="dxa"/>
            <w:vAlign w:val="bottom"/>
            <w:gridSpan w:val="2"/>
            <w:vMerge w:val="restart"/>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45</w:t>
            </w:r>
          </w:p>
        </w:tc>
        <w:tc>
          <w:tcPr>
            <w:tcW w:w="0" w:type="dxa"/>
            <w:vAlign w:val="bottom"/>
          </w:tcPr>
          <w:p>
            <w:pPr>
              <w:spacing w:after="0"/>
              <w:rPr>
                <w:sz w:val="1"/>
                <w:szCs w:val="1"/>
                <w:color w:val="auto"/>
              </w:rPr>
            </w:pPr>
          </w:p>
        </w:tc>
      </w:tr>
      <w:tr>
        <w:trPr>
          <w:trHeight w:val="25"/>
        </w:trPr>
        <w:tc>
          <w:tcPr>
            <w:tcW w:w="770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656769"/>
                <w:w w:val="99"/>
              </w:rPr>
              <w:t>Consolidated Statements of Operations for the Years Ended December 31, 2025, 2024 and 2023</w:t>
            </w:r>
          </w:p>
        </w:tc>
        <w:tc>
          <w:tcPr>
            <w:tcW w:w="6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00" w:type="dxa"/>
            <w:vAlign w:val="bottom"/>
            <w:tcBorders>
              <w:bottom w:val="single" w:sz="8" w:color="656769"/>
            </w:tcBorders>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2"/>
            <w:vMerge w:val="restart"/>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46</w:t>
            </w:r>
          </w:p>
        </w:tc>
        <w:tc>
          <w:tcPr>
            <w:tcW w:w="0" w:type="dxa"/>
            <w:vAlign w:val="bottom"/>
          </w:tcPr>
          <w:p>
            <w:pPr>
              <w:spacing w:after="0"/>
              <w:rPr>
                <w:sz w:val="1"/>
                <w:szCs w:val="1"/>
                <w:color w:val="auto"/>
              </w:rPr>
            </w:pPr>
          </w:p>
        </w:tc>
      </w:tr>
      <w:tr>
        <w:trPr>
          <w:trHeight w:val="25"/>
        </w:trPr>
        <w:tc>
          <w:tcPr>
            <w:tcW w:w="930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656769"/>
              </w:rPr>
              <w:t>Consolidated Statements of Comprehensive Income (Loss) for the Years Ended December 31, 2025, 2024 and</w:t>
            </w:r>
          </w:p>
        </w:tc>
        <w:tc>
          <w:tcPr>
            <w:tcW w:w="64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300" w:type="dxa"/>
            <w:vAlign w:val="bottom"/>
            <w:tcBorders>
              <w:bottom w:val="single" w:sz="8" w:color="656769"/>
            </w:tcBorders>
            <w:gridSpan w:val="8"/>
            <w:vMerge w:val="continue"/>
          </w:tcPr>
          <w:p>
            <w:pPr>
              <w:spacing w:after="0"/>
              <w:rPr>
                <w:sz w:val="20"/>
                <w:szCs w:val="20"/>
                <w:color w:val="auto"/>
              </w:rPr>
            </w:pPr>
          </w:p>
        </w:tc>
        <w:tc>
          <w:tcPr>
            <w:tcW w:w="640" w:type="dxa"/>
            <w:vAlign w:val="bottom"/>
            <w:gridSpan w:val="2"/>
            <w:vMerge w:val="restart"/>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47</w:t>
            </w:r>
          </w:p>
        </w:tc>
        <w:tc>
          <w:tcPr>
            <w:tcW w:w="0" w:type="dxa"/>
            <w:vAlign w:val="bottom"/>
          </w:tcPr>
          <w:p>
            <w:pPr>
              <w:spacing w:after="0"/>
              <w:rPr>
                <w:sz w:val="1"/>
                <w:szCs w:val="1"/>
                <w:color w:val="auto"/>
              </w:rPr>
            </w:pPr>
          </w:p>
        </w:tc>
      </w:tr>
      <w:tr>
        <w:trPr>
          <w:trHeight w:val="200"/>
        </w:trPr>
        <w:tc>
          <w:tcPr>
            <w:tcW w:w="400" w:type="dxa"/>
            <w:vAlign w:val="bottom"/>
            <w:tcBorders>
              <w:bottom w:val="single" w:sz="8" w:color="656769"/>
            </w:tcBorders>
          </w:tcPr>
          <w:p>
            <w:pPr>
              <w:spacing w:after="0" w:line="180" w:lineRule="exact"/>
              <w:rPr>
                <w:sz w:val="20"/>
                <w:szCs w:val="20"/>
                <w:color w:val="auto"/>
              </w:rPr>
            </w:pPr>
            <w:r>
              <w:rPr>
                <w:rFonts w:ascii="Times New Roman" w:cs="Times New Roman" w:eastAsia="Times New Roman" w:hAnsi="Times New Roman"/>
                <w:sz w:val="20"/>
                <w:szCs w:val="20"/>
                <w:color w:val="656769"/>
                <w:w w:val="94"/>
              </w:rPr>
              <w:t>2023</w:t>
            </w:r>
          </w:p>
        </w:tc>
        <w:tc>
          <w:tcPr>
            <w:tcW w:w="3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00" w:type="dxa"/>
            <w:vAlign w:val="bottom"/>
            <w:tcBorders>
              <w:bottom w:val="single" w:sz="8" w:color="656769"/>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80" w:type="dxa"/>
            <w:vAlign w:val="bottom"/>
            <w:tcBorders>
              <w:bottom w:val="single" w:sz="8" w:color="656769"/>
            </w:tcBorders>
            <w:gridSpan w:val="7"/>
          </w:tcPr>
          <w:p>
            <w:pPr>
              <w:spacing w:after="0" w:line="215" w:lineRule="exact"/>
              <w:rPr>
                <w:sz w:val="20"/>
                <w:szCs w:val="20"/>
                <w:color w:val="auto"/>
              </w:rPr>
            </w:pPr>
            <w:r>
              <w:rPr>
                <w:rFonts w:ascii="Times New Roman" w:cs="Times New Roman" w:eastAsia="Times New Roman" w:hAnsi="Times New Roman"/>
                <w:sz w:val="20"/>
                <w:szCs w:val="20"/>
                <w:color w:val="656769"/>
                <w:w w:val="99"/>
              </w:rPr>
              <w:t>Consolidated Statements of Stockholders' Equity for the Years Ended December 31, 2025, 2024 and 202</w:t>
            </w:r>
          </w:p>
        </w:tc>
        <w:tc>
          <w:tcPr>
            <w:tcW w:w="920" w:type="dxa"/>
            <w:vAlign w:val="bottom"/>
            <w:vMerge w:val="restart"/>
          </w:tcPr>
          <w:p>
            <w:pPr>
              <w:jc w:val="right"/>
              <w:ind w:right="720"/>
              <w:spacing w:after="0"/>
              <w:rPr>
                <w:sz w:val="20"/>
                <w:szCs w:val="20"/>
                <w:color w:val="auto"/>
              </w:rPr>
            </w:pPr>
            <w:r>
              <w:rPr>
                <w:rFonts w:ascii="Times New Roman" w:cs="Times New Roman" w:eastAsia="Times New Roman" w:hAnsi="Times New Roman"/>
                <w:sz w:val="20"/>
                <w:szCs w:val="20"/>
                <w:color w:val="454546"/>
                <w:w w:val="79"/>
              </w:rPr>
              <w:t>3</w:t>
            </w:r>
          </w:p>
        </w:tc>
        <w:tc>
          <w:tcPr>
            <w:tcW w:w="64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48</w:t>
            </w:r>
          </w:p>
        </w:tc>
        <w:tc>
          <w:tcPr>
            <w:tcW w:w="0" w:type="dxa"/>
            <w:vAlign w:val="bottom"/>
          </w:tcPr>
          <w:p>
            <w:pPr>
              <w:spacing w:after="0"/>
              <w:rPr>
                <w:sz w:val="1"/>
                <w:szCs w:val="1"/>
                <w:color w:val="auto"/>
              </w:rPr>
            </w:pPr>
          </w:p>
        </w:tc>
      </w:tr>
      <w:tr>
        <w:trPr>
          <w:trHeight w:val="25"/>
        </w:trPr>
        <w:tc>
          <w:tcPr>
            <w:tcW w:w="776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656769"/>
                <w:w w:val="99"/>
              </w:rPr>
              <w:t>Consolidated Statements of Cash Flows for the Years Ended December 31, 2025, 2024 and 2023</w:t>
            </w:r>
          </w:p>
        </w:tc>
        <w:tc>
          <w:tcPr>
            <w:tcW w:w="6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60" w:type="dxa"/>
            <w:vAlign w:val="bottom"/>
            <w:tcBorders>
              <w:bottom w:val="single" w:sz="8" w:color="656769"/>
            </w:tcBorders>
            <w:gridSpan w:val="6"/>
            <w:vMerge w:val="continue"/>
          </w:tcPr>
          <w:p>
            <w:pPr>
              <w:spacing w:after="0"/>
              <w:rPr>
                <w:sz w:val="20"/>
                <w:szCs w:val="20"/>
                <w:color w:val="auto"/>
              </w:rPr>
            </w:pPr>
          </w:p>
        </w:tc>
        <w:tc>
          <w:tcPr>
            <w:tcW w:w="1540" w:type="dxa"/>
            <w:vAlign w:val="bottom"/>
            <w:gridSpan w:val="2"/>
            <w:vMerge w:val="restart"/>
          </w:tcPr>
          <w:p>
            <w:pPr>
              <w:spacing w:after="0"/>
              <w:rPr>
                <w:sz w:val="20"/>
                <w:szCs w:val="20"/>
                <w:color w:val="auto"/>
              </w:rPr>
            </w:pPr>
          </w:p>
        </w:tc>
        <w:tc>
          <w:tcPr>
            <w:tcW w:w="640" w:type="dxa"/>
            <w:vAlign w:val="bottom"/>
            <w:gridSpan w:val="2"/>
            <w:vMerge w:val="restart"/>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49</w:t>
            </w:r>
          </w:p>
        </w:tc>
        <w:tc>
          <w:tcPr>
            <w:tcW w:w="0" w:type="dxa"/>
            <w:vAlign w:val="bottom"/>
          </w:tcPr>
          <w:p>
            <w:pPr>
              <w:spacing w:after="0"/>
              <w:rPr>
                <w:sz w:val="1"/>
                <w:szCs w:val="1"/>
                <w:color w:val="auto"/>
              </w:rPr>
            </w:pPr>
          </w:p>
        </w:tc>
      </w:tr>
      <w:tr>
        <w:trPr>
          <w:trHeight w:val="25"/>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656769"/>
                <w:w w:val="99"/>
              </w:rPr>
              <w:t>Notes to Consolidated Financial Statements</w:t>
            </w:r>
          </w:p>
        </w:tc>
        <w:tc>
          <w:tcPr>
            <w:tcW w:w="4260" w:type="dxa"/>
            <w:vAlign w:val="bottom"/>
            <w:gridSpan w:val="4"/>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00" w:type="dxa"/>
            <w:vAlign w:val="bottom"/>
            <w:tcBorders>
              <w:bottom w:val="single" w:sz="8" w:color="656769"/>
            </w:tcBorders>
            <w:gridSpan w:val="2"/>
            <w:vMerge w:val="continue"/>
          </w:tcPr>
          <w:p>
            <w:pPr>
              <w:spacing w:after="0"/>
              <w:rPr>
                <w:sz w:val="20"/>
                <w:szCs w:val="20"/>
                <w:color w:val="auto"/>
              </w:rPr>
            </w:pPr>
          </w:p>
        </w:tc>
        <w:tc>
          <w:tcPr>
            <w:tcW w:w="5800" w:type="dxa"/>
            <w:vAlign w:val="bottom"/>
            <w:gridSpan w:val="6"/>
            <w:vMerge w:val="restart"/>
          </w:tcPr>
          <w:p>
            <w:pPr>
              <w:spacing w:after="0"/>
              <w:rPr>
                <w:sz w:val="20"/>
                <w:szCs w:val="20"/>
                <w:color w:val="auto"/>
              </w:rPr>
            </w:pPr>
          </w:p>
        </w:tc>
        <w:tc>
          <w:tcPr>
            <w:tcW w:w="640" w:type="dxa"/>
            <w:vAlign w:val="bottom"/>
            <w:gridSpan w:val="2"/>
            <w:vMerge w:val="restart"/>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656769"/>
                <w:w w:val="89"/>
              </w:rPr>
              <w:t>50</w:t>
            </w:r>
          </w:p>
        </w:tc>
        <w:tc>
          <w:tcPr>
            <w:tcW w:w="0" w:type="dxa"/>
            <w:vAlign w:val="bottom"/>
          </w:tcPr>
          <w:p>
            <w:pPr>
              <w:spacing w:after="0"/>
              <w:rPr>
                <w:sz w:val="1"/>
                <w:szCs w:val="1"/>
                <w:color w:val="auto"/>
              </w:rPr>
            </w:pPr>
          </w:p>
        </w:tc>
      </w:tr>
      <w:tr>
        <w:trPr>
          <w:trHeight w:val="25"/>
        </w:trPr>
        <w:tc>
          <w:tcPr>
            <w:tcW w:w="3500" w:type="dxa"/>
            <w:vAlign w:val="bottom"/>
            <w:gridSpan w:val="2"/>
          </w:tcPr>
          <w:p>
            <w:pPr>
              <w:spacing w:after="0" w:line="20" w:lineRule="exact"/>
              <w:rPr>
                <w:sz w:val="1"/>
                <w:szCs w:val="1"/>
                <w:color w:val="auto"/>
              </w:rPr>
            </w:pPr>
          </w:p>
        </w:tc>
        <w:tc>
          <w:tcPr>
            <w:tcW w:w="5800" w:type="dxa"/>
            <w:vAlign w:val="bottom"/>
            <w:gridSpan w:val="6"/>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00" w:type="dxa"/>
            <w:vAlign w:val="bottom"/>
            <w:tcBorders>
              <w:bottom w:val="single" w:sz="8" w:color="6567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454546"/>
        </w:rPr>
        <w:t>All schedules are omitted because they are not applicable or the required information is shown in the consolidated financial statements or notes thereto.</w:t>
      </w: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42</w:t>
      </w:r>
    </w:p>
    <w:p>
      <w:pPr>
        <w:sectPr>
          <w:pgSz w:w="11880" w:h="15480" w:orient="portrait"/>
          <w:cols w:equalWidth="0" w:num="1">
            <w:col w:w="10260"/>
          </w:cols>
          <w:pgMar w:left="820" w:top="606" w:right="800" w:bottom="0" w:gutter="0" w:footer="0" w:header="0"/>
          <w:type w:val="continuous"/>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454546"/>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Board of Directors and Stockholders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Universal Electronics Inc.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Opinion on the financial statements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have audited the accompanying consolidated balance sheets of Universal Electronics Inc. (a Delaware corporation) and subsidiaries (the "Company") as of December 31, 2025, and 2024, and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cs="Times New Roman" w:eastAsia="Times New Roman" w:hAnsi="Times New Roman"/>
          <w:sz w:val="20"/>
          <w:szCs w:val="20"/>
          <w:i w:val="1"/>
          <w:iCs w:val="1"/>
          <w:color w:val="454546"/>
        </w:rPr>
        <w:t>Internal Control-Integrated Framework</w:t>
      </w:r>
      <w:r>
        <w:rPr>
          <w:rFonts w:ascii="Times New Roman" w:cs="Times New Roman" w:eastAsia="Times New Roman" w:hAnsi="Times New Roman"/>
          <w:sz w:val="20"/>
          <w:szCs w:val="20"/>
          <w:color w:val="454546"/>
        </w:rPr>
        <w:t xml:space="preserve"> issued by the Committee of Sponsoring Organizations of the Treadway Commission ("COSO"), and our report dated March 12, 2026, expressed an unqualified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Basis for opinion</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Critical audit matter</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Revenue recognition - Determination of over time versus point in time revenue recognition</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As described further in Note 2 and Note 4 to the consolidated financial statements, product revenue is generated through manufacturing and delivering home entertainment control products, climate control solutions, wireless sensor and smart home control products and audio-video accessories. The Company recognizes revenue over time when performance creates an asset with no alternative use (custom products) and when the Company has an enforceable right to payment for performance completed to date, including a reasonable margin, through a contractual commitment from the customer. Revenue is recognized at a point in time if the criteria for recognizing revenue over time are not met. For each new product and/or contract, management performs an analysis to determine whether the asset created is a product with no alternative use and whether the terms and conditions of the contract indicate the Company has an enforceable right to payment for performance completed to date, including a reasonable margin. We identified the determination of over time versus point in time revenue recognition as a critical audit matter.</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The principal considerations for our determination that over time versus point in time revenue recognition is a critical audit matter is the significant judgment exercised by management in identifying and evaluating whether new products and/or</w:t>
      </w:r>
    </w:p>
    <w:p>
      <w:pPr>
        <w:sectPr>
          <w:pgSz w:w="11880" w:h="15480" w:orient="portrait"/>
          <w:cols w:equalWidth="0" w:num="1">
            <w:col w:w="10260"/>
          </w:cols>
          <w:pgMar w:left="820" w:top="606" w:right="800" w:bottom="0" w:gutter="0" w:footer="0" w:header="0"/>
        </w:sectPr>
      </w:pP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43</w:t>
      </w:r>
    </w:p>
    <w:p>
      <w:pPr>
        <w:sectPr>
          <w:pgSz w:w="11880" w:h="15480" w:orient="portrait"/>
          <w:cols w:equalWidth="0" w:num="1">
            <w:col w:w="10260"/>
          </w:cols>
          <w:pgMar w:left="820" w:top="606" w:right="800" w:bottom="0" w:gutter="0" w:footer="0" w:header="0"/>
          <w:type w:val="continuous"/>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20"/>
          <w:szCs w:val="20"/>
          <w:color w:val="454546"/>
        </w:rPr>
        <w:t>contracts meet the criteria for over time or point in time revenue recognition. Significant judgments include the evaluation of whether it is possible, contractually or economically, to repurpose or redirect products for an alternative use, as well as the evaluation of contractual legal terms and rights within each jurisdiction in which the Company operates.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audit procedures related to the over time versus point in time revenue recognition included the following, among others</w:t>
      </w:r>
      <w:r>
        <w:rPr>
          <w:rFonts w:ascii="Times New Roman" w:cs="Times New Roman" w:eastAsia="Times New Roman" w:hAnsi="Times New Roman"/>
          <w:sz w:val="20"/>
          <w:szCs w:val="20"/>
          <w:color w:val="656769"/>
        </w:rPr>
        <w:t>:</w:t>
      </w:r>
    </w:p>
    <w:p>
      <w:pPr>
        <w:spacing w:after="0" w:line="250" w:lineRule="exact"/>
        <w:rPr>
          <w:sz w:val="20"/>
          <w:szCs w:val="20"/>
          <w:color w:val="auto"/>
        </w:rPr>
      </w:pPr>
    </w:p>
    <w:p>
      <w:pPr>
        <w:jc w:val="both"/>
        <w:ind w:left="720" w:right="20" w:hanging="370"/>
        <w:spacing w:after="0" w:line="296" w:lineRule="auto"/>
        <w:tabs>
          <w:tab w:leader="none" w:pos="720" w:val="left"/>
        </w:tabs>
        <w:numPr>
          <w:ilvl w:val="0"/>
          <w:numId w:val="15"/>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color w:val="454546"/>
        </w:rPr>
        <w:t>We tested the design and operating effectiveness of key controls associated with the Company's classification of new products, including those associated with the determination and classification of a product as having no alternative use.</w:t>
      </w:r>
    </w:p>
    <w:p>
      <w:pPr>
        <w:spacing w:after="0" w:line="1" w:lineRule="exact"/>
        <w:rPr>
          <w:rFonts w:ascii="Times New Roman" w:cs="Times New Roman" w:eastAsia="Times New Roman" w:hAnsi="Times New Roman"/>
          <w:sz w:val="19"/>
          <w:szCs w:val="19"/>
          <w:color w:val="454546"/>
        </w:rPr>
      </w:pPr>
    </w:p>
    <w:p>
      <w:pPr>
        <w:jc w:val="both"/>
        <w:ind w:left="720" w:hanging="370"/>
        <w:spacing w:after="0" w:line="266" w:lineRule="auto"/>
        <w:tabs>
          <w:tab w:leader="none" w:pos="72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tested the design and operating effectiveness of key controls over the Company's new and amended contract review process, specifically those related to the identification and evaluation of terms and conditions associated with an enforceable right to payment, including a reasonable margin.</w:t>
      </w:r>
    </w:p>
    <w:p>
      <w:pPr>
        <w:spacing w:after="0" w:line="15" w:lineRule="exact"/>
        <w:rPr>
          <w:rFonts w:ascii="Times New Roman" w:cs="Times New Roman" w:eastAsia="Times New Roman" w:hAnsi="Times New Roman"/>
          <w:sz w:val="20"/>
          <w:szCs w:val="20"/>
          <w:color w:val="454546"/>
        </w:rPr>
      </w:pPr>
    </w:p>
    <w:p>
      <w:pPr>
        <w:jc w:val="both"/>
        <w:ind w:left="720" w:hanging="370"/>
        <w:spacing w:after="0" w:line="260" w:lineRule="auto"/>
        <w:tabs>
          <w:tab w:leader="none" w:pos="72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For a selection of products from the Company's active products listing, we performed testing to determine whether products identified as having no alternative use are restricted, either contractually or economically, to be repurposed or redirected. This includes evaluating management judgments regarding the economic feasibility of repurposing a finished product and evidence to support that the final product has no alternative use.</w:t>
      </w:r>
    </w:p>
    <w:p>
      <w:pPr>
        <w:spacing w:after="0" w:line="23" w:lineRule="exact"/>
        <w:rPr>
          <w:rFonts w:ascii="Times New Roman" w:cs="Times New Roman" w:eastAsia="Times New Roman" w:hAnsi="Times New Roman"/>
          <w:sz w:val="20"/>
          <w:szCs w:val="20"/>
          <w:color w:val="454546"/>
        </w:rPr>
      </w:pPr>
    </w:p>
    <w:p>
      <w:pPr>
        <w:jc w:val="both"/>
        <w:ind w:left="720" w:hanging="370"/>
        <w:spacing w:after="0" w:line="258" w:lineRule="auto"/>
        <w:tabs>
          <w:tab w:leader="none" w:pos="72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For a selection of products, we traced the products into the Company's listing of active products and determined whether that product was appropriately classified as having no alternative use or not. For transactions selected with no alternative use, we also obtained and read the contract to determine whether the contract terms specifically identified an enforceable right to payment, including a reasonable margin, for performance completed to date. The two parts to this test serve to determine whether the revenue was appropriately recorded over time or at a point in time.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GRANT THORNTON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We have served as the Company's auditor since 2005.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Phoenix, Arizona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March 12, 2026</w:t>
      </w:r>
    </w:p>
    <w:p>
      <w:pPr>
        <w:sectPr>
          <w:pgSz w:w="11880" w:h="15480"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44</w:t>
      </w:r>
    </w:p>
    <w:p>
      <w:pPr>
        <w:sectPr>
          <w:pgSz w:w="11880" w:h="15480" w:orient="portrait"/>
          <w:cols w:equalWidth="0" w:num="1">
            <w:col w:w="10260"/>
          </w:cols>
          <w:pgMar w:left="820" w:top="613" w:right="800" w:bottom="0" w:gutter="0" w:footer="0" w:header="0"/>
          <w:type w:val="continuous"/>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UNIVERSAL ELECTRONICS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(In thousands, except share-related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40" w:type="dxa"/>
            <w:vAlign w:val="bottom"/>
            <w:tcBorders>
              <w:bottom w:val="single" w:sz="8" w:color="E3E4E5"/>
            </w:tcBorders>
          </w:tcPr>
          <w:p>
            <w:pPr>
              <w:spacing w:after="0"/>
              <w:rPr>
                <w:sz w:val="21"/>
                <w:szCs w:val="21"/>
                <w:color w:val="auto"/>
              </w:rPr>
            </w:pPr>
          </w:p>
        </w:tc>
        <w:tc>
          <w:tcPr>
            <w:tcW w:w="1640" w:type="dxa"/>
            <w:vAlign w:val="bottom"/>
            <w:tcBorders>
              <w:bottom w:val="single" w:sz="8" w:color="454546"/>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54546"/>
              </w:rPr>
              <w:t>December 31, 2025</w:t>
            </w:r>
          </w:p>
        </w:tc>
        <w:tc>
          <w:tcPr>
            <w:tcW w:w="80" w:type="dxa"/>
            <w:vAlign w:val="bottom"/>
            <w:tcBorders>
              <w:bottom w:val="single" w:sz="8" w:color="E3E4E5"/>
            </w:tcBorders>
          </w:tcPr>
          <w:p>
            <w:pPr>
              <w:spacing w:after="0"/>
              <w:rPr>
                <w:sz w:val="21"/>
                <w:szCs w:val="21"/>
                <w:color w:val="auto"/>
              </w:rPr>
            </w:pPr>
          </w:p>
        </w:tc>
        <w:tc>
          <w:tcPr>
            <w:tcW w:w="1700" w:type="dxa"/>
            <w:vAlign w:val="bottom"/>
            <w:tcBorders>
              <w:bottom w:val="single" w:sz="8" w:color="454546"/>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454546"/>
              </w:rPr>
              <w:t>December 31, 2024</w:t>
            </w:r>
          </w:p>
        </w:tc>
        <w:tc>
          <w:tcPr>
            <w:tcW w:w="0" w:type="dxa"/>
            <w:vAlign w:val="bottom"/>
          </w:tcPr>
          <w:p>
            <w:pPr>
              <w:spacing w:after="0"/>
              <w:rPr>
                <w:sz w:val="1"/>
                <w:szCs w:val="1"/>
                <w:color w:val="auto"/>
              </w:rPr>
            </w:pPr>
          </w:p>
        </w:tc>
      </w:tr>
      <w:tr>
        <w:trPr>
          <w:trHeight w:val="245"/>
        </w:trPr>
        <w:tc>
          <w:tcPr>
            <w:tcW w:w="6840" w:type="dxa"/>
            <w:vAlign w:val="bottom"/>
            <w:shd w:val="clear" w:color="auto" w:fill="E3E4E5"/>
          </w:tcPr>
          <w:p>
            <w:pPr>
              <w:ind w:left="3080"/>
              <w:spacing w:after="0"/>
              <w:rPr>
                <w:sz w:val="20"/>
                <w:szCs w:val="20"/>
                <w:color w:val="auto"/>
              </w:rPr>
            </w:pPr>
            <w:r>
              <w:rPr>
                <w:rFonts w:ascii="Times New Roman" w:cs="Times New Roman" w:eastAsia="Times New Roman" w:hAnsi="Times New Roman"/>
                <w:sz w:val="18"/>
                <w:szCs w:val="18"/>
                <w:b w:val="1"/>
                <w:bCs w:val="1"/>
                <w:color w:val="454546"/>
              </w:rPr>
              <w:t>ASSETS</w:t>
            </w:r>
          </w:p>
        </w:tc>
        <w:tc>
          <w:tcPr>
            <w:tcW w:w="540" w:type="dxa"/>
            <w:vAlign w:val="bottom"/>
            <w:shd w:val="clear" w:color="auto" w:fill="E3E4E5"/>
          </w:tcPr>
          <w:p>
            <w:pPr>
              <w:spacing w:after="0"/>
              <w:rPr>
                <w:sz w:val="21"/>
                <w:szCs w:val="21"/>
                <w:color w:val="auto"/>
              </w:rPr>
            </w:pPr>
          </w:p>
        </w:tc>
        <w:tc>
          <w:tcPr>
            <w:tcW w:w="110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14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454546"/>
              </w:rPr>
              <w:t>Current assets:</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Cash and cash equivalents</w:t>
            </w:r>
          </w:p>
        </w:tc>
        <w:tc>
          <w:tcPr>
            <w:tcW w:w="540" w:type="dxa"/>
            <w:vAlign w:val="bottom"/>
            <w:shd w:val="clear" w:color="auto" w:fill="E3E4E5"/>
          </w:tcPr>
          <w:p>
            <w:pPr>
              <w:jc w:val="right"/>
              <w:ind w:right="310"/>
              <w:spacing w:after="0"/>
              <w:rPr>
                <w:sz w:val="20"/>
                <w:szCs w:val="20"/>
                <w:color w:val="auto"/>
              </w:rPr>
            </w:pPr>
            <w:r>
              <w:rPr>
                <w:rFonts w:ascii="Times New Roman" w:cs="Times New Roman" w:eastAsia="Times New Roman" w:hAnsi="Times New Roman"/>
                <w:sz w:val="18"/>
                <w:szCs w:val="18"/>
                <w:color w:val="454546"/>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32,306</w:t>
            </w:r>
          </w:p>
        </w:tc>
        <w:tc>
          <w:tcPr>
            <w:tcW w:w="640" w:type="dxa"/>
            <w:vAlign w:val="bottom"/>
            <w:gridSpan w:val="2"/>
            <w:shd w:val="clear" w:color="auto" w:fill="E3E4E5"/>
          </w:tcPr>
          <w:p>
            <w:pPr>
              <w:jc w:val="right"/>
              <w:ind w:right="330"/>
              <w:spacing w:after="0"/>
              <w:rPr>
                <w:sz w:val="20"/>
                <w:szCs w:val="20"/>
                <w:color w:val="auto"/>
              </w:rPr>
            </w:pPr>
            <w:r>
              <w:rPr>
                <w:rFonts w:ascii="Times New Roman" w:cs="Times New Roman" w:eastAsia="Times New Roman" w:hAnsi="Times New Roman"/>
                <w:sz w:val="18"/>
                <w:szCs w:val="18"/>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26,783</w:t>
            </w:r>
          </w:p>
        </w:tc>
        <w:tc>
          <w:tcPr>
            <w:tcW w:w="0" w:type="dxa"/>
            <w:vAlign w:val="bottom"/>
          </w:tcPr>
          <w:p>
            <w:pPr>
              <w:spacing w:after="0"/>
              <w:rPr>
                <w:sz w:val="1"/>
                <w:szCs w:val="1"/>
                <w:color w:val="auto"/>
              </w:rPr>
            </w:pPr>
          </w:p>
        </w:tc>
      </w:tr>
      <w:tr>
        <w:trPr>
          <w:trHeight w:val="248"/>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Accounts receivable, net</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79,320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114,182</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Contract assets</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8,091</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10,346</w:t>
            </w:r>
          </w:p>
        </w:tc>
        <w:tc>
          <w:tcPr>
            <w:tcW w:w="0" w:type="dxa"/>
            <w:vAlign w:val="bottom"/>
          </w:tcPr>
          <w:p>
            <w:pPr>
              <w:spacing w:after="0"/>
              <w:rPr>
                <w:sz w:val="1"/>
                <w:szCs w:val="1"/>
                <w:color w:val="auto"/>
              </w:rPr>
            </w:pPr>
          </w:p>
        </w:tc>
      </w:tr>
      <w:tr>
        <w:trPr>
          <w:trHeight w:val="248"/>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Inventories</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77,793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79,355</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Prepaid expenses and other current assets</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6,803</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9,478</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18"/>
                <w:szCs w:val="18"/>
                <w:color w:val="454546"/>
              </w:rPr>
              <w:t>Income tax receivable</w:t>
            </w:r>
          </w:p>
        </w:tc>
        <w:tc>
          <w:tcPr>
            <w:tcW w:w="540" w:type="dxa"/>
            <w:vAlign w:val="bottom"/>
            <w:tcBorders>
              <w:bottom w:val="single" w:sz="8" w:color="454546"/>
            </w:tcBorders>
          </w:tcPr>
          <w:p>
            <w:pPr>
              <w:spacing w:after="0"/>
              <w:rPr>
                <w:sz w:val="21"/>
                <w:szCs w:val="21"/>
                <w:color w:val="auto"/>
              </w:rPr>
            </w:pPr>
          </w:p>
        </w:tc>
        <w:tc>
          <w:tcPr>
            <w:tcW w:w="11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806</w:t>
            </w:r>
          </w:p>
        </w:tc>
        <w:tc>
          <w:tcPr>
            <w:tcW w:w="80" w:type="dxa"/>
            <w:vAlign w:val="bottom"/>
            <w:tcBorders>
              <w:bottom w:val="single" w:sz="8" w:color="E3E4E5"/>
            </w:tcBorders>
          </w:tcPr>
          <w:p>
            <w:pPr>
              <w:spacing w:after="0"/>
              <w:rPr>
                <w:sz w:val="21"/>
                <w:szCs w:val="21"/>
                <w:color w:val="auto"/>
              </w:rPr>
            </w:pPr>
          </w:p>
        </w:tc>
        <w:tc>
          <w:tcPr>
            <w:tcW w:w="560" w:type="dxa"/>
            <w:vAlign w:val="bottom"/>
            <w:tcBorders>
              <w:bottom w:val="single" w:sz="8" w:color="454546"/>
            </w:tcBorders>
          </w:tcPr>
          <w:p>
            <w:pPr>
              <w:spacing w:after="0"/>
              <w:rPr>
                <w:sz w:val="21"/>
                <w:szCs w:val="21"/>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2,350</w:t>
            </w:r>
          </w:p>
        </w:tc>
        <w:tc>
          <w:tcPr>
            <w:tcW w:w="0" w:type="dxa"/>
            <w:vAlign w:val="bottom"/>
          </w:tcPr>
          <w:p>
            <w:pPr>
              <w:spacing w:after="0"/>
              <w:rPr>
                <w:sz w:val="1"/>
                <w:szCs w:val="1"/>
                <w:color w:val="auto"/>
              </w:rPr>
            </w:pPr>
          </w:p>
        </w:tc>
      </w:tr>
      <w:tr>
        <w:trPr>
          <w:trHeight w:val="245"/>
        </w:trPr>
        <w:tc>
          <w:tcPr>
            <w:tcW w:w="6840" w:type="dxa"/>
            <w:vAlign w:val="bottom"/>
            <w:shd w:val="clear" w:color="auto" w:fill="E3E4E5"/>
          </w:tcPr>
          <w:p>
            <w:pPr>
              <w:ind w:left="900"/>
              <w:spacing w:after="0"/>
              <w:rPr>
                <w:sz w:val="20"/>
                <w:szCs w:val="20"/>
                <w:color w:val="auto"/>
              </w:rPr>
            </w:pPr>
            <w:r>
              <w:rPr>
                <w:rFonts w:ascii="Times New Roman" w:cs="Times New Roman" w:eastAsia="Times New Roman" w:hAnsi="Times New Roman"/>
                <w:sz w:val="18"/>
                <w:szCs w:val="18"/>
                <w:color w:val="454546"/>
              </w:rPr>
              <w:t>Total current assets</w:t>
            </w:r>
          </w:p>
        </w:tc>
        <w:tc>
          <w:tcPr>
            <w:tcW w:w="540" w:type="dxa"/>
            <w:vAlign w:val="bottom"/>
            <w:shd w:val="clear" w:color="auto" w:fill="E3E4E5"/>
          </w:tcPr>
          <w:p>
            <w:pPr>
              <w:spacing w:after="0"/>
              <w:rPr>
                <w:sz w:val="21"/>
                <w:szCs w:val="21"/>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205,119</w:t>
            </w:r>
          </w:p>
        </w:tc>
        <w:tc>
          <w:tcPr>
            <w:tcW w:w="80" w:type="dxa"/>
            <w:vAlign w:val="bottom"/>
            <w:shd w:val="clear" w:color="auto" w:fill="E3E4E5"/>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242,494</w:t>
            </w:r>
          </w:p>
        </w:tc>
        <w:tc>
          <w:tcPr>
            <w:tcW w:w="0" w:type="dxa"/>
            <w:vAlign w:val="bottom"/>
          </w:tcPr>
          <w:p>
            <w:pPr>
              <w:spacing w:after="0"/>
              <w:rPr>
                <w:sz w:val="1"/>
                <w:szCs w:val="1"/>
                <w:color w:val="auto"/>
              </w:rPr>
            </w:pPr>
          </w:p>
        </w:tc>
      </w:tr>
      <w:tr>
        <w:trPr>
          <w:trHeight w:val="248"/>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454546"/>
              </w:rPr>
              <w:t>Property, plant and equipment, net</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27,600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34,207</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454546"/>
              </w:rPr>
              <w:t>Intangible assets, net</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21,968</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24,038</w:t>
            </w:r>
          </w:p>
        </w:tc>
        <w:tc>
          <w:tcPr>
            <w:tcW w:w="0" w:type="dxa"/>
            <w:vAlign w:val="bottom"/>
          </w:tcPr>
          <w:p>
            <w:pPr>
              <w:spacing w:after="0"/>
              <w:rPr>
                <w:sz w:val="1"/>
                <w:szCs w:val="1"/>
                <w:color w:val="auto"/>
              </w:rPr>
            </w:pPr>
          </w:p>
        </w:tc>
      </w:tr>
      <w:tr>
        <w:trPr>
          <w:trHeight w:val="248"/>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454546"/>
              </w:rPr>
              <w:t>Operating lease right-of-use assets</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10,203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14,322</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454546"/>
              </w:rPr>
              <w:t>Deferred income taxes</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5,496</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6,425</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8"/>
                <w:szCs w:val="18"/>
                <w:color w:val="454546"/>
              </w:rPr>
              <w:t>Other assets</w:t>
            </w:r>
          </w:p>
        </w:tc>
        <w:tc>
          <w:tcPr>
            <w:tcW w:w="540" w:type="dxa"/>
            <w:vAlign w:val="bottom"/>
            <w:tcBorders>
              <w:bottom w:val="single" w:sz="8" w:color="454546"/>
            </w:tcBorders>
          </w:tcPr>
          <w:p>
            <w:pPr>
              <w:spacing w:after="0"/>
              <w:rPr>
                <w:sz w:val="21"/>
                <w:szCs w:val="21"/>
                <w:color w:val="auto"/>
              </w:rPr>
            </w:pPr>
          </w:p>
        </w:tc>
        <w:tc>
          <w:tcPr>
            <w:tcW w:w="11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3,611</w:t>
            </w:r>
          </w:p>
        </w:tc>
        <w:tc>
          <w:tcPr>
            <w:tcW w:w="80" w:type="dxa"/>
            <w:vAlign w:val="bottom"/>
            <w:tcBorders>
              <w:bottom w:val="single" w:sz="8" w:color="E3E4E5"/>
            </w:tcBorders>
          </w:tcPr>
          <w:p>
            <w:pPr>
              <w:spacing w:after="0"/>
              <w:rPr>
                <w:sz w:val="21"/>
                <w:szCs w:val="21"/>
                <w:color w:val="auto"/>
              </w:rPr>
            </w:pPr>
          </w:p>
        </w:tc>
        <w:tc>
          <w:tcPr>
            <w:tcW w:w="560" w:type="dxa"/>
            <w:vAlign w:val="bottom"/>
            <w:tcBorders>
              <w:bottom w:val="single" w:sz="8" w:color="454546"/>
            </w:tcBorders>
          </w:tcPr>
          <w:p>
            <w:pPr>
              <w:spacing w:after="0"/>
              <w:rPr>
                <w:sz w:val="21"/>
                <w:szCs w:val="21"/>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1,868</w:t>
            </w:r>
          </w:p>
        </w:tc>
        <w:tc>
          <w:tcPr>
            <w:tcW w:w="0" w:type="dxa"/>
            <w:vAlign w:val="bottom"/>
          </w:tcPr>
          <w:p>
            <w:pPr>
              <w:spacing w:after="0"/>
              <w:rPr>
                <w:sz w:val="1"/>
                <w:szCs w:val="1"/>
                <w:color w:val="auto"/>
              </w:rPr>
            </w:pPr>
          </w:p>
        </w:tc>
      </w:tr>
      <w:tr>
        <w:trPr>
          <w:trHeight w:val="240"/>
        </w:trPr>
        <w:tc>
          <w:tcPr>
            <w:tcW w:w="6840" w:type="dxa"/>
            <w:vAlign w:val="bottom"/>
            <w:tcBorders>
              <w:bottom w:val="single" w:sz="8" w:color="E3E4E5"/>
            </w:tcBorders>
            <w:shd w:val="clear" w:color="auto" w:fill="E3E4E5"/>
          </w:tcPr>
          <w:p>
            <w:pPr>
              <w:ind w:left="900"/>
              <w:spacing w:after="0"/>
              <w:rPr>
                <w:sz w:val="20"/>
                <w:szCs w:val="20"/>
                <w:color w:val="auto"/>
              </w:rPr>
            </w:pPr>
            <w:r>
              <w:rPr>
                <w:rFonts w:ascii="Times New Roman" w:cs="Times New Roman" w:eastAsia="Times New Roman" w:hAnsi="Times New Roman"/>
                <w:sz w:val="18"/>
                <w:szCs w:val="18"/>
                <w:color w:val="454546"/>
              </w:rPr>
              <w:t>Total assets</w:t>
            </w:r>
          </w:p>
        </w:tc>
        <w:tc>
          <w:tcPr>
            <w:tcW w:w="540" w:type="dxa"/>
            <w:vAlign w:val="bottom"/>
            <w:tcBorders>
              <w:bottom w:val="single" w:sz="8" w:color="454546"/>
            </w:tcBorders>
            <w:shd w:val="clear" w:color="auto" w:fill="E3E4E5"/>
          </w:tcPr>
          <w:p>
            <w:pPr>
              <w:jc w:val="right"/>
              <w:ind w:right="310"/>
              <w:spacing w:after="0"/>
              <w:rPr>
                <w:sz w:val="20"/>
                <w:szCs w:val="20"/>
                <w:color w:val="auto"/>
              </w:rPr>
            </w:pPr>
            <w:r>
              <w:rPr>
                <w:rFonts w:ascii="Times New Roman" w:cs="Times New Roman" w:eastAsia="Times New Roman" w:hAnsi="Times New Roman"/>
                <w:sz w:val="18"/>
                <w:szCs w:val="18"/>
                <w:color w:val="454546"/>
              </w:rPr>
              <w:t>$</w:t>
            </w:r>
          </w:p>
        </w:tc>
        <w:tc>
          <w:tcPr>
            <w:tcW w:w="11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273,997</w:t>
            </w:r>
          </w:p>
        </w:tc>
        <w:tc>
          <w:tcPr>
            <w:tcW w:w="80" w:type="dxa"/>
            <w:vAlign w:val="bottom"/>
            <w:tcBorders>
              <w:bottom w:val="single" w:sz="8" w:color="E3E4E5"/>
            </w:tcBorders>
            <w:shd w:val="clear" w:color="auto" w:fill="E3E4E5"/>
          </w:tcPr>
          <w:p>
            <w:pPr>
              <w:spacing w:after="0"/>
              <w:rPr>
                <w:sz w:val="20"/>
                <w:szCs w:val="20"/>
                <w:color w:val="auto"/>
              </w:rPr>
            </w:pPr>
          </w:p>
        </w:tc>
        <w:tc>
          <w:tcPr>
            <w:tcW w:w="560" w:type="dxa"/>
            <w:vAlign w:val="bottom"/>
            <w:tcBorders>
              <w:bottom w:val="single" w:sz="8" w:color="454546"/>
            </w:tcBorders>
            <w:shd w:val="clear" w:color="auto" w:fill="E3E4E5"/>
          </w:tcPr>
          <w:p>
            <w:pPr>
              <w:jc w:val="right"/>
              <w:ind w:right="330"/>
              <w:spacing w:after="0"/>
              <w:rPr>
                <w:sz w:val="20"/>
                <w:szCs w:val="20"/>
                <w:color w:val="auto"/>
              </w:rPr>
            </w:pPr>
            <w:r>
              <w:rPr>
                <w:rFonts w:ascii="Times New Roman" w:cs="Times New Roman" w:eastAsia="Times New Roman" w:hAnsi="Times New Roman"/>
                <w:sz w:val="18"/>
                <w:szCs w:val="18"/>
                <w:color w:val="454546"/>
              </w:rPr>
              <w:t>$</w:t>
            </w: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323,354</w:t>
            </w:r>
          </w:p>
        </w:tc>
        <w:tc>
          <w:tcPr>
            <w:tcW w:w="0" w:type="dxa"/>
            <w:vAlign w:val="bottom"/>
          </w:tcPr>
          <w:p>
            <w:pPr>
              <w:spacing w:after="0"/>
              <w:rPr>
                <w:sz w:val="1"/>
                <w:szCs w:val="1"/>
                <w:color w:val="auto"/>
              </w:rPr>
            </w:pPr>
          </w:p>
        </w:tc>
      </w:tr>
      <w:tr>
        <w:trPr>
          <w:trHeight w:val="20"/>
        </w:trPr>
        <w:tc>
          <w:tcPr>
            <w:tcW w:w="6840" w:type="dxa"/>
            <w:vAlign w:val="bottom"/>
            <w:tcBorders>
              <w:top w:val="single" w:sz="8" w:color="E3E4E5"/>
              <w:bottom w:val="single" w:sz="8" w:color="E3E4E5"/>
            </w:tcBorders>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454546"/>
              </w:rPr>
              <w:t>LIABILITIES AND STOCKHOLDERS' EQUITY</w:t>
            </w:r>
          </w:p>
        </w:tc>
        <w:tc>
          <w:tcPr>
            <w:tcW w:w="540" w:type="dxa"/>
            <w:vAlign w:val="bottom"/>
            <w:tcBorders>
              <w:top w:val="single" w:sz="8" w:color="E3E4E5"/>
              <w:bottom w:val="single" w:sz="8" w:color="454546"/>
            </w:tcBorders>
          </w:tcPr>
          <w:p>
            <w:pPr>
              <w:spacing w:after="0" w:line="20" w:lineRule="exact"/>
              <w:rPr>
                <w:sz w:val="1"/>
                <w:szCs w:val="1"/>
                <w:color w:val="auto"/>
              </w:rPr>
            </w:pPr>
          </w:p>
        </w:tc>
        <w:tc>
          <w:tcPr>
            <w:tcW w:w="1100" w:type="dxa"/>
            <w:vAlign w:val="bottom"/>
            <w:tcBorders>
              <w:top w:val="single" w:sz="8" w:color="E3E4E5"/>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560" w:type="dxa"/>
            <w:vAlign w:val="bottom"/>
            <w:tcBorders>
              <w:top w:val="single" w:sz="8" w:color="E3E4E5"/>
              <w:bottom w:val="single" w:sz="8" w:color="454546"/>
            </w:tcBorders>
          </w:tcPr>
          <w:p>
            <w:pPr>
              <w:spacing w:after="0" w:line="20" w:lineRule="exact"/>
              <w:rPr>
                <w:sz w:val="1"/>
                <w:szCs w:val="1"/>
                <w:color w:val="auto"/>
              </w:rPr>
            </w:pPr>
          </w:p>
        </w:tc>
        <w:tc>
          <w:tcPr>
            <w:tcW w:w="1140" w:type="dxa"/>
            <w:vAlign w:val="bottom"/>
            <w:tcBorders>
              <w:top w:val="single" w:sz="8" w:color="E3E4E5"/>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8"/>
                <w:szCs w:val="18"/>
                <w:color w:val="454546"/>
              </w:rPr>
              <w:t>Current liabilities:</w:t>
            </w:r>
          </w:p>
        </w:tc>
        <w:tc>
          <w:tcPr>
            <w:tcW w:w="540" w:type="dxa"/>
            <w:vAlign w:val="bottom"/>
            <w:tcBorders>
              <w:bottom w:val="single" w:sz="8" w:color="E3E4E5"/>
            </w:tcBorders>
            <w:shd w:val="clear" w:color="auto" w:fill="E3E4E5"/>
          </w:tcPr>
          <w:p>
            <w:pPr>
              <w:spacing w:after="0"/>
              <w:rPr>
                <w:sz w:val="21"/>
                <w:szCs w:val="21"/>
                <w:color w:val="auto"/>
              </w:rPr>
            </w:pPr>
          </w:p>
        </w:tc>
        <w:tc>
          <w:tcPr>
            <w:tcW w:w="1100" w:type="dxa"/>
            <w:vAlign w:val="bottom"/>
            <w:tcBorders>
              <w:bottom w:val="single" w:sz="8" w:color="E3E4E5"/>
            </w:tcBorders>
            <w:shd w:val="clear" w:color="auto" w:fill="E3E4E5"/>
          </w:tcPr>
          <w:p>
            <w:pPr>
              <w:spacing w:after="0"/>
              <w:rPr>
                <w:sz w:val="21"/>
                <w:szCs w:val="21"/>
                <w:color w:val="auto"/>
              </w:rPr>
            </w:pPr>
          </w:p>
        </w:tc>
        <w:tc>
          <w:tcPr>
            <w:tcW w:w="80" w:type="dxa"/>
            <w:vAlign w:val="bottom"/>
            <w:tcBorders>
              <w:bottom w:val="single" w:sz="8" w:color="E3E4E5"/>
            </w:tcBorders>
            <w:shd w:val="clear" w:color="auto" w:fill="E3E4E5"/>
          </w:tcPr>
          <w:p>
            <w:pPr>
              <w:spacing w:after="0"/>
              <w:rPr>
                <w:sz w:val="21"/>
                <w:szCs w:val="21"/>
                <w:color w:val="auto"/>
              </w:rPr>
            </w:pPr>
          </w:p>
        </w:tc>
        <w:tc>
          <w:tcPr>
            <w:tcW w:w="560" w:type="dxa"/>
            <w:vAlign w:val="bottom"/>
            <w:tcBorders>
              <w:bottom w:val="single" w:sz="8" w:color="E3E4E5"/>
            </w:tcBorders>
            <w:shd w:val="clear" w:color="auto" w:fill="E3E4E5"/>
          </w:tcPr>
          <w:p>
            <w:pPr>
              <w:spacing w:after="0"/>
              <w:rPr>
                <w:sz w:val="21"/>
                <w:szCs w:val="21"/>
                <w:color w:val="auto"/>
              </w:rPr>
            </w:pPr>
          </w:p>
        </w:tc>
        <w:tc>
          <w:tcPr>
            <w:tcW w:w="1140" w:type="dxa"/>
            <w:vAlign w:val="bottom"/>
            <w:tcBorders>
              <w:bottom w:val="single" w:sz="8" w:color="E3E4E5"/>
            </w:tcBorders>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Accounts payable</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454546"/>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48,945</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72,031</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Lines of credit</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24,079</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36,960</w:t>
            </w:r>
          </w:p>
        </w:tc>
        <w:tc>
          <w:tcPr>
            <w:tcW w:w="0" w:type="dxa"/>
            <w:vAlign w:val="bottom"/>
          </w:tcPr>
          <w:p>
            <w:pPr>
              <w:spacing w:after="0"/>
              <w:rPr>
                <w:sz w:val="1"/>
                <w:szCs w:val="1"/>
                <w:color w:val="auto"/>
              </w:rPr>
            </w:pPr>
          </w:p>
        </w:tc>
      </w:tr>
      <w:tr>
        <w:trPr>
          <w:trHeight w:val="248"/>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Accrued compensation</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17,496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20,927</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Accrued sales discounts, rebates and royalties</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6,132</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5,204</w:t>
            </w:r>
          </w:p>
        </w:tc>
        <w:tc>
          <w:tcPr>
            <w:tcW w:w="0" w:type="dxa"/>
            <w:vAlign w:val="bottom"/>
          </w:tcPr>
          <w:p>
            <w:pPr>
              <w:spacing w:after="0"/>
              <w:rPr>
                <w:sz w:val="1"/>
                <w:szCs w:val="1"/>
                <w:color w:val="auto"/>
              </w:rPr>
            </w:pPr>
          </w:p>
        </w:tc>
      </w:tr>
      <w:tr>
        <w:trPr>
          <w:trHeight w:val="248"/>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Accrued income taxes</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2,524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2,161</w:t>
            </w:r>
          </w:p>
        </w:tc>
        <w:tc>
          <w:tcPr>
            <w:tcW w:w="0" w:type="dxa"/>
            <w:vAlign w:val="bottom"/>
          </w:tcPr>
          <w:p>
            <w:pPr>
              <w:spacing w:after="0"/>
              <w:rPr>
                <w:sz w:val="1"/>
                <w:szCs w:val="1"/>
                <w:color w:val="auto"/>
              </w:rPr>
            </w:pPr>
          </w:p>
        </w:tc>
      </w:tr>
      <w:tr>
        <w:trPr>
          <w:trHeight w:val="270"/>
        </w:trPr>
        <w:tc>
          <w:tcPr>
            <w:tcW w:w="684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Other accrued liabilities</w:t>
            </w:r>
          </w:p>
        </w:tc>
        <w:tc>
          <w:tcPr>
            <w:tcW w:w="540" w:type="dxa"/>
            <w:vAlign w:val="bottom"/>
            <w:tcBorders>
              <w:bottom w:val="single" w:sz="8" w:color="454546"/>
            </w:tcBorders>
            <w:shd w:val="clear" w:color="auto" w:fill="E3E4E5"/>
          </w:tcPr>
          <w:p>
            <w:pPr>
              <w:spacing w:after="0"/>
              <w:rPr>
                <w:sz w:val="23"/>
                <w:szCs w:val="23"/>
                <w:color w:val="auto"/>
              </w:rPr>
            </w:pPr>
          </w:p>
        </w:tc>
        <w:tc>
          <w:tcPr>
            <w:tcW w:w="11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20,134</w:t>
            </w:r>
          </w:p>
        </w:tc>
        <w:tc>
          <w:tcPr>
            <w:tcW w:w="80" w:type="dxa"/>
            <w:vAlign w:val="bottom"/>
            <w:tcBorders>
              <w:bottom w:val="single" w:sz="8" w:color="E3E4E5"/>
            </w:tcBorders>
            <w:shd w:val="clear" w:color="auto" w:fill="E3E4E5"/>
          </w:tcPr>
          <w:p>
            <w:pPr>
              <w:spacing w:after="0"/>
              <w:rPr>
                <w:sz w:val="23"/>
                <w:szCs w:val="23"/>
                <w:color w:val="auto"/>
              </w:rPr>
            </w:pPr>
          </w:p>
        </w:tc>
        <w:tc>
          <w:tcPr>
            <w:tcW w:w="560" w:type="dxa"/>
            <w:vAlign w:val="bottom"/>
            <w:tcBorders>
              <w:bottom w:val="single" w:sz="8" w:color="454546"/>
            </w:tcBorders>
            <w:shd w:val="clear" w:color="auto" w:fill="E3E4E5"/>
          </w:tcPr>
          <w:p>
            <w:pPr>
              <w:spacing w:after="0"/>
              <w:rPr>
                <w:sz w:val="23"/>
                <w:szCs w:val="23"/>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21,008</w:t>
            </w:r>
          </w:p>
        </w:tc>
        <w:tc>
          <w:tcPr>
            <w:tcW w:w="0" w:type="dxa"/>
            <w:vAlign w:val="bottom"/>
          </w:tcPr>
          <w:p>
            <w:pPr>
              <w:spacing w:after="0"/>
              <w:rPr>
                <w:sz w:val="1"/>
                <w:szCs w:val="1"/>
                <w:color w:val="auto"/>
              </w:rPr>
            </w:pPr>
          </w:p>
        </w:tc>
      </w:tr>
      <w:tr>
        <w:trPr>
          <w:trHeight w:val="222"/>
        </w:trPr>
        <w:tc>
          <w:tcPr>
            <w:tcW w:w="6840" w:type="dxa"/>
            <w:vAlign w:val="bottom"/>
          </w:tcPr>
          <w:p>
            <w:pPr>
              <w:ind w:left="900"/>
              <w:spacing w:after="0"/>
              <w:rPr>
                <w:sz w:val="20"/>
                <w:szCs w:val="20"/>
                <w:color w:val="auto"/>
              </w:rPr>
            </w:pPr>
            <w:r>
              <w:rPr>
                <w:rFonts w:ascii="Times New Roman" w:cs="Times New Roman" w:eastAsia="Times New Roman" w:hAnsi="Times New Roman"/>
                <w:sz w:val="18"/>
                <w:szCs w:val="18"/>
                <w:color w:val="454546"/>
              </w:rPr>
              <w:t>Total current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119,310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158,291</w:t>
            </w:r>
          </w:p>
        </w:tc>
        <w:tc>
          <w:tcPr>
            <w:tcW w:w="0" w:type="dxa"/>
            <w:vAlign w:val="bottom"/>
          </w:tcPr>
          <w:p>
            <w:pPr>
              <w:spacing w:after="0"/>
              <w:rPr>
                <w:sz w:val="1"/>
                <w:szCs w:val="1"/>
                <w:color w:val="auto"/>
              </w:rPr>
            </w:pPr>
          </w:p>
        </w:tc>
      </w:tr>
      <w:tr>
        <w:trPr>
          <w:trHeight w:val="240"/>
        </w:trPr>
        <w:tc>
          <w:tcPr>
            <w:tcW w:w="68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8"/>
                <w:szCs w:val="18"/>
                <w:color w:val="454546"/>
              </w:rPr>
              <w:t>Long-term liabilities:</w:t>
            </w:r>
          </w:p>
        </w:tc>
        <w:tc>
          <w:tcPr>
            <w:tcW w:w="540" w:type="dxa"/>
            <w:vAlign w:val="bottom"/>
            <w:tcBorders>
              <w:bottom w:val="single" w:sz="8" w:color="E3E4E5"/>
            </w:tcBorders>
            <w:shd w:val="clear" w:color="auto" w:fill="E3E4E5"/>
          </w:tcPr>
          <w:p>
            <w:pPr>
              <w:spacing w:after="0"/>
              <w:rPr>
                <w:sz w:val="20"/>
                <w:szCs w:val="20"/>
                <w:color w:val="auto"/>
              </w:rPr>
            </w:pPr>
          </w:p>
        </w:tc>
        <w:tc>
          <w:tcPr>
            <w:tcW w:w="1100" w:type="dxa"/>
            <w:vAlign w:val="bottom"/>
            <w:tcBorders>
              <w:bottom w:val="single" w:sz="8" w:color="E3E4E5"/>
            </w:tcBorders>
            <w:shd w:val="clear" w:color="auto" w:fill="E3E4E5"/>
          </w:tcPr>
          <w:p>
            <w:pPr>
              <w:spacing w:after="0"/>
              <w:rPr>
                <w:sz w:val="20"/>
                <w:szCs w:val="20"/>
                <w:color w:val="auto"/>
              </w:rPr>
            </w:pPr>
          </w:p>
        </w:tc>
        <w:tc>
          <w:tcPr>
            <w:tcW w:w="80" w:type="dxa"/>
            <w:vAlign w:val="bottom"/>
            <w:tcBorders>
              <w:bottom w:val="single" w:sz="8" w:color="E3E4E5"/>
            </w:tcBorders>
            <w:shd w:val="clear" w:color="auto" w:fill="E3E4E5"/>
          </w:tcPr>
          <w:p>
            <w:pPr>
              <w:spacing w:after="0"/>
              <w:rPr>
                <w:sz w:val="20"/>
                <w:szCs w:val="20"/>
                <w:color w:val="auto"/>
              </w:rPr>
            </w:pPr>
          </w:p>
        </w:tc>
        <w:tc>
          <w:tcPr>
            <w:tcW w:w="560" w:type="dxa"/>
            <w:vAlign w:val="bottom"/>
            <w:tcBorders>
              <w:bottom w:val="single" w:sz="8" w:color="E3E4E5"/>
            </w:tcBorders>
            <w:shd w:val="clear" w:color="auto" w:fill="E3E4E5"/>
          </w:tcPr>
          <w:p>
            <w:pPr>
              <w:spacing w:after="0"/>
              <w:rPr>
                <w:sz w:val="20"/>
                <w:szCs w:val="20"/>
                <w:color w:val="auto"/>
              </w:rPr>
            </w:pPr>
          </w:p>
        </w:tc>
        <w:tc>
          <w:tcPr>
            <w:tcW w:w="1140" w:type="dxa"/>
            <w:vAlign w:val="bottom"/>
            <w:tcBorders>
              <w:bottom w:val="single" w:sz="8" w:color="E3E4E5"/>
            </w:tcBorders>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Operating lease obligations</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6,193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9,232</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Deferred income taxes</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1,507</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1,931</w:t>
            </w:r>
          </w:p>
        </w:tc>
        <w:tc>
          <w:tcPr>
            <w:tcW w:w="0" w:type="dxa"/>
            <w:vAlign w:val="bottom"/>
          </w:tcPr>
          <w:p>
            <w:pPr>
              <w:spacing w:after="0"/>
              <w:rPr>
                <w:sz w:val="1"/>
                <w:szCs w:val="1"/>
                <w:color w:val="auto"/>
              </w:rPr>
            </w:pPr>
          </w:p>
        </w:tc>
      </w:tr>
      <w:tr>
        <w:trPr>
          <w:trHeight w:val="248"/>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Income tax payable</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74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72</w:t>
            </w:r>
          </w:p>
        </w:tc>
        <w:tc>
          <w:tcPr>
            <w:tcW w:w="0" w:type="dxa"/>
            <w:vAlign w:val="bottom"/>
          </w:tcPr>
          <w:p>
            <w:pPr>
              <w:spacing w:after="0"/>
              <w:rPr>
                <w:sz w:val="1"/>
                <w:szCs w:val="1"/>
                <w:color w:val="auto"/>
              </w:rPr>
            </w:pPr>
          </w:p>
        </w:tc>
      </w:tr>
      <w:tr>
        <w:trPr>
          <w:trHeight w:val="270"/>
        </w:trPr>
        <w:tc>
          <w:tcPr>
            <w:tcW w:w="684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Other long-term liabilities</w:t>
            </w:r>
          </w:p>
        </w:tc>
        <w:tc>
          <w:tcPr>
            <w:tcW w:w="540" w:type="dxa"/>
            <w:vAlign w:val="bottom"/>
            <w:tcBorders>
              <w:bottom w:val="single" w:sz="8" w:color="454546"/>
            </w:tcBorders>
            <w:shd w:val="clear" w:color="auto" w:fill="E3E4E5"/>
          </w:tcPr>
          <w:p>
            <w:pPr>
              <w:spacing w:after="0"/>
              <w:rPr>
                <w:sz w:val="23"/>
                <w:szCs w:val="23"/>
                <w:color w:val="auto"/>
              </w:rPr>
            </w:pPr>
          </w:p>
        </w:tc>
        <w:tc>
          <w:tcPr>
            <w:tcW w:w="11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729</w:t>
            </w:r>
          </w:p>
        </w:tc>
        <w:tc>
          <w:tcPr>
            <w:tcW w:w="80" w:type="dxa"/>
            <w:vAlign w:val="bottom"/>
            <w:tcBorders>
              <w:bottom w:val="single" w:sz="8" w:color="E3E4E5"/>
            </w:tcBorders>
            <w:shd w:val="clear" w:color="auto" w:fill="E3E4E5"/>
          </w:tcPr>
          <w:p>
            <w:pPr>
              <w:spacing w:after="0"/>
              <w:rPr>
                <w:sz w:val="23"/>
                <w:szCs w:val="23"/>
                <w:color w:val="auto"/>
              </w:rPr>
            </w:pPr>
          </w:p>
        </w:tc>
        <w:tc>
          <w:tcPr>
            <w:tcW w:w="560" w:type="dxa"/>
            <w:vAlign w:val="bottom"/>
            <w:tcBorders>
              <w:bottom w:val="single" w:sz="8" w:color="454546"/>
            </w:tcBorders>
            <w:shd w:val="clear" w:color="auto" w:fill="E3E4E5"/>
          </w:tcPr>
          <w:p>
            <w:pPr>
              <w:spacing w:after="0"/>
              <w:rPr>
                <w:sz w:val="23"/>
                <w:szCs w:val="23"/>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723</w:t>
            </w:r>
          </w:p>
        </w:tc>
        <w:tc>
          <w:tcPr>
            <w:tcW w:w="0" w:type="dxa"/>
            <w:vAlign w:val="bottom"/>
          </w:tcPr>
          <w:p>
            <w:pPr>
              <w:spacing w:after="0"/>
              <w:rPr>
                <w:sz w:val="1"/>
                <w:szCs w:val="1"/>
                <w:color w:val="auto"/>
              </w:rPr>
            </w:pPr>
          </w:p>
        </w:tc>
      </w:tr>
      <w:tr>
        <w:trPr>
          <w:trHeight w:val="222"/>
        </w:trPr>
        <w:tc>
          <w:tcPr>
            <w:tcW w:w="6840" w:type="dxa"/>
            <w:vAlign w:val="bottom"/>
          </w:tcPr>
          <w:p>
            <w:pPr>
              <w:ind w:left="900"/>
              <w:spacing w:after="0"/>
              <w:rPr>
                <w:sz w:val="20"/>
                <w:szCs w:val="20"/>
                <w:color w:val="auto"/>
              </w:rPr>
            </w:pPr>
            <w:r>
              <w:rPr>
                <w:rFonts w:ascii="Times New Roman" w:cs="Times New Roman" w:eastAsia="Times New Roman" w:hAnsi="Times New Roman"/>
                <w:sz w:val="18"/>
                <w:szCs w:val="18"/>
                <w:color w:val="454546"/>
              </w:rPr>
              <w:t>Total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127,813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170,249</w:t>
            </w:r>
          </w:p>
        </w:tc>
        <w:tc>
          <w:tcPr>
            <w:tcW w:w="0" w:type="dxa"/>
            <w:vAlign w:val="bottom"/>
          </w:tcPr>
          <w:p>
            <w:pPr>
              <w:spacing w:after="0"/>
              <w:rPr>
                <w:sz w:val="1"/>
                <w:szCs w:val="1"/>
                <w:color w:val="auto"/>
              </w:rPr>
            </w:pPr>
          </w:p>
        </w:tc>
      </w:tr>
      <w:tr>
        <w:trPr>
          <w:trHeight w:val="240"/>
        </w:trPr>
        <w:tc>
          <w:tcPr>
            <w:tcW w:w="68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8"/>
                <w:szCs w:val="18"/>
                <w:color w:val="454546"/>
              </w:rPr>
              <w:t>Commitments and contingencies (Note 13)</w:t>
            </w:r>
          </w:p>
        </w:tc>
        <w:tc>
          <w:tcPr>
            <w:tcW w:w="540" w:type="dxa"/>
            <w:vAlign w:val="bottom"/>
            <w:tcBorders>
              <w:bottom w:val="single" w:sz="8" w:color="E3E4E5"/>
            </w:tcBorders>
            <w:shd w:val="clear" w:color="auto" w:fill="E3E4E5"/>
          </w:tcPr>
          <w:p>
            <w:pPr>
              <w:spacing w:after="0"/>
              <w:rPr>
                <w:sz w:val="20"/>
                <w:szCs w:val="20"/>
                <w:color w:val="auto"/>
              </w:rPr>
            </w:pPr>
          </w:p>
        </w:tc>
        <w:tc>
          <w:tcPr>
            <w:tcW w:w="1100" w:type="dxa"/>
            <w:vAlign w:val="bottom"/>
            <w:tcBorders>
              <w:bottom w:val="single" w:sz="8" w:color="E3E4E5"/>
            </w:tcBorders>
            <w:shd w:val="clear" w:color="auto" w:fill="E3E4E5"/>
          </w:tcPr>
          <w:p>
            <w:pPr>
              <w:spacing w:after="0"/>
              <w:rPr>
                <w:sz w:val="20"/>
                <w:szCs w:val="20"/>
                <w:color w:val="auto"/>
              </w:rPr>
            </w:pPr>
          </w:p>
        </w:tc>
        <w:tc>
          <w:tcPr>
            <w:tcW w:w="80" w:type="dxa"/>
            <w:vAlign w:val="bottom"/>
            <w:tcBorders>
              <w:bottom w:val="single" w:sz="8" w:color="E3E4E5"/>
            </w:tcBorders>
            <w:shd w:val="clear" w:color="auto" w:fill="E3E4E5"/>
          </w:tcPr>
          <w:p>
            <w:pPr>
              <w:spacing w:after="0"/>
              <w:rPr>
                <w:sz w:val="20"/>
                <w:szCs w:val="20"/>
                <w:color w:val="auto"/>
              </w:rPr>
            </w:pPr>
          </w:p>
        </w:tc>
        <w:tc>
          <w:tcPr>
            <w:tcW w:w="560" w:type="dxa"/>
            <w:vAlign w:val="bottom"/>
            <w:tcBorders>
              <w:bottom w:val="single" w:sz="8" w:color="E3E4E5"/>
            </w:tcBorders>
            <w:shd w:val="clear" w:color="auto" w:fill="E3E4E5"/>
          </w:tcPr>
          <w:p>
            <w:pPr>
              <w:spacing w:after="0"/>
              <w:rPr>
                <w:sz w:val="20"/>
                <w:szCs w:val="20"/>
                <w:color w:val="auto"/>
              </w:rPr>
            </w:pPr>
          </w:p>
        </w:tc>
        <w:tc>
          <w:tcPr>
            <w:tcW w:w="1140" w:type="dxa"/>
            <w:vAlign w:val="bottom"/>
            <w:tcBorders>
              <w:bottom w:val="single" w:sz="8" w:color="E3E4E5"/>
            </w:tcBorders>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454546"/>
              </w:rPr>
              <w:t>Stockholders' equity:</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shd w:val="clear" w:color="auto" w:fill="E3E4E5"/>
          </w:tcPr>
          <w:p>
            <w:pPr>
              <w:ind w:left="400"/>
              <w:spacing w:after="0" w:line="178" w:lineRule="exact"/>
              <w:rPr>
                <w:sz w:val="20"/>
                <w:szCs w:val="20"/>
                <w:color w:val="auto"/>
              </w:rPr>
            </w:pPr>
            <w:r>
              <w:rPr>
                <w:rFonts w:ascii="Times New Roman" w:cs="Times New Roman" w:eastAsia="Times New Roman" w:hAnsi="Times New Roman"/>
                <w:sz w:val="18"/>
                <w:szCs w:val="18"/>
                <w:color w:val="454546"/>
              </w:rPr>
              <w:t>Preferred stock, $0.01 par value, 5,000,000 shares authorized; none issued or</w:t>
            </w:r>
          </w:p>
        </w:tc>
        <w:tc>
          <w:tcPr>
            <w:tcW w:w="540" w:type="dxa"/>
            <w:vAlign w:val="bottom"/>
            <w:shd w:val="clear" w:color="auto" w:fill="E3E4E5"/>
          </w:tcPr>
          <w:p>
            <w:pPr>
              <w:spacing w:after="0"/>
              <w:rPr>
                <w:sz w:val="15"/>
                <w:szCs w:val="15"/>
                <w:color w:val="auto"/>
              </w:rPr>
            </w:pPr>
          </w:p>
        </w:tc>
        <w:tc>
          <w:tcPr>
            <w:tcW w:w="1100" w:type="dxa"/>
            <w:vAlign w:val="bottom"/>
            <w:shd w:val="clear" w:color="auto" w:fill="E3E4E5"/>
          </w:tcPr>
          <w:p>
            <w:pPr>
              <w:spacing w:after="0"/>
              <w:rPr>
                <w:sz w:val="15"/>
                <w:szCs w:val="15"/>
                <w:color w:val="auto"/>
              </w:rPr>
            </w:pPr>
          </w:p>
        </w:tc>
        <w:tc>
          <w:tcPr>
            <w:tcW w:w="80" w:type="dxa"/>
            <w:vAlign w:val="bottom"/>
            <w:shd w:val="clear" w:color="auto" w:fill="E3E4E5"/>
          </w:tcPr>
          <w:p>
            <w:pPr>
              <w:spacing w:after="0"/>
              <w:rPr>
                <w:sz w:val="15"/>
                <w:szCs w:val="15"/>
                <w:color w:val="auto"/>
              </w:rPr>
            </w:pPr>
          </w:p>
        </w:tc>
        <w:tc>
          <w:tcPr>
            <w:tcW w:w="560" w:type="dxa"/>
            <w:vAlign w:val="bottom"/>
            <w:shd w:val="clear" w:color="auto" w:fill="E3E4E5"/>
          </w:tcPr>
          <w:p>
            <w:pPr>
              <w:spacing w:after="0"/>
              <w:rPr>
                <w:sz w:val="15"/>
                <w:szCs w:val="15"/>
                <w:color w:val="auto"/>
              </w:rPr>
            </w:pPr>
          </w:p>
        </w:tc>
        <w:tc>
          <w:tcPr>
            <w:tcW w:w="1140" w:type="dxa"/>
            <w:vAlign w:val="bottom"/>
            <w:shd w:val="clear" w:color="auto" w:fill="E3E4E5"/>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outstanding</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w:t>
            </w:r>
          </w:p>
        </w:tc>
        <w:tc>
          <w:tcPr>
            <w:tcW w:w="0" w:type="dxa"/>
            <w:vAlign w:val="bottom"/>
          </w:tcPr>
          <w:p>
            <w:pPr>
              <w:spacing w:after="0"/>
              <w:rPr>
                <w:sz w:val="1"/>
                <w:szCs w:val="1"/>
                <w:color w:val="auto"/>
              </w:rPr>
            </w:pPr>
          </w:p>
        </w:tc>
      </w:tr>
      <w:tr>
        <w:trPr>
          <w:trHeight w:val="178"/>
        </w:trPr>
        <w:tc>
          <w:tcPr>
            <w:tcW w:w="6840" w:type="dxa"/>
            <w:vAlign w:val="bottom"/>
          </w:tcPr>
          <w:p>
            <w:pPr>
              <w:ind w:left="400"/>
              <w:spacing w:after="0" w:line="178" w:lineRule="exact"/>
              <w:rPr>
                <w:sz w:val="20"/>
                <w:szCs w:val="20"/>
                <w:color w:val="auto"/>
              </w:rPr>
            </w:pPr>
            <w:r>
              <w:rPr>
                <w:rFonts w:ascii="Times New Roman" w:cs="Times New Roman" w:eastAsia="Times New Roman" w:hAnsi="Times New Roman"/>
                <w:sz w:val="18"/>
                <w:szCs w:val="18"/>
                <w:color w:val="454546"/>
              </w:rPr>
              <w:t>Common stock, $0.01 par value, 50,000,000 shares authorized; 26,146,367 and</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25,712,940 shares issued on December 31, 2025 and 2024, respectively</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261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257</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Paid-in capital</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350,222</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344,697</w:t>
            </w:r>
          </w:p>
        </w:tc>
        <w:tc>
          <w:tcPr>
            <w:tcW w:w="0" w:type="dxa"/>
            <w:vAlign w:val="bottom"/>
          </w:tcPr>
          <w:p>
            <w:pPr>
              <w:spacing w:after="0"/>
              <w:rPr>
                <w:sz w:val="1"/>
                <w:szCs w:val="1"/>
                <w:color w:val="auto"/>
              </w:rPr>
            </w:pPr>
          </w:p>
        </w:tc>
      </w:tr>
      <w:tr>
        <w:trPr>
          <w:trHeight w:val="178"/>
        </w:trPr>
        <w:tc>
          <w:tcPr>
            <w:tcW w:w="6840" w:type="dxa"/>
            <w:vAlign w:val="bottom"/>
          </w:tcPr>
          <w:p>
            <w:pPr>
              <w:ind w:left="400"/>
              <w:spacing w:after="0" w:line="178" w:lineRule="exact"/>
              <w:rPr>
                <w:sz w:val="20"/>
                <w:szCs w:val="20"/>
                <w:color w:val="auto"/>
              </w:rPr>
            </w:pPr>
            <w:r>
              <w:rPr>
                <w:rFonts w:ascii="Times New Roman" w:cs="Times New Roman" w:eastAsia="Times New Roman" w:hAnsi="Times New Roman"/>
                <w:sz w:val="18"/>
                <w:szCs w:val="18"/>
                <w:color w:val="454546"/>
              </w:rPr>
              <w:t>Treasury stock, at cost, 13,537,944 and 12,666,443 shares on December 31, 2025 and</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454546"/>
              </w:rPr>
              <w:t>2024, respectively</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(375,016)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54546"/>
              </w:rPr>
              <w:t>(371,930)</w:t>
            </w:r>
          </w:p>
        </w:tc>
        <w:tc>
          <w:tcPr>
            <w:tcW w:w="0" w:type="dxa"/>
            <w:vAlign w:val="bottom"/>
          </w:tcPr>
          <w:p>
            <w:pPr>
              <w:spacing w:after="0"/>
              <w:rPr>
                <w:sz w:val="1"/>
                <w:szCs w:val="1"/>
                <w:color w:val="auto"/>
              </w:rPr>
            </w:pPr>
          </w:p>
        </w:tc>
      </w:tr>
      <w:tr>
        <w:trPr>
          <w:trHeight w:val="262"/>
        </w:trPr>
        <w:tc>
          <w:tcPr>
            <w:tcW w:w="68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18"/>
                <w:szCs w:val="18"/>
                <w:color w:val="454546"/>
              </w:rPr>
              <w:t>Accumulated other comprehensive income (loss)</w:t>
            </w:r>
          </w:p>
        </w:tc>
        <w:tc>
          <w:tcPr>
            <w:tcW w:w="540" w:type="dxa"/>
            <w:vAlign w:val="bottom"/>
            <w:shd w:val="clear" w:color="auto" w:fill="E3E4E5"/>
          </w:tcPr>
          <w:p>
            <w:pPr>
              <w:spacing w:after="0"/>
              <w:rPr>
                <w:sz w:val="22"/>
                <w:szCs w:val="22"/>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(19,115)</w:t>
            </w:r>
          </w:p>
        </w:tc>
        <w:tc>
          <w:tcPr>
            <w:tcW w:w="80" w:type="dxa"/>
            <w:vAlign w:val="bottom"/>
            <w:shd w:val="clear" w:color="auto" w:fill="E3E4E5"/>
          </w:tcPr>
          <w:p>
            <w:pPr>
              <w:spacing w:after="0"/>
              <w:rPr>
                <w:sz w:val="22"/>
                <w:szCs w:val="22"/>
                <w:color w:val="auto"/>
              </w:rPr>
            </w:pPr>
          </w:p>
        </w:tc>
        <w:tc>
          <w:tcPr>
            <w:tcW w:w="560" w:type="dxa"/>
            <w:vAlign w:val="bottom"/>
            <w:shd w:val="clear" w:color="auto" w:fill="E3E4E5"/>
          </w:tcPr>
          <w:p>
            <w:pPr>
              <w:spacing w:after="0"/>
              <w:rPr>
                <w:sz w:val="22"/>
                <w:szCs w:val="22"/>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(28,350)</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18"/>
                <w:szCs w:val="18"/>
                <w:color w:val="454546"/>
              </w:rPr>
              <w:t>Retained earnings</w:t>
            </w:r>
          </w:p>
        </w:tc>
        <w:tc>
          <w:tcPr>
            <w:tcW w:w="540" w:type="dxa"/>
            <w:vAlign w:val="bottom"/>
            <w:tcBorders>
              <w:bottom w:val="single" w:sz="8" w:color="454546"/>
            </w:tcBorders>
          </w:tcPr>
          <w:p>
            <w:pPr>
              <w:spacing w:after="0"/>
              <w:rPr>
                <w:sz w:val="21"/>
                <w:szCs w:val="21"/>
                <w:color w:val="auto"/>
              </w:rPr>
            </w:pPr>
          </w:p>
        </w:tc>
        <w:tc>
          <w:tcPr>
            <w:tcW w:w="11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189,832</w:t>
            </w:r>
          </w:p>
        </w:tc>
        <w:tc>
          <w:tcPr>
            <w:tcW w:w="80" w:type="dxa"/>
            <w:vAlign w:val="bottom"/>
            <w:tcBorders>
              <w:bottom w:val="single" w:sz="8" w:color="E3E4E5"/>
            </w:tcBorders>
          </w:tcPr>
          <w:p>
            <w:pPr>
              <w:spacing w:after="0"/>
              <w:rPr>
                <w:sz w:val="21"/>
                <w:szCs w:val="21"/>
                <w:color w:val="auto"/>
              </w:rPr>
            </w:pPr>
          </w:p>
        </w:tc>
        <w:tc>
          <w:tcPr>
            <w:tcW w:w="560" w:type="dxa"/>
            <w:vAlign w:val="bottom"/>
            <w:tcBorders>
              <w:bottom w:val="single" w:sz="8" w:color="454546"/>
            </w:tcBorders>
          </w:tcPr>
          <w:p>
            <w:pPr>
              <w:spacing w:after="0"/>
              <w:rPr>
                <w:sz w:val="21"/>
                <w:szCs w:val="21"/>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8"/>
                <w:szCs w:val="18"/>
                <w:color w:val="454546"/>
              </w:rPr>
              <w:t>208,431</w:t>
            </w:r>
          </w:p>
        </w:tc>
        <w:tc>
          <w:tcPr>
            <w:tcW w:w="0" w:type="dxa"/>
            <w:vAlign w:val="bottom"/>
          </w:tcPr>
          <w:p>
            <w:pPr>
              <w:spacing w:after="0"/>
              <w:rPr>
                <w:sz w:val="1"/>
                <w:szCs w:val="1"/>
                <w:color w:val="auto"/>
              </w:rPr>
            </w:pPr>
          </w:p>
        </w:tc>
      </w:tr>
      <w:tr>
        <w:trPr>
          <w:trHeight w:val="255"/>
        </w:trPr>
        <w:tc>
          <w:tcPr>
            <w:tcW w:w="6840" w:type="dxa"/>
            <w:vAlign w:val="bottom"/>
            <w:tcBorders>
              <w:bottom w:val="single" w:sz="8" w:color="E3E4E5"/>
            </w:tcBorders>
            <w:shd w:val="clear" w:color="auto" w:fill="E3E4E5"/>
          </w:tcPr>
          <w:p>
            <w:pPr>
              <w:ind w:left="900"/>
              <w:spacing w:after="0"/>
              <w:rPr>
                <w:sz w:val="20"/>
                <w:szCs w:val="20"/>
                <w:color w:val="auto"/>
              </w:rPr>
            </w:pPr>
            <w:r>
              <w:rPr>
                <w:rFonts w:ascii="Times New Roman" w:cs="Times New Roman" w:eastAsia="Times New Roman" w:hAnsi="Times New Roman"/>
                <w:sz w:val="18"/>
                <w:szCs w:val="18"/>
                <w:color w:val="454546"/>
              </w:rPr>
              <w:t>Total stockholders' equity</w:t>
            </w:r>
          </w:p>
        </w:tc>
        <w:tc>
          <w:tcPr>
            <w:tcW w:w="540" w:type="dxa"/>
            <w:vAlign w:val="bottom"/>
            <w:tcBorders>
              <w:bottom w:val="single" w:sz="8" w:color="454546"/>
            </w:tcBorders>
            <w:shd w:val="clear" w:color="auto" w:fill="E3E4E5"/>
          </w:tcPr>
          <w:p>
            <w:pPr>
              <w:spacing w:after="0"/>
              <w:rPr>
                <w:sz w:val="22"/>
                <w:szCs w:val="22"/>
                <w:color w:val="auto"/>
              </w:rPr>
            </w:pPr>
          </w:p>
        </w:tc>
        <w:tc>
          <w:tcPr>
            <w:tcW w:w="11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146,184</w:t>
            </w:r>
          </w:p>
        </w:tc>
        <w:tc>
          <w:tcPr>
            <w:tcW w:w="80" w:type="dxa"/>
            <w:vAlign w:val="bottom"/>
            <w:tcBorders>
              <w:bottom w:val="single" w:sz="8" w:color="E3E4E5"/>
            </w:tcBorders>
            <w:shd w:val="clear" w:color="auto" w:fill="E3E4E5"/>
          </w:tcPr>
          <w:p>
            <w:pPr>
              <w:spacing w:after="0"/>
              <w:rPr>
                <w:sz w:val="22"/>
                <w:szCs w:val="22"/>
                <w:color w:val="auto"/>
              </w:rPr>
            </w:pPr>
          </w:p>
        </w:tc>
        <w:tc>
          <w:tcPr>
            <w:tcW w:w="560" w:type="dxa"/>
            <w:vAlign w:val="bottom"/>
            <w:tcBorders>
              <w:bottom w:val="single" w:sz="8" w:color="454546"/>
            </w:tcBorders>
            <w:shd w:val="clear" w:color="auto" w:fill="E3E4E5"/>
          </w:tcPr>
          <w:p>
            <w:pPr>
              <w:spacing w:after="0"/>
              <w:rPr>
                <w:sz w:val="22"/>
                <w:szCs w:val="22"/>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454546"/>
              </w:rPr>
              <w:t>153,105</w:t>
            </w:r>
          </w:p>
        </w:tc>
        <w:tc>
          <w:tcPr>
            <w:tcW w:w="0" w:type="dxa"/>
            <w:vAlign w:val="bottom"/>
          </w:tcPr>
          <w:p>
            <w:pPr>
              <w:spacing w:after="0"/>
              <w:rPr>
                <w:sz w:val="1"/>
                <w:szCs w:val="1"/>
                <w:color w:val="auto"/>
              </w:rPr>
            </w:pPr>
          </w:p>
        </w:tc>
      </w:tr>
      <w:tr>
        <w:trPr>
          <w:trHeight w:val="195"/>
        </w:trPr>
        <w:tc>
          <w:tcPr>
            <w:tcW w:w="6840" w:type="dxa"/>
            <w:vAlign w:val="bottom"/>
          </w:tcPr>
          <w:p>
            <w:pPr>
              <w:ind w:left="900"/>
              <w:spacing w:after="0" w:line="195" w:lineRule="exact"/>
              <w:rPr>
                <w:sz w:val="20"/>
                <w:szCs w:val="20"/>
                <w:color w:val="auto"/>
              </w:rPr>
            </w:pPr>
            <w:r>
              <w:rPr>
                <w:rFonts w:ascii="Times New Roman" w:cs="Times New Roman" w:eastAsia="Times New Roman" w:hAnsi="Times New Roman"/>
                <w:sz w:val="18"/>
                <w:szCs w:val="18"/>
                <w:color w:val="454546"/>
              </w:rPr>
              <w:t>Total liabilities and stockholders' equity</w:t>
            </w:r>
          </w:p>
        </w:tc>
        <w:tc>
          <w:tcPr>
            <w:tcW w:w="540" w:type="dxa"/>
            <w:vAlign w:val="bottom"/>
            <w:tcBorders>
              <w:bottom w:val="single" w:sz="8" w:color="454546"/>
            </w:tcBorders>
          </w:tcPr>
          <w:p>
            <w:pPr>
              <w:jc w:val="right"/>
              <w:ind w:right="310"/>
              <w:spacing w:after="0" w:line="195" w:lineRule="exact"/>
              <w:rPr>
                <w:sz w:val="20"/>
                <w:szCs w:val="20"/>
                <w:color w:val="auto"/>
              </w:rPr>
            </w:pPr>
            <w:r>
              <w:rPr>
                <w:rFonts w:ascii="Times New Roman" w:cs="Times New Roman" w:eastAsia="Times New Roman" w:hAnsi="Times New Roman"/>
                <w:sz w:val="18"/>
                <w:szCs w:val="18"/>
                <w:color w:val="454546"/>
              </w:rPr>
              <w:t>$</w:t>
            </w:r>
          </w:p>
        </w:tc>
        <w:tc>
          <w:tcPr>
            <w:tcW w:w="1100" w:type="dxa"/>
            <w:vAlign w:val="bottom"/>
            <w:tcBorders>
              <w:bottom w:val="single" w:sz="8" w:color="454546"/>
            </w:tcBorders>
          </w:tcPr>
          <w:p>
            <w:pPr>
              <w:jc w:val="right"/>
              <w:spacing w:after="0" w:line="195" w:lineRule="exact"/>
              <w:rPr>
                <w:sz w:val="20"/>
                <w:szCs w:val="20"/>
                <w:color w:val="auto"/>
              </w:rPr>
            </w:pPr>
            <w:r>
              <w:rPr>
                <w:rFonts w:ascii="Times New Roman" w:cs="Times New Roman" w:eastAsia="Times New Roman" w:hAnsi="Times New Roman"/>
                <w:sz w:val="18"/>
                <w:szCs w:val="18"/>
                <w:color w:val="454546"/>
              </w:rPr>
              <w:t>273,997</w:t>
            </w:r>
          </w:p>
        </w:tc>
        <w:tc>
          <w:tcPr>
            <w:tcW w:w="80" w:type="dxa"/>
            <w:vAlign w:val="bottom"/>
          </w:tcPr>
          <w:p>
            <w:pPr>
              <w:spacing w:after="0"/>
              <w:rPr>
                <w:sz w:val="16"/>
                <w:szCs w:val="16"/>
                <w:color w:val="auto"/>
              </w:rPr>
            </w:pPr>
          </w:p>
        </w:tc>
        <w:tc>
          <w:tcPr>
            <w:tcW w:w="560" w:type="dxa"/>
            <w:vAlign w:val="bottom"/>
            <w:tcBorders>
              <w:bottom w:val="single" w:sz="8" w:color="454546"/>
            </w:tcBorders>
          </w:tcPr>
          <w:p>
            <w:pPr>
              <w:jc w:val="right"/>
              <w:ind w:right="330"/>
              <w:spacing w:after="0" w:line="195" w:lineRule="exact"/>
              <w:rPr>
                <w:sz w:val="20"/>
                <w:szCs w:val="20"/>
                <w:color w:val="auto"/>
              </w:rPr>
            </w:pPr>
            <w:r>
              <w:rPr>
                <w:rFonts w:ascii="Times New Roman" w:cs="Times New Roman" w:eastAsia="Times New Roman" w:hAnsi="Times New Roman"/>
                <w:sz w:val="18"/>
                <w:szCs w:val="18"/>
                <w:color w:val="454546"/>
              </w:rPr>
              <w:t>$</w:t>
            </w:r>
          </w:p>
        </w:tc>
        <w:tc>
          <w:tcPr>
            <w:tcW w:w="1140" w:type="dxa"/>
            <w:vAlign w:val="bottom"/>
            <w:tcBorders>
              <w:bottom w:val="single" w:sz="8" w:color="454546"/>
            </w:tcBorders>
          </w:tcPr>
          <w:p>
            <w:pPr>
              <w:jc w:val="right"/>
              <w:spacing w:after="0" w:line="195" w:lineRule="exact"/>
              <w:rPr>
                <w:sz w:val="20"/>
                <w:szCs w:val="20"/>
                <w:color w:val="auto"/>
              </w:rPr>
            </w:pPr>
            <w:r>
              <w:rPr>
                <w:rFonts w:ascii="Times New Roman" w:cs="Times New Roman" w:eastAsia="Times New Roman" w:hAnsi="Times New Roman"/>
                <w:sz w:val="18"/>
                <w:szCs w:val="18"/>
                <w:color w:val="454546"/>
              </w:rPr>
              <w:t>323,354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540" w:type="dxa"/>
            <w:vAlign w:val="bottom"/>
            <w:tcBorders>
              <w:bottom w:val="single" w:sz="8" w:color="454546"/>
            </w:tcBorders>
          </w:tcPr>
          <w:p>
            <w:pPr>
              <w:spacing w:after="0" w:line="20" w:lineRule="exact"/>
              <w:rPr>
                <w:sz w:val="1"/>
                <w:szCs w:val="1"/>
                <w:color w:val="auto"/>
              </w:rPr>
            </w:pPr>
          </w:p>
        </w:tc>
        <w:tc>
          <w:tcPr>
            <w:tcW w:w="110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454546"/>
            </w:tcBorders>
          </w:tcPr>
          <w:p>
            <w:pPr>
              <w:spacing w:after="0" w:line="20" w:lineRule="exact"/>
              <w:rPr>
                <w:sz w:val="1"/>
                <w:szCs w:val="1"/>
                <w:color w:val="auto"/>
              </w:rPr>
            </w:pPr>
          </w:p>
        </w:tc>
        <w:tc>
          <w:tcPr>
            <w:tcW w:w="1140" w:type="dxa"/>
            <w:vAlign w:val="bottom"/>
            <w:tcBorders>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-6863715</wp:posOffset>
            </wp:positionV>
            <wp:extent cx="220027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extLst>
                    </a:blip>
                    <a:srcRect/>
                    <a:stretch>
                      <a:fillRect/>
                    </a:stretch>
                  </pic:blipFill>
                  <pic:spPr bwMode="auto">
                    <a:xfrm>
                      <a:off x="0" y="0"/>
                      <a:ext cx="22002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-5568315</wp:posOffset>
            </wp:positionV>
            <wp:extent cx="111125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extLst>
                    </a:blip>
                    <a:srcRect/>
                    <a:stretch>
                      <a:fillRect/>
                    </a:stretch>
                  </pic:blipFill>
                  <pic:spPr bwMode="auto">
                    <a:xfrm>
                      <a:off x="0" y="0"/>
                      <a:ext cx="1111250"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-4596765</wp:posOffset>
            </wp:positionV>
            <wp:extent cx="111125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extLst>
                    </a:blip>
                    <a:srcRect/>
                    <a:stretch>
                      <a:fillRect/>
                    </a:stretch>
                  </pic:blipFill>
                  <pic:spPr bwMode="auto">
                    <a:xfrm>
                      <a:off x="0" y="0"/>
                      <a:ext cx="1111250"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-4447540</wp:posOffset>
            </wp:positionV>
            <wp:extent cx="2212975" cy="76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a:extLst>
                        <a:ext uri="{28A0092B-C50C-407E-A947-70E740481C1C}"/>
                      </a:extLst>
                    </a:blip>
                    <a:srcRect/>
                    <a:stretch>
                      <a:fillRect/>
                    </a:stretch>
                  </pic:blipFill>
                  <pic:spPr bwMode="auto">
                    <a:xfrm>
                      <a:off x="0" y="0"/>
                      <a:ext cx="2212975" cy="762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-3139440</wp:posOffset>
            </wp:positionV>
            <wp:extent cx="111125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extLst>
                        <a:ext uri="{28A0092B-C50C-407E-A947-70E740481C1C}"/>
                      </a:extLst>
                    </a:blip>
                    <a:srcRect/>
                    <a:stretch>
                      <a:fillRect/>
                    </a:stretch>
                  </pic:blipFill>
                  <pic:spPr bwMode="auto">
                    <a:xfrm>
                      <a:off x="0" y="0"/>
                      <a:ext cx="1111250"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-2167890</wp:posOffset>
            </wp:positionV>
            <wp:extent cx="111125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extLst>
                    </a:blip>
                    <a:srcRect/>
                    <a:stretch>
                      <a:fillRect/>
                    </a:stretch>
                  </pic:blipFill>
                  <pic:spPr bwMode="auto">
                    <a:xfrm>
                      <a:off x="0" y="0"/>
                      <a:ext cx="1111250"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-367665</wp:posOffset>
            </wp:positionV>
            <wp:extent cx="111125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extLst>
                    </a:blip>
                    <a:srcRect/>
                    <a:stretch>
                      <a:fillRect/>
                    </a:stretch>
                  </pic:blipFill>
                  <pic:spPr bwMode="auto">
                    <a:xfrm>
                      <a:off x="0" y="0"/>
                      <a:ext cx="1111250"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-205740</wp:posOffset>
            </wp:positionV>
            <wp:extent cx="111125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extLst>
                    </a:blip>
                    <a:srcRect/>
                    <a:stretch>
                      <a:fillRect/>
                    </a:stretch>
                  </pic:blipFill>
                  <pic:spPr bwMode="auto">
                    <a:xfrm>
                      <a:off x="0" y="0"/>
                      <a:ext cx="1111250" cy="50800"/>
                    </a:xfrm>
                    <a:prstGeom prst="rect">
                      <a:avLst/>
                    </a:prstGeom>
                    <a:noFill/>
                  </pic:spPr>
                </pic:pic>
              </a:graphicData>
            </a:graphic>
          </wp:anchor>
        </w:drawing>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454546"/>
        </w:rPr>
        <w:t>The accompanying notes are an integral part of these consolidated financial statements.</w:t>
      </w:r>
    </w:p>
    <w:p>
      <w:pPr>
        <w:sectPr>
          <w:pgSz w:w="11880" w:h="15480" w:orient="portrait"/>
          <w:cols w:equalWidth="0" w:num="1">
            <w:col w:w="10260"/>
          </w:cols>
          <w:pgMar w:left="820" w:top="38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45</w:t>
      </w:r>
    </w:p>
    <w:p>
      <w:pPr>
        <w:sectPr>
          <w:pgSz w:w="11880" w:h="15480" w:orient="portrait"/>
          <w:cols w:equalWidth="0" w:num="1">
            <w:col w:w="10260"/>
          </w:cols>
          <w:pgMar w:left="820" w:top="381" w:right="800" w:bottom="0" w:gutter="0" w:footer="0" w:header="0"/>
          <w:type w:val="continuous"/>
        </w:sectPr>
      </w:pPr>
    </w:p>
    <w:bookmarkStart w:id="49" w:name="page50"/>
    <w:bookmarkEnd w:id="49"/>
    <w:p>
      <w:pPr>
        <w:jc w:val="center"/>
        <w:ind w:right="60"/>
        <w:spacing w:after="0"/>
        <w:rPr>
          <w:sz w:val="20"/>
          <w:szCs w:val="20"/>
          <w:color w:val="auto"/>
        </w:rPr>
      </w:pPr>
      <w:r>
        <w:rPr>
          <w:rFonts w:ascii="Times New Roman" w:cs="Times New Roman" w:eastAsia="Times New Roman" w:hAnsi="Times New Roman"/>
          <w:sz w:val="20"/>
          <w:szCs w:val="20"/>
          <w:b w:val="1"/>
          <w:bCs w:val="1"/>
          <w:color w:val="454546"/>
        </w:rPr>
        <w:t>UNIVERSAL ELECTRONICS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454546"/>
        </w:rPr>
        <w:t>CONSOLIDATED STATEMENTS OF OPERATIONS</w:t>
      </w:r>
    </w:p>
    <w:p>
      <w:pPr>
        <w:spacing w:after="0" w:line="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454546"/>
        </w:rPr>
        <w:t>(In thousands, except per share amounts)</w:t>
      </w:r>
    </w:p>
    <w:p>
      <w:pPr>
        <w:sectPr>
          <w:pgSz w:w="11880" w:h="15480" w:orient="portrait"/>
          <w:cols w:equalWidth="0" w:num="1">
            <w:col w:w="10220"/>
          </w:cols>
          <w:pgMar w:left="860" w:top="38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-165100</wp:posOffset>
            </wp:positionV>
            <wp:extent cx="6540500" cy="215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6515100" cy="215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extLst>
                        <a:ext uri="{28A0092B-C50C-407E-A947-70E740481C1C}"/>
                      </a:extLst>
                    </a:blip>
                    <a:srcRect/>
                    <a:stretch>
                      <a:fillRect/>
                    </a:stretch>
                  </pic:blipFill>
                  <pic:spPr bwMode="auto">
                    <a:xfrm>
                      <a:off x="0" y="0"/>
                      <a:ext cx="6515100" cy="21590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Gross profit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Research and development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Selling, general and administrative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514465" cy="18986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9865"/>
                        </a:xfrm>
                        <a:prstGeom prst="rect">
                          <a:avLst/>
                        </a:prstGeom>
                        <a:solidFill>
                          <a:srgbClr val="E3E4E5"/>
                        </a:solidFill>
                      </wps:spPr>
                      <wps:bodyPr/>
                    </wps:wsp>
                  </a:graphicData>
                </a:graphic>
              </wp:anchor>
            </w:drawing>
          </mc:Choice>
          <mc:Fallback>
            <w:pict>
              <v:rect id="Shape 50" o:spid="_x0000_s1075" style="position:absolute;margin-left:-2.4499pt;margin-top:-11pt;width:512.9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Factory restructuring charges (Note 13)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Legal judgment (Note 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514465" cy="1898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9865"/>
                        </a:xfrm>
                        <a:prstGeom prst="rect">
                          <a:avLst/>
                        </a:prstGeom>
                        <a:solidFill>
                          <a:srgbClr val="E3E4E5"/>
                        </a:solidFill>
                      </wps:spPr>
                      <wps:bodyPr/>
                    </wps:wsp>
                  </a:graphicData>
                </a:graphic>
              </wp:anchor>
            </w:drawing>
          </mc:Choice>
          <mc:Fallback>
            <w:pict>
              <v:rect id="Shape 51" o:spid="_x0000_s1076" style="position:absolute;margin-left:-2.4499pt;margin-top:-11pt;width:512.9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Goodwill impairment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6515100" cy="215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extLst>
                        <a:ext uri="{28A0092B-C50C-407E-A947-70E740481C1C}"/>
                      </a:extLst>
                    </a:blip>
                    <a:srcRect/>
                    <a:stretch>
                      <a:fillRect/>
                    </a:stretch>
                  </pic:blipFill>
                  <pic:spPr bwMode="auto">
                    <a:xfrm>
                      <a:off x="0" y="0"/>
                      <a:ext cx="6515100" cy="21590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Operating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Interest expense,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6515100" cy="215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a:extLst>
                        <a:ext uri="{28A0092B-C50C-407E-A947-70E740481C1C}"/>
                      </a:extLst>
                    </a:blip>
                    <a:srcRect/>
                    <a:stretch>
                      <a:fillRect/>
                    </a:stretch>
                  </pic:blipFill>
                  <pic:spPr bwMode="auto">
                    <a:xfrm>
                      <a:off x="0" y="0"/>
                      <a:ext cx="6515100" cy="21590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Loss before provision for income taxes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6515100" cy="215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2">
                      <a:extLst>
                        <a:ext uri="{28A0092B-C50C-407E-A947-70E740481C1C}"/>
                      </a:extLst>
                    </a:blip>
                    <a:srcRect/>
                    <a:stretch>
                      <a:fillRect/>
                    </a:stretch>
                  </pic:blipFill>
                  <pic:spPr bwMode="auto">
                    <a:xfrm>
                      <a:off x="0" y="0"/>
                      <a:ext cx="6515100" cy="21590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12065</wp:posOffset>
            </wp:positionV>
            <wp:extent cx="6540500" cy="228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3">
                      <a:extLst>
                        <a:ext uri="{28A0092B-C50C-407E-A947-70E740481C1C}"/>
                      </a:extLst>
                    </a:blip>
                    <a:srcRect/>
                    <a:stretch>
                      <a:fillRect/>
                    </a:stretch>
                  </pic:blipFill>
                  <pic:spPr bwMode="auto">
                    <a:xfrm>
                      <a:off x="0" y="0"/>
                      <a:ext cx="6540500" cy="22860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Earnings (loss) per share: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6540500" cy="228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4">
                      <a:extLst>
                        <a:ext uri="{28A0092B-C50C-407E-A947-70E740481C1C}"/>
                      </a:extLst>
                    </a:blip>
                    <a:srcRect/>
                    <a:stretch>
                      <a:fillRect/>
                    </a:stretch>
                  </pic:blipFill>
                  <pic:spPr bwMode="auto">
                    <a:xfrm>
                      <a:off x="0" y="0"/>
                      <a:ext cx="6540500" cy="228600"/>
                    </a:xfrm>
                    <a:prstGeom prst="rect">
                      <a:avLst/>
                    </a:prstGeom>
                    <a:noFill/>
                  </pic:spPr>
                </pic:pic>
              </a:graphicData>
            </a:graphic>
          </wp:anchor>
        </w:drawing>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12065</wp:posOffset>
            </wp:positionV>
            <wp:extent cx="6540500" cy="228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5">
                      <a:extLst>
                        <a:ext uri="{28A0092B-C50C-407E-A947-70E740481C1C}"/>
                      </a:extLst>
                    </a:blip>
                    <a:srcRect/>
                    <a:stretch>
                      <a:fillRect/>
                    </a:stretch>
                  </pic:blipFill>
                  <pic:spPr bwMode="auto">
                    <a:xfrm>
                      <a:off x="0" y="0"/>
                      <a:ext cx="6540500" cy="22860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Shares used in computing earnings (loss) per share: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12065</wp:posOffset>
            </wp:positionV>
            <wp:extent cx="6540500" cy="266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a:extLst>
                        <a:ext uri="{28A0092B-C50C-407E-A947-70E740481C1C}"/>
                      </a:extLst>
                    </a:blip>
                    <a:srcRect/>
                    <a:stretch>
                      <a:fillRect/>
                    </a:stretch>
                  </pic:blipFill>
                  <pic:spPr bwMode="auto">
                    <a:xfrm>
                      <a:off x="0" y="0"/>
                      <a:ext cx="6540500" cy="266700"/>
                    </a:xfrm>
                    <a:prstGeom prst="rect">
                      <a:avLst/>
                    </a:prstGeom>
                    <a:noFill/>
                  </pic:spPr>
                </pic:pic>
              </a:graphicData>
            </a:graphic>
          </wp:anchor>
        </w:drawing>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Diluted</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454546"/>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5812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1275"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1pt" to="203.5pt,2.1pt" o:allowincell="f" strokecolor="#454546"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77"/>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368,288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394,879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420,457</w:t>
            </w:r>
          </w:p>
        </w:tc>
      </w:tr>
      <w:tr>
        <w:trPr>
          <w:trHeight w:val="303"/>
        </w:trPr>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261,827</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280,885</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322,897</w:t>
            </w:r>
          </w:p>
        </w:tc>
      </w:tr>
      <w:tr>
        <w:trPr>
          <w:trHeight w:val="277"/>
        </w:trPr>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106,461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113,994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97,560</w:t>
            </w:r>
          </w:p>
        </w:tc>
      </w:tr>
      <w:tr>
        <w:trPr>
          <w:trHeight w:val="300"/>
        </w:trPr>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26,269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29,723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31,281</w:t>
            </w:r>
          </w:p>
        </w:tc>
      </w:tr>
      <w:tr>
        <w:trPr>
          <w:trHeight w:val="300"/>
        </w:trPr>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85,375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91,811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98,490</w:t>
            </w:r>
          </w:p>
        </w:tc>
      </w:tr>
      <w:tr>
        <w:trPr>
          <w:trHeight w:val="300"/>
        </w:trPr>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1,221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3,585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4,015</w:t>
            </w:r>
          </w:p>
        </w:tc>
      </w:tr>
      <w:tr>
        <w:trPr>
          <w:trHeight w:val="300"/>
        </w:trPr>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4,172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r>
      <w:tr>
        <w:trPr>
          <w:trHeight w:val="303"/>
        </w:trPr>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49,075</w:t>
            </w:r>
          </w:p>
        </w:tc>
      </w:tr>
      <w:tr>
        <w:trPr>
          <w:trHeight w:val="277"/>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(6,404)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(15,297)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(85,301)</w:t>
            </w:r>
          </w:p>
        </w:tc>
      </w:tr>
      <w:tr>
        <w:trPr>
          <w:trHeight w:val="300"/>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(3,361)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(4,332)</w:t>
            </w:r>
          </w:p>
        </w:tc>
      </w:tr>
      <w:tr>
        <w:trPr>
          <w:trHeight w:val="303"/>
        </w:trPr>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(4,621)</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60</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(2,621)</w:t>
            </w:r>
          </w:p>
        </w:tc>
      </w:tr>
      <w:tr>
        <w:trPr>
          <w:trHeight w:val="277"/>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(11,960)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(18,598)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(92,254)</w:t>
            </w:r>
          </w:p>
        </w:tc>
      </w:tr>
      <w:tr>
        <w:trPr>
          <w:trHeight w:val="303"/>
        </w:trPr>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6,639</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5,431</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5,984</w:t>
            </w:r>
          </w:p>
        </w:tc>
      </w:tr>
      <w:tr>
        <w:trPr>
          <w:trHeight w:val="260"/>
        </w:trPr>
        <w:tc>
          <w:tcPr>
            <w:tcW w:w="320" w:type="dxa"/>
            <w:vAlign w:val="bottom"/>
            <w:tcBorders>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(18,599)</w:t>
            </w:r>
          </w:p>
        </w:tc>
        <w:tc>
          <w:tcPr>
            <w:tcW w:w="60" w:type="dxa"/>
            <w:vAlign w:val="bottom"/>
          </w:tcPr>
          <w:p>
            <w:pPr>
              <w:spacing w:after="0"/>
              <w:rPr>
                <w:sz w:val="22"/>
                <w:szCs w:val="22"/>
                <w:color w:val="auto"/>
              </w:rPr>
            </w:pPr>
          </w:p>
        </w:tc>
        <w:tc>
          <w:tcPr>
            <w:tcW w:w="320" w:type="dxa"/>
            <w:vAlign w:val="bottom"/>
            <w:tcBorders>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(24,029)</w:t>
            </w:r>
          </w:p>
        </w:tc>
        <w:tc>
          <w:tcPr>
            <w:tcW w:w="60" w:type="dxa"/>
            <w:vAlign w:val="bottom"/>
          </w:tcPr>
          <w:p>
            <w:pPr>
              <w:spacing w:after="0"/>
              <w:rPr>
                <w:sz w:val="22"/>
                <w:szCs w:val="22"/>
                <w:color w:val="auto"/>
              </w:rPr>
            </w:pPr>
          </w:p>
        </w:tc>
        <w:tc>
          <w:tcPr>
            <w:tcW w:w="320" w:type="dxa"/>
            <w:vAlign w:val="bottom"/>
            <w:tcBorders>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(98,238)</w:t>
            </w:r>
          </w:p>
        </w:tc>
      </w:tr>
      <w:tr>
        <w:trPr>
          <w:trHeight w:val="20"/>
        </w:trPr>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r>
      <w:tr>
        <w:trPr>
          <w:trHeight w:val="840"/>
        </w:trPr>
        <w:tc>
          <w:tcPr>
            <w:tcW w:w="320" w:type="dxa"/>
            <w:vAlign w:val="bottom"/>
            <w:tcBorders>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(1.41)</w:t>
            </w:r>
          </w:p>
        </w:tc>
        <w:tc>
          <w:tcPr>
            <w:tcW w:w="60" w:type="dxa"/>
            <w:vAlign w:val="bottom"/>
          </w:tcPr>
          <w:p>
            <w:pPr>
              <w:spacing w:after="0"/>
              <w:rPr>
                <w:sz w:val="24"/>
                <w:szCs w:val="24"/>
                <w:color w:val="auto"/>
              </w:rPr>
            </w:pPr>
          </w:p>
        </w:tc>
        <w:tc>
          <w:tcPr>
            <w:tcW w:w="320" w:type="dxa"/>
            <w:vAlign w:val="bottom"/>
            <w:tcBorders>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(1.85)</w:t>
            </w:r>
          </w:p>
        </w:tc>
        <w:tc>
          <w:tcPr>
            <w:tcW w:w="60" w:type="dxa"/>
            <w:vAlign w:val="bottom"/>
          </w:tcPr>
          <w:p>
            <w:pPr>
              <w:spacing w:after="0"/>
              <w:rPr>
                <w:sz w:val="24"/>
                <w:szCs w:val="24"/>
                <w:color w:val="auto"/>
              </w:rPr>
            </w:pPr>
          </w:p>
        </w:tc>
        <w:tc>
          <w:tcPr>
            <w:tcW w:w="320" w:type="dxa"/>
            <w:vAlign w:val="bottom"/>
            <w:tcBorders>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(7.64)</w:t>
            </w:r>
          </w:p>
        </w:tc>
      </w:tr>
      <w:tr>
        <w:trPr>
          <w:trHeight w:val="20"/>
        </w:trPr>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0"/>
        </w:trPr>
        <w:tc>
          <w:tcPr>
            <w:tcW w:w="320" w:type="dxa"/>
            <w:vAlign w:val="bottom"/>
            <w:tcBorders>
              <w:top w:val="single" w:sz="8" w:color="454546"/>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(1.41)</w:t>
            </w:r>
          </w:p>
        </w:tc>
        <w:tc>
          <w:tcPr>
            <w:tcW w:w="60" w:type="dxa"/>
            <w:vAlign w:val="bottom"/>
          </w:tcPr>
          <w:p>
            <w:pPr>
              <w:spacing w:after="0"/>
              <w:rPr>
                <w:sz w:val="20"/>
                <w:szCs w:val="20"/>
                <w:color w:val="auto"/>
              </w:rPr>
            </w:pPr>
          </w:p>
        </w:tc>
        <w:tc>
          <w:tcPr>
            <w:tcW w:w="320" w:type="dxa"/>
            <w:vAlign w:val="bottom"/>
            <w:tcBorders>
              <w:top w:val="single" w:sz="8" w:color="454546"/>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(1.85)</w:t>
            </w:r>
          </w:p>
        </w:tc>
        <w:tc>
          <w:tcPr>
            <w:tcW w:w="60" w:type="dxa"/>
            <w:vAlign w:val="bottom"/>
          </w:tcPr>
          <w:p>
            <w:pPr>
              <w:spacing w:after="0"/>
              <w:rPr>
                <w:sz w:val="20"/>
                <w:szCs w:val="20"/>
                <w:color w:val="auto"/>
              </w:rPr>
            </w:pPr>
          </w:p>
        </w:tc>
        <w:tc>
          <w:tcPr>
            <w:tcW w:w="320" w:type="dxa"/>
            <w:vAlign w:val="bottom"/>
            <w:tcBorders>
              <w:top w:val="single" w:sz="8" w:color="454546"/>
              <w:bottom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(7.64)</w:t>
            </w:r>
          </w:p>
        </w:tc>
      </w:tr>
      <w:tr>
        <w:trPr>
          <w:trHeight w:val="20"/>
        </w:trPr>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r>
      <w:tr>
        <w:trPr>
          <w:trHeight w:val="540"/>
        </w:trPr>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13,172</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12,959</w:t>
            </w:r>
          </w:p>
        </w:tc>
        <w:tc>
          <w:tcPr>
            <w:tcW w:w="60" w:type="dxa"/>
            <w:vAlign w:val="bottom"/>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12,855</w:t>
            </w:r>
          </w:p>
        </w:tc>
      </w:tr>
      <w:tr>
        <w:trPr>
          <w:trHeight w:val="20"/>
        </w:trPr>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r>
      <w:tr>
        <w:trPr>
          <w:trHeight w:val="240"/>
        </w:trPr>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13,172</w:t>
            </w:r>
          </w:p>
        </w:tc>
        <w:tc>
          <w:tcPr>
            <w:tcW w:w="60" w:type="dxa"/>
            <w:vAlign w:val="bottom"/>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12,959</w:t>
            </w:r>
          </w:p>
        </w:tc>
        <w:tc>
          <w:tcPr>
            <w:tcW w:w="60" w:type="dxa"/>
            <w:vAlign w:val="bottom"/>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12,855</w:t>
            </w:r>
          </w:p>
        </w:tc>
      </w:tr>
      <w:tr>
        <w:trPr>
          <w:trHeight w:val="20"/>
        </w:trPr>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5420" w:space="720"/>
            <w:col w:w="4080"/>
          </w:cols>
          <w:pgMar w:left="860" w:top="381" w:right="800" w:bottom="0" w:gutter="0" w:footer="0" w:header="0"/>
          <w:type w:val="continuous"/>
        </w:sect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454546"/>
        </w:rPr>
        <w:t>The accompanying notes are an integral part of these consolidated financial statements.</w:t>
      </w:r>
    </w:p>
    <w:p>
      <w:pPr>
        <w:sectPr>
          <w:pgSz w:w="11880" w:h="15480" w:orient="portrait"/>
          <w:cols w:equalWidth="0" w:num="1">
            <w:col w:w="10220"/>
          </w:cols>
          <w:pgMar w:left="860" w:top="38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454546"/>
        </w:rPr>
        <w:t>46</w:t>
      </w:r>
    </w:p>
    <w:p>
      <w:pPr>
        <w:sectPr>
          <w:pgSz w:w="11880" w:h="15480" w:orient="portrait"/>
          <w:cols w:equalWidth="0" w:num="1">
            <w:col w:w="10220"/>
          </w:cols>
          <w:pgMar w:left="860" w:top="381" w:right="800" w:bottom="0" w:gutter="0" w:footer="0" w:header="0"/>
          <w:type w:val="continuous"/>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UNIVERSAL ELECTRONICS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CONSOLIDATED STATEMENTS OF COMPREHENSIVE INCOME (LOSS)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35"/>
        </w:trPr>
        <w:tc>
          <w:tcPr>
            <w:tcW w:w="618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Net loss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(18,599)</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(24,029)</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(98,238)</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Other comprehensive income (loss):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0"/>
        </w:trPr>
        <w:tc>
          <w:tcPr>
            <w:tcW w:w="6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9"/>
        </w:trPr>
        <w:tc>
          <w:tcPr>
            <w:tcW w:w="618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Change in foreign currency translation adjustment</w:t>
            </w: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8"/>
              <w:spacing w:after="0"/>
              <w:rPr>
                <w:sz w:val="20"/>
                <w:szCs w:val="20"/>
                <w:color w:val="auto"/>
              </w:rPr>
            </w:pPr>
            <w:r>
              <w:rPr>
                <w:rFonts w:ascii="Times New Roman" w:cs="Times New Roman" w:eastAsia="Times New Roman" w:hAnsi="Times New Roman"/>
                <w:sz w:val="20"/>
                <w:szCs w:val="20"/>
                <w:color w:val="454546"/>
              </w:rPr>
              <w:t>9,235</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(7,592)</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429</w:t>
            </w:r>
          </w:p>
        </w:tc>
      </w:tr>
      <w:tr>
        <w:trPr>
          <w:trHeight w:val="241"/>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Comprehensive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(9,364)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(31,621)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(97,809)</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-805815</wp:posOffset>
            </wp:positionV>
            <wp:extent cx="263207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7">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177800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8">
                      <a:extLst>
                        <a:ext uri="{28A0092B-C50C-407E-A947-70E740481C1C}"/>
                      </a:extLst>
                    </a:blip>
                    <a:srcRect/>
                    <a:stretch>
                      <a:fillRect/>
                    </a:stretch>
                  </pic:blipFill>
                  <pic:spPr bwMode="auto">
                    <a:xfrm>
                      <a:off x="0" y="0"/>
                      <a:ext cx="1778000" cy="508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The accompanying notes are an integral part of these consolidated financial statements.</w:t>
      </w:r>
    </w:p>
    <w:p>
      <w:pPr>
        <w:sectPr>
          <w:pgSz w:w="11880" w:h="15480" w:orient="portrait"/>
          <w:cols w:equalWidth="0" w:num="1">
            <w:col w:w="10260"/>
          </w:cols>
          <w:pgMar w:left="820" w:top="38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47</w:t>
      </w:r>
    </w:p>
    <w:p>
      <w:pPr>
        <w:sectPr>
          <w:pgSz w:w="11880" w:h="15480" w:orient="portrait"/>
          <w:cols w:equalWidth="0" w:num="1">
            <w:col w:w="10260"/>
          </w:cols>
          <w:pgMar w:left="820" w:top="381" w:right="800" w:bottom="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Balance at January 1,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Net income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Currency translation adjustment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454546"/>
        </w:rPr>
        <w:t>Shares issued for employee benefit plan and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Purchase of treasury shares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Stock options exercised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Shares issued to directors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Employee and director stock-based compensation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Balance at December 31,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Net loss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Currency translation adjustment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454546"/>
        </w:rPr>
        <w:t>Shares issued for employee benefit plan and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Purchase of treasury shares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Shares issued to directors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Employee and director stock-based compensation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Balance at December 31,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Net loss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Currency translation adjustment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454546"/>
        </w:rPr>
        <w:t>Shares issued for employee benefit plan and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Purchase of treasury shares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Shares issued to directors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Employee and director stock-based compensation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Balance at December 31, 2025</w:t>
      </w:r>
    </w:p>
    <w:p>
      <w:pPr>
        <w:spacing w:after="0" w:line="20" w:lineRule="exact"/>
        <w:rPr>
          <w:sz w:val="20"/>
          <w:szCs w:val="20"/>
          <w:color w:val="auto"/>
        </w:rPr>
      </w:pPr>
      <w:r>
        <w:rPr>
          <w:sz w:val="20"/>
          <w:szCs w:val="20"/>
          <w:color w:val="auto"/>
        </w:rPr>
        <w:br w:type="column"/>
      </w:r>
    </w:p>
    <w:p>
      <w:pPr>
        <w:jc w:val="center"/>
        <w:ind w:left="140" w:right="4240"/>
        <w:spacing w:after="0" w:line="279" w:lineRule="auto"/>
        <w:rPr>
          <w:sz w:val="20"/>
          <w:szCs w:val="20"/>
          <w:color w:val="auto"/>
        </w:rPr>
      </w:pPr>
      <w:r>
        <w:rPr>
          <w:rFonts w:ascii="Times New Roman" w:cs="Times New Roman" w:eastAsia="Times New Roman" w:hAnsi="Times New Roman"/>
          <w:sz w:val="20"/>
          <w:szCs w:val="20"/>
          <w:b w:val="1"/>
          <w:bCs w:val="1"/>
          <w:color w:val="454546"/>
        </w:rPr>
        <w:t xml:space="preserve">UNIVERSAL ELECTRONICS INC. CONSOLIDATED STATEMENTS OF STOCKHOLDERS' EQUITY </w:t>
      </w:r>
      <w:r>
        <w:rPr>
          <w:rFonts w:ascii="Times New Roman" w:cs="Times New Roman" w:eastAsia="Times New Roman" w:hAnsi="Times New Roman"/>
          <w:sz w:val="20"/>
          <w:szCs w:val="20"/>
          <w:color w:val="454546"/>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454546"/>
              </w:rPr>
              <w:t>Common Stock</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454546"/>
              </w:rPr>
              <w:t>Common Stock</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454546"/>
              </w:rPr>
              <w:t>Accumulated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220" w:type="dxa"/>
            <w:vAlign w:val="bottom"/>
            <w:gridSpan w:val="3"/>
          </w:tcPr>
          <w:p>
            <w:pPr>
              <w:jc w:val="right"/>
              <w:ind w:right="690"/>
              <w:spacing w:after="0" w:line="140" w:lineRule="exact"/>
              <w:rPr>
                <w:sz w:val="20"/>
                <w:szCs w:val="20"/>
                <w:color w:val="auto"/>
              </w:rPr>
            </w:pPr>
            <w:r>
              <w:rPr>
                <w:rFonts w:ascii="Times New Roman" w:cs="Times New Roman" w:eastAsia="Times New Roman" w:hAnsi="Times New Roman"/>
                <w:sz w:val="14"/>
                <w:szCs w:val="14"/>
                <w:b w:val="1"/>
                <w:bCs w:val="1"/>
                <w:color w:val="454546"/>
              </w:rPr>
              <w:t>Issued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3"/>
          </w:tcPr>
          <w:p>
            <w:pPr>
              <w:jc w:val="right"/>
              <w:ind w:right="130"/>
              <w:spacing w:after="0" w:line="140" w:lineRule="exact"/>
              <w:rPr>
                <w:sz w:val="20"/>
                <w:szCs w:val="20"/>
                <w:color w:val="auto"/>
              </w:rPr>
            </w:pPr>
            <w:r>
              <w:rPr>
                <w:rFonts w:ascii="Times New Roman" w:cs="Times New Roman" w:eastAsia="Times New Roman" w:hAnsi="Times New Roman"/>
                <w:sz w:val="14"/>
                <w:szCs w:val="14"/>
                <w:b w:val="1"/>
                <w:bCs w:val="1"/>
                <w:color w:val="454546"/>
              </w:rPr>
              <w:t>in Treasury</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5"/>
              <w:spacing w:after="0" w:line="140" w:lineRule="exact"/>
              <w:rPr>
                <w:sz w:val="20"/>
                <w:szCs w:val="20"/>
                <w:color w:val="auto"/>
              </w:rPr>
            </w:pPr>
            <w:r>
              <w:rPr>
                <w:rFonts w:ascii="Times New Roman" w:cs="Times New Roman" w:eastAsia="Times New Roman" w:hAnsi="Times New Roman"/>
                <w:sz w:val="14"/>
                <w:szCs w:val="14"/>
                <w:b w:val="1"/>
                <w:bCs w:val="1"/>
                <w:color w:val="454546"/>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240" w:type="dxa"/>
            <w:vAlign w:val="bottom"/>
            <w:tcBorders>
              <w:bottom w:val="single" w:sz="8" w:color="454546"/>
            </w:tcBorders>
          </w:tcPr>
          <w:p>
            <w:pPr>
              <w:spacing w:after="0"/>
              <w:rPr>
                <w:sz w:val="4"/>
                <w:szCs w:val="4"/>
                <w:color w:val="auto"/>
              </w:rPr>
            </w:pPr>
          </w:p>
        </w:tc>
        <w:tc>
          <w:tcPr>
            <w:tcW w:w="80" w:type="dxa"/>
            <w:vAlign w:val="bottom"/>
            <w:tcBorders>
              <w:bottom w:val="single" w:sz="8" w:color="454546"/>
            </w:tcBorders>
          </w:tcPr>
          <w:p>
            <w:pPr>
              <w:spacing w:after="0"/>
              <w:rPr>
                <w:sz w:val="4"/>
                <w:szCs w:val="4"/>
                <w:color w:val="auto"/>
              </w:rPr>
            </w:pPr>
          </w:p>
        </w:tc>
        <w:tc>
          <w:tcPr>
            <w:tcW w:w="900" w:type="dxa"/>
            <w:vAlign w:val="bottom"/>
            <w:tcBorders>
              <w:bottom w:val="single" w:sz="8" w:color="454546"/>
            </w:tcBorders>
          </w:tcPr>
          <w:p>
            <w:pPr>
              <w:spacing w:after="0"/>
              <w:rPr>
                <w:sz w:val="4"/>
                <w:szCs w:val="4"/>
                <w:color w:val="auto"/>
              </w:rPr>
            </w:pPr>
          </w:p>
        </w:tc>
        <w:tc>
          <w:tcPr>
            <w:tcW w:w="340" w:type="dxa"/>
            <w:vAlign w:val="bottom"/>
            <w:tcBorders>
              <w:bottom w:val="single" w:sz="8" w:color="454546"/>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454546"/>
            </w:tcBorders>
          </w:tcPr>
          <w:p>
            <w:pPr>
              <w:spacing w:after="0"/>
              <w:rPr>
                <w:sz w:val="4"/>
                <w:szCs w:val="4"/>
                <w:color w:val="auto"/>
              </w:rPr>
            </w:pPr>
          </w:p>
        </w:tc>
        <w:tc>
          <w:tcPr>
            <w:tcW w:w="80" w:type="dxa"/>
            <w:vAlign w:val="bottom"/>
            <w:tcBorders>
              <w:bottom w:val="single" w:sz="8" w:color="454546"/>
            </w:tcBorders>
          </w:tcPr>
          <w:p>
            <w:pPr>
              <w:spacing w:after="0"/>
              <w:rPr>
                <w:sz w:val="4"/>
                <w:szCs w:val="4"/>
                <w:color w:val="auto"/>
              </w:rPr>
            </w:pPr>
          </w:p>
        </w:tc>
        <w:tc>
          <w:tcPr>
            <w:tcW w:w="500" w:type="dxa"/>
            <w:vAlign w:val="bottom"/>
            <w:tcBorders>
              <w:bottom w:val="single" w:sz="8" w:color="454546"/>
            </w:tcBorders>
          </w:tcPr>
          <w:p>
            <w:pPr>
              <w:spacing w:after="0"/>
              <w:rPr>
                <w:sz w:val="4"/>
                <w:szCs w:val="4"/>
                <w:color w:val="auto"/>
              </w:rPr>
            </w:pPr>
          </w:p>
        </w:tc>
        <w:tc>
          <w:tcPr>
            <w:tcW w:w="740" w:type="dxa"/>
            <w:vAlign w:val="bottom"/>
            <w:tcBorders>
              <w:bottom w:val="single" w:sz="8" w:color="454546"/>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restart"/>
          </w:tcPr>
          <w:p>
            <w:pPr>
              <w:jc w:val="right"/>
              <w:ind w:right="322"/>
              <w:spacing w:after="0" w:line="100" w:lineRule="exact"/>
              <w:rPr>
                <w:sz w:val="20"/>
                <w:szCs w:val="20"/>
                <w:color w:val="auto"/>
              </w:rPr>
            </w:pPr>
            <w:r>
              <w:rPr>
                <w:rFonts w:ascii="Times New Roman" w:cs="Times New Roman" w:eastAsia="Times New Roman" w:hAnsi="Times New Roman"/>
                <w:sz w:val="11"/>
                <w:szCs w:val="11"/>
                <w:b w:val="1"/>
                <w:bCs w:val="1"/>
                <w:color w:val="454546"/>
              </w:rPr>
              <w:t>Paid-in</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65"/>
              <w:spacing w:after="0" w:line="100" w:lineRule="exact"/>
              <w:rPr>
                <w:sz w:val="20"/>
                <w:szCs w:val="20"/>
                <w:color w:val="auto"/>
              </w:rPr>
            </w:pPr>
            <w:r>
              <w:rPr>
                <w:rFonts w:ascii="Times New Roman" w:cs="Times New Roman" w:eastAsia="Times New Roman" w:hAnsi="Times New Roman"/>
                <w:sz w:val="11"/>
                <w:szCs w:val="11"/>
                <w:b w:val="1"/>
                <w:bCs w:val="1"/>
                <w:color w:val="454546"/>
              </w:rPr>
              <w:t>Comprehensive</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restart"/>
          </w:tcPr>
          <w:p>
            <w:pPr>
              <w:jc w:val="right"/>
              <w:ind w:right="284"/>
              <w:spacing w:after="0" w:line="100" w:lineRule="exact"/>
              <w:rPr>
                <w:sz w:val="20"/>
                <w:szCs w:val="20"/>
                <w:color w:val="auto"/>
              </w:rPr>
            </w:pPr>
            <w:r>
              <w:rPr>
                <w:rFonts w:ascii="Times New Roman" w:cs="Times New Roman" w:eastAsia="Times New Roman" w:hAnsi="Times New Roman"/>
                <w:sz w:val="11"/>
                <w:szCs w:val="11"/>
                <w:b w:val="1"/>
                <w:bCs w:val="1"/>
                <w:color w:val="454546"/>
              </w:rPr>
              <w:t>Retained</w:t>
            </w: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124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454546"/>
              </w:rPr>
              <w:t>Shares</w:t>
            </w:r>
          </w:p>
        </w:tc>
        <w:tc>
          <w:tcPr>
            <w:tcW w:w="8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454546"/>
              </w:rPr>
              <w:t>Amount</w:t>
            </w: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454546"/>
              </w:rPr>
              <w:t>Shares</w:t>
            </w:r>
          </w:p>
        </w:tc>
        <w:tc>
          <w:tcPr>
            <w:tcW w:w="80" w:type="dxa"/>
            <w:vAlign w:val="bottom"/>
          </w:tcPr>
          <w:p>
            <w:pPr>
              <w:spacing w:after="0"/>
              <w:rPr>
                <w:sz w:val="2"/>
                <w:szCs w:val="2"/>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454546"/>
              </w:rPr>
              <w:t>Amount</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454546"/>
              </w:rPr>
              <w:t>Totals</w:t>
            </w:r>
          </w:p>
        </w:tc>
        <w:tc>
          <w:tcPr>
            <w:tcW w:w="0" w:type="dxa"/>
            <w:vAlign w:val="bottom"/>
          </w:tcPr>
          <w:p>
            <w:pPr>
              <w:spacing w:after="0" w:line="20" w:lineRule="exact"/>
              <w:rPr>
                <w:sz w:val="1"/>
                <w:szCs w:val="1"/>
                <w:color w:val="auto"/>
              </w:rPr>
            </w:pPr>
          </w:p>
        </w:tc>
      </w:tr>
      <w:tr>
        <w:trPr>
          <w:trHeight w:val="190"/>
        </w:trPr>
        <w:tc>
          <w:tcPr>
            <w:tcW w:w="1240" w:type="dxa"/>
            <w:vAlign w:val="bottom"/>
            <w:tcBorders>
              <w:bottom w:val="single" w:sz="8" w:color="454546"/>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454546"/>
            </w:tcBorders>
            <w:vMerge w:val="continue"/>
          </w:tcPr>
          <w:p>
            <w:pPr>
              <w:spacing w:after="0"/>
              <w:rPr>
                <w:sz w:val="16"/>
                <w:szCs w:val="16"/>
                <w:color w:val="auto"/>
              </w:rPr>
            </w:pPr>
          </w:p>
        </w:tc>
        <w:tc>
          <w:tcPr>
            <w:tcW w:w="340" w:type="dxa"/>
            <w:vAlign w:val="bottom"/>
            <w:tcBorders>
              <w:bottom w:val="single" w:sz="8" w:color="454546"/>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454546"/>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454546"/>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454546"/>
            </w:tcBorders>
          </w:tcPr>
          <w:p>
            <w:pPr>
              <w:spacing w:after="0"/>
              <w:rPr>
                <w:sz w:val="16"/>
                <w:szCs w:val="16"/>
                <w:color w:val="auto"/>
              </w:rPr>
            </w:pPr>
          </w:p>
        </w:tc>
        <w:tc>
          <w:tcPr>
            <w:tcW w:w="980" w:type="dxa"/>
            <w:vAlign w:val="bottom"/>
            <w:tcBorders>
              <w:bottom w:val="single" w:sz="8" w:color="454546"/>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454546"/>
              </w:rPr>
              <w:t>Capital</w:t>
            </w:r>
          </w:p>
        </w:tc>
        <w:tc>
          <w:tcPr>
            <w:tcW w:w="80" w:type="dxa"/>
            <w:vAlign w:val="bottom"/>
          </w:tcPr>
          <w:p>
            <w:pPr>
              <w:spacing w:after="0"/>
              <w:rPr>
                <w:sz w:val="16"/>
                <w:szCs w:val="16"/>
                <w:color w:val="auto"/>
              </w:rPr>
            </w:pPr>
          </w:p>
        </w:tc>
        <w:tc>
          <w:tcPr>
            <w:tcW w:w="140" w:type="dxa"/>
            <w:vAlign w:val="bottom"/>
            <w:tcBorders>
              <w:bottom w:val="single" w:sz="8" w:color="454546"/>
            </w:tcBorders>
          </w:tcPr>
          <w:p>
            <w:pPr>
              <w:spacing w:after="0"/>
              <w:rPr>
                <w:sz w:val="16"/>
                <w:szCs w:val="16"/>
                <w:color w:val="auto"/>
              </w:rPr>
            </w:pPr>
          </w:p>
        </w:tc>
        <w:tc>
          <w:tcPr>
            <w:tcW w:w="1100" w:type="dxa"/>
            <w:vAlign w:val="bottom"/>
            <w:tcBorders>
              <w:bottom w:val="single" w:sz="8" w:color="454546"/>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454546"/>
                <w:w w:val="99"/>
              </w:rPr>
              <w:t>Income (Loss)</w:t>
            </w:r>
          </w:p>
        </w:tc>
        <w:tc>
          <w:tcPr>
            <w:tcW w:w="80" w:type="dxa"/>
            <w:vAlign w:val="bottom"/>
          </w:tcPr>
          <w:p>
            <w:pPr>
              <w:spacing w:after="0"/>
              <w:rPr>
                <w:sz w:val="16"/>
                <w:szCs w:val="16"/>
                <w:color w:val="auto"/>
              </w:rPr>
            </w:pPr>
          </w:p>
        </w:tc>
        <w:tc>
          <w:tcPr>
            <w:tcW w:w="240" w:type="dxa"/>
            <w:vAlign w:val="bottom"/>
            <w:tcBorders>
              <w:bottom w:val="single" w:sz="8" w:color="454546"/>
            </w:tcBorders>
          </w:tcPr>
          <w:p>
            <w:pPr>
              <w:spacing w:after="0"/>
              <w:rPr>
                <w:sz w:val="16"/>
                <w:szCs w:val="16"/>
                <w:color w:val="auto"/>
              </w:rPr>
            </w:pPr>
          </w:p>
        </w:tc>
        <w:tc>
          <w:tcPr>
            <w:tcW w:w="1000" w:type="dxa"/>
            <w:vAlign w:val="bottom"/>
            <w:tcBorders>
              <w:bottom w:val="single" w:sz="8" w:color="454546"/>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454546"/>
              </w:rPr>
              <w:t>Earnings</w:t>
            </w:r>
          </w:p>
        </w:tc>
        <w:tc>
          <w:tcPr>
            <w:tcW w:w="80" w:type="dxa"/>
            <w:vAlign w:val="bottom"/>
          </w:tcPr>
          <w:p>
            <w:pPr>
              <w:spacing w:after="0"/>
              <w:rPr>
                <w:sz w:val="16"/>
                <w:szCs w:val="16"/>
                <w:color w:val="auto"/>
              </w:rPr>
            </w:pPr>
          </w:p>
        </w:tc>
        <w:tc>
          <w:tcPr>
            <w:tcW w:w="280" w:type="dxa"/>
            <w:vAlign w:val="bottom"/>
            <w:tcBorders>
              <w:bottom w:val="single" w:sz="8" w:color="454546"/>
            </w:tcBorders>
          </w:tcPr>
          <w:p>
            <w:pPr>
              <w:spacing w:after="0"/>
              <w:rPr>
                <w:sz w:val="16"/>
                <w:szCs w:val="16"/>
                <w:color w:val="auto"/>
              </w:rPr>
            </w:pPr>
          </w:p>
        </w:tc>
        <w:tc>
          <w:tcPr>
            <w:tcW w:w="960" w:type="dxa"/>
            <w:vAlign w:val="bottom"/>
            <w:tcBorders>
              <w:bottom w:val="single" w:sz="8" w:color="45454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25,000</w:t>
            </w:r>
          </w:p>
        </w:tc>
        <w:tc>
          <w:tcPr>
            <w:tcW w:w="980" w:type="dxa"/>
            <w:vAlign w:val="bottom"/>
            <w:gridSpan w:val="2"/>
          </w:tcPr>
          <w:p>
            <w:pPr>
              <w:jc w:val="right"/>
              <w:ind w:right="710"/>
              <w:spacing w:after="0"/>
              <w:rPr>
                <w:sz w:val="20"/>
                <w:szCs w:val="20"/>
                <w:color w:val="auto"/>
              </w:rPr>
            </w:pPr>
            <w:r>
              <w:rPr>
                <w:rFonts w:ascii="Times New Roman" w:cs="Times New Roman" w:eastAsia="Times New Roman" w:hAnsi="Times New Roman"/>
                <w:sz w:val="16"/>
                <w:szCs w:val="16"/>
                <w:color w:val="454546"/>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(12,295)</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color w:val="454546"/>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(368,194)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326,839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(21,187)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330,698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268,406</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(98,238)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(98,238)</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429</w:t>
            </w:r>
          </w:p>
        </w:tc>
        <w:tc>
          <w:tcPr>
            <w:tcW w:w="0" w:type="dxa"/>
            <w:vAlign w:val="bottom"/>
          </w:tcPr>
          <w:p>
            <w:pPr>
              <w:spacing w:after="0"/>
              <w:rPr>
                <w:sz w:val="1"/>
                <w:szCs w:val="1"/>
                <w:color w:val="auto"/>
              </w:rPr>
            </w:pPr>
          </w:p>
        </w:tc>
      </w:tr>
      <w:tr>
        <w:trPr>
          <w:trHeight w:val="24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317</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1,290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1,293</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(165)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(1,779)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(1,779)</w:t>
            </w:r>
          </w:p>
        </w:tc>
        <w:tc>
          <w:tcPr>
            <w:tcW w:w="0" w:type="dxa"/>
            <w:vAlign w:val="bottom"/>
          </w:tcPr>
          <w:p>
            <w:pPr>
              <w:spacing w:after="0"/>
              <w:rPr>
                <w:sz w:val="1"/>
                <w:szCs w:val="1"/>
                <w:color w:val="auto"/>
              </w:rPr>
            </w:pPr>
          </w:p>
        </w:tc>
      </w:tr>
      <w:tr>
        <w:trPr>
          <w:trHeight w:val="24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24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261"/>
        </w:trPr>
        <w:tc>
          <w:tcPr>
            <w:tcW w:w="1240" w:type="dxa"/>
            <w:vAlign w:val="bottom"/>
            <w:tcBorders>
              <w:bottom w:val="single" w:sz="8" w:color="454546"/>
            </w:tcBorders>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454546"/>
            </w:tcBorders>
          </w:tcPr>
          <w:p>
            <w:pPr>
              <w:spacing w:after="0"/>
              <w:rPr>
                <w:sz w:val="22"/>
                <w:szCs w:val="22"/>
                <w:color w:val="auto"/>
              </w:rPr>
            </w:pPr>
          </w:p>
        </w:tc>
        <w:tc>
          <w:tcPr>
            <w:tcW w:w="340" w:type="dxa"/>
            <w:vAlign w:val="bottom"/>
            <w:tcBorders>
              <w:bottom w:val="single" w:sz="8" w:color="454546"/>
            </w:tcBorders>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bottom w:val="single" w:sz="8" w:color="454546"/>
            </w:tcBorders>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454546"/>
            </w:tcBorders>
          </w:tcPr>
          <w:p>
            <w:pPr>
              <w:spacing w:after="0"/>
              <w:rPr>
                <w:sz w:val="22"/>
                <w:szCs w:val="22"/>
                <w:color w:val="auto"/>
              </w:rPr>
            </w:pPr>
          </w:p>
        </w:tc>
        <w:tc>
          <w:tcPr>
            <w:tcW w:w="740" w:type="dxa"/>
            <w:vAlign w:val="bottom"/>
            <w:tcBorders>
              <w:bottom w:val="single" w:sz="8" w:color="454546"/>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454546"/>
            </w:tcBorders>
          </w:tcPr>
          <w:p>
            <w:pPr>
              <w:spacing w:after="0"/>
              <w:rPr>
                <w:sz w:val="22"/>
                <w:szCs w:val="22"/>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8,809</w:t>
            </w:r>
          </w:p>
        </w:tc>
        <w:tc>
          <w:tcPr>
            <w:tcW w:w="80" w:type="dxa"/>
            <w:vAlign w:val="bottom"/>
          </w:tcPr>
          <w:p>
            <w:pPr>
              <w:spacing w:after="0"/>
              <w:rPr>
                <w:sz w:val="22"/>
                <w:szCs w:val="22"/>
                <w:color w:val="auto"/>
              </w:rPr>
            </w:pPr>
          </w:p>
        </w:tc>
        <w:tc>
          <w:tcPr>
            <w:tcW w:w="140" w:type="dxa"/>
            <w:vAlign w:val="bottom"/>
            <w:tcBorders>
              <w:bottom w:val="single" w:sz="8" w:color="454546"/>
            </w:tcBorders>
          </w:tcPr>
          <w:p>
            <w:pPr>
              <w:spacing w:after="0"/>
              <w:rPr>
                <w:sz w:val="22"/>
                <w:szCs w:val="22"/>
                <w:color w:val="auto"/>
              </w:rPr>
            </w:pPr>
          </w:p>
        </w:tc>
        <w:tc>
          <w:tcPr>
            <w:tcW w:w="1100" w:type="dxa"/>
            <w:vAlign w:val="bottom"/>
            <w:tcBorders>
              <w:bottom w:val="single" w:sz="8" w:color="454546"/>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454546"/>
            </w:tcBorders>
          </w:tcPr>
          <w:p>
            <w:pPr>
              <w:spacing w:after="0"/>
              <w:rPr>
                <w:sz w:val="22"/>
                <w:szCs w:val="22"/>
                <w:color w:val="auto"/>
              </w:rPr>
            </w:pPr>
          </w:p>
        </w:tc>
        <w:tc>
          <w:tcPr>
            <w:tcW w:w="1000" w:type="dxa"/>
            <w:vAlign w:val="bottom"/>
            <w:tcBorders>
              <w:bottom w:val="single" w:sz="8" w:color="454546"/>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454546"/>
            </w:tcBorders>
          </w:tcPr>
          <w:p>
            <w:pPr>
              <w:spacing w:after="0"/>
              <w:rPr>
                <w:sz w:val="22"/>
                <w:szCs w:val="22"/>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8,809</w:t>
            </w:r>
          </w:p>
        </w:tc>
        <w:tc>
          <w:tcPr>
            <w:tcW w:w="0" w:type="dxa"/>
            <w:vAlign w:val="bottom"/>
          </w:tcPr>
          <w:p>
            <w:pPr>
              <w:spacing w:after="0"/>
              <w:rPr>
                <w:sz w:val="1"/>
                <w:szCs w:val="1"/>
                <w:color w:val="auto"/>
              </w:rPr>
            </w:pPr>
          </w:p>
        </w:tc>
      </w:tr>
      <w:tr>
        <w:trPr>
          <w:trHeight w:val="214"/>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25,346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(12,460)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(369,973)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336,938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(20,758)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232,460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178,920</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(24,029)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(24,029)</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(7,592)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(7,592)</w:t>
            </w:r>
          </w:p>
        </w:tc>
        <w:tc>
          <w:tcPr>
            <w:tcW w:w="0" w:type="dxa"/>
            <w:vAlign w:val="bottom"/>
          </w:tcPr>
          <w:p>
            <w:pPr>
              <w:spacing w:after="0"/>
              <w:rPr>
                <w:sz w:val="1"/>
                <w:szCs w:val="1"/>
                <w:color w:val="auto"/>
              </w:rPr>
            </w:pPr>
          </w:p>
        </w:tc>
      </w:tr>
      <w:tr>
        <w:trPr>
          <w:trHeight w:val="24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338</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1,059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1,063</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(206)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(1,957)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(1,957)</w:t>
            </w:r>
          </w:p>
        </w:tc>
        <w:tc>
          <w:tcPr>
            <w:tcW w:w="0" w:type="dxa"/>
            <w:vAlign w:val="bottom"/>
          </w:tcPr>
          <w:p>
            <w:pPr>
              <w:spacing w:after="0"/>
              <w:rPr>
                <w:sz w:val="1"/>
                <w:szCs w:val="1"/>
                <w:color w:val="auto"/>
              </w:rPr>
            </w:pPr>
          </w:p>
        </w:tc>
      </w:tr>
      <w:tr>
        <w:trPr>
          <w:trHeight w:val="24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246"/>
        </w:trPr>
        <w:tc>
          <w:tcPr>
            <w:tcW w:w="12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454546"/>
            </w:tcBorders>
          </w:tcPr>
          <w:p>
            <w:pPr>
              <w:spacing w:after="0"/>
              <w:rPr>
                <w:sz w:val="21"/>
                <w:szCs w:val="21"/>
                <w:color w:val="auto"/>
              </w:rPr>
            </w:pPr>
          </w:p>
        </w:tc>
        <w:tc>
          <w:tcPr>
            <w:tcW w:w="3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454546"/>
            </w:tcBorders>
          </w:tcPr>
          <w:p>
            <w:pPr>
              <w:spacing w:after="0"/>
              <w:rPr>
                <w:sz w:val="21"/>
                <w:szCs w:val="21"/>
                <w:color w:val="auto"/>
              </w:rPr>
            </w:pPr>
          </w:p>
        </w:tc>
        <w:tc>
          <w:tcPr>
            <w:tcW w:w="7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454546"/>
            </w:tcBorders>
          </w:tcPr>
          <w:p>
            <w:pPr>
              <w:spacing w:after="0"/>
              <w:rPr>
                <w:sz w:val="21"/>
                <w:szCs w:val="21"/>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6,700</w:t>
            </w:r>
          </w:p>
        </w:tc>
        <w:tc>
          <w:tcPr>
            <w:tcW w:w="80" w:type="dxa"/>
            <w:vAlign w:val="bottom"/>
          </w:tcPr>
          <w:p>
            <w:pPr>
              <w:spacing w:after="0"/>
              <w:rPr>
                <w:sz w:val="21"/>
                <w:szCs w:val="21"/>
                <w:color w:val="auto"/>
              </w:rPr>
            </w:pPr>
          </w:p>
        </w:tc>
        <w:tc>
          <w:tcPr>
            <w:tcW w:w="140" w:type="dxa"/>
            <w:vAlign w:val="bottom"/>
            <w:tcBorders>
              <w:bottom w:val="single" w:sz="8" w:color="454546"/>
            </w:tcBorders>
          </w:tcPr>
          <w:p>
            <w:pPr>
              <w:spacing w:after="0"/>
              <w:rPr>
                <w:sz w:val="21"/>
                <w:szCs w:val="21"/>
                <w:color w:val="auto"/>
              </w:rPr>
            </w:pPr>
          </w:p>
        </w:tc>
        <w:tc>
          <w:tcPr>
            <w:tcW w:w="110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454546"/>
            </w:tcBorders>
          </w:tcPr>
          <w:p>
            <w:pPr>
              <w:spacing w:after="0"/>
              <w:rPr>
                <w:sz w:val="21"/>
                <w:szCs w:val="21"/>
                <w:color w:val="auto"/>
              </w:rPr>
            </w:pPr>
          </w:p>
        </w:tc>
        <w:tc>
          <w:tcPr>
            <w:tcW w:w="100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454546"/>
            </w:tcBorders>
          </w:tcPr>
          <w:p>
            <w:pPr>
              <w:spacing w:after="0"/>
              <w:rPr>
                <w:sz w:val="21"/>
                <w:szCs w:val="21"/>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6,700</w:t>
            </w:r>
          </w:p>
        </w:tc>
        <w:tc>
          <w:tcPr>
            <w:tcW w:w="0" w:type="dxa"/>
            <w:vAlign w:val="bottom"/>
          </w:tcPr>
          <w:p>
            <w:pPr>
              <w:spacing w:after="0"/>
              <w:rPr>
                <w:sz w:val="1"/>
                <w:szCs w:val="1"/>
                <w:color w:val="auto"/>
              </w:rPr>
            </w:pPr>
          </w:p>
        </w:tc>
      </w:tr>
      <w:tr>
        <w:trPr>
          <w:trHeight w:val="214"/>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25,713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(12,666)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(371,930)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344,697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(28,350)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208,431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153,105</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(18,599)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(18,599)</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9,235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9,235</w:t>
            </w:r>
          </w:p>
        </w:tc>
        <w:tc>
          <w:tcPr>
            <w:tcW w:w="0" w:type="dxa"/>
            <w:vAlign w:val="bottom"/>
          </w:tcPr>
          <w:p>
            <w:pPr>
              <w:spacing w:after="0"/>
              <w:rPr>
                <w:sz w:val="1"/>
                <w:szCs w:val="1"/>
                <w:color w:val="auto"/>
              </w:rPr>
            </w:pPr>
          </w:p>
        </w:tc>
      </w:tr>
      <w:tr>
        <w:trPr>
          <w:trHeight w:val="24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365</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431</w:t>
            </w:r>
          </w:p>
        </w:tc>
        <w:tc>
          <w:tcPr>
            <w:tcW w:w="0" w:type="dxa"/>
            <w:vAlign w:val="bottom"/>
          </w:tcPr>
          <w:p>
            <w:pPr>
              <w:spacing w:after="0"/>
              <w:rPr>
                <w:sz w:val="1"/>
                <w:szCs w:val="1"/>
                <w:color w:val="auto"/>
              </w:rPr>
            </w:pPr>
          </w:p>
        </w:tc>
      </w:tr>
      <w:tr>
        <w:trPr>
          <w:trHeight w:val="240"/>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(872)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(3,086)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(3,086)</w:t>
            </w:r>
          </w:p>
        </w:tc>
        <w:tc>
          <w:tcPr>
            <w:tcW w:w="0" w:type="dxa"/>
            <w:vAlign w:val="bottom"/>
          </w:tcPr>
          <w:p>
            <w:pPr>
              <w:spacing w:after="0"/>
              <w:rPr>
                <w:sz w:val="1"/>
                <w:szCs w:val="1"/>
                <w:color w:val="auto"/>
              </w:rPr>
            </w:pPr>
          </w:p>
        </w:tc>
      </w:tr>
      <w:tr>
        <w:trPr>
          <w:trHeight w:val="24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68</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w:t>
            </w:r>
          </w:p>
        </w:tc>
        <w:tc>
          <w:tcPr>
            <w:tcW w:w="0" w:type="dxa"/>
            <w:vAlign w:val="bottom"/>
          </w:tcPr>
          <w:p>
            <w:pPr>
              <w:spacing w:after="0"/>
              <w:rPr>
                <w:sz w:val="1"/>
                <w:szCs w:val="1"/>
                <w:color w:val="auto"/>
              </w:rPr>
            </w:pPr>
          </w:p>
        </w:tc>
      </w:tr>
      <w:tr>
        <w:trPr>
          <w:trHeight w:val="246"/>
        </w:trPr>
        <w:tc>
          <w:tcPr>
            <w:tcW w:w="12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454546"/>
            </w:tcBorders>
          </w:tcPr>
          <w:p>
            <w:pPr>
              <w:spacing w:after="0"/>
              <w:rPr>
                <w:sz w:val="21"/>
                <w:szCs w:val="21"/>
                <w:color w:val="auto"/>
              </w:rPr>
            </w:pPr>
          </w:p>
        </w:tc>
        <w:tc>
          <w:tcPr>
            <w:tcW w:w="3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454546"/>
            </w:tcBorders>
          </w:tcPr>
          <w:p>
            <w:pPr>
              <w:spacing w:after="0"/>
              <w:rPr>
                <w:sz w:val="21"/>
                <w:szCs w:val="21"/>
                <w:color w:val="auto"/>
              </w:rPr>
            </w:pPr>
          </w:p>
        </w:tc>
        <w:tc>
          <w:tcPr>
            <w:tcW w:w="74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454546"/>
            </w:tcBorders>
          </w:tcPr>
          <w:p>
            <w:pPr>
              <w:spacing w:after="0"/>
              <w:rPr>
                <w:sz w:val="21"/>
                <w:szCs w:val="21"/>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5,098</w:t>
            </w:r>
          </w:p>
        </w:tc>
        <w:tc>
          <w:tcPr>
            <w:tcW w:w="80" w:type="dxa"/>
            <w:vAlign w:val="bottom"/>
          </w:tcPr>
          <w:p>
            <w:pPr>
              <w:spacing w:after="0"/>
              <w:rPr>
                <w:sz w:val="21"/>
                <w:szCs w:val="21"/>
                <w:color w:val="auto"/>
              </w:rPr>
            </w:pPr>
          </w:p>
        </w:tc>
        <w:tc>
          <w:tcPr>
            <w:tcW w:w="140" w:type="dxa"/>
            <w:vAlign w:val="bottom"/>
            <w:tcBorders>
              <w:bottom w:val="single" w:sz="8" w:color="454546"/>
            </w:tcBorders>
          </w:tcPr>
          <w:p>
            <w:pPr>
              <w:spacing w:after="0"/>
              <w:rPr>
                <w:sz w:val="21"/>
                <w:szCs w:val="21"/>
                <w:color w:val="auto"/>
              </w:rPr>
            </w:pPr>
          </w:p>
        </w:tc>
        <w:tc>
          <w:tcPr>
            <w:tcW w:w="110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454546"/>
            </w:tcBorders>
          </w:tcPr>
          <w:p>
            <w:pPr>
              <w:spacing w:after="0"/>
              <w:rPr>
                <w:sz w:val="21"/>
                <w:szCs w:val="21"/>
                <w:color w:val="auto"/>
              </w:rPr>
            </w:pPr>
          </w:p>
        </w:tc>
        <w:tc>
          <w:tcPr>
            <w:tcW w:w="1000" w:type="dxa"/>
            <w:vAlign w:val="bottom"/>
            <w:tcBorders>
              <w:bottom w:val="single" w:sz="8" w:color="454546"/>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454546"/>
            </w:tcBorders>
          </w:tcPr>
          <w:p>
            <w:pPr>
              <w:spacing w:after="0"/>
              <w:rPr>
                <w:sz w:val="21"/>
                <w:szCs w:val="21"/>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color w:val="454546"/>
              </w:rPr>
              <w:t>5,098</w:t>
            </w:r>
          </w:p>
        </w:tc>
        <w:tc>
          <w:tcPr>
            <w:tcW w:w="0" w:type="dxa"/>
            <w:vAlign w:val="bottom"/>
          </w:tcPr>
          <w:p>
            <w:pPr>
              <w:spacing w:after="0"/>
              <w:rPr>
                <w:sz w:val="1"/>
                <w:szCs w:val="1"/>
                <w:color w:val="auto"/>
              </w:rPr>
            </w:pPr>
          </w:p>
        </w:tc>
      </w:tr>
      <w:tr>
        <w:trPr>
          <w:trHeight w:val="20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26,146</w:t>
            </w:r>
          </w:p>
        </w:tc>
        <w:tc>
          <w:tcPr>
            <w:tcW w:w="980" w:type="dxa"/>
            <w:vAlign w:val="bottom"/>
            <w:gridSpan w:val="2"/>
          </w:tcPr>
          <w:p>
            <w:pPr>
              <w:jc w:val="right"/>
              <w:ind w:right="710"/>
              <w:spacing w:after="0"/>
              <w:rPr>
                <w:sz w:val="20"/>
                <w:szCs w:val="20"/>
                <w:color w:val="auto"/>
              </w:rPr>
            </w:pPr>
            <w:r>
              <w:rPr>
                <w:rFonts w:ascii="Times New Roman" w:cs="Times New Roman" w:eastAsia="Times New Roman" w:hAnsi="Times New Roman"/>
                <w:sz w:val="16"/>
                <w:szCs w:val="16"/>
                <w:color w:val="454546"/>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261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454546"/>
              </w:rPr>
              <w:t>(13,538)</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color w:val="454546"/>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(375,016)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350,222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454546"/>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(19,115)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189,832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454546"/>
              </w:rPr>
              <w:t>146,184</w:t>
            </w:r>
          </w:p>
        </w:tc>
        <w:tc>
          <w:tcPr>
            <w:tcW w:w="0" w:type="dxa"/>
            <w:vAlign w:val="bottom"/>
          </w:tcPr>
          <w:p>
            <w:pPr>
              <w:spacing w:after="0"/>
              <w:rPr>
                <w:sz w:val="1"/>
                <w:szCs w:val="1"/>
                <w:color w:val="auto"/>
              </w:rPr>
            </w:pPr>
          </w:p>
        </w:tc>
      </w:tr>
      <w:tr>
        <w:trPr>
          <w:trHeight w:val="20"/>
        </w:trPr>
        <w:tc>
          <w:tcPr>
            <w:tcW w:w="12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454546"/>
              <w:bottom w:val="single" w:sz="8" w:color="454546"/>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7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454546"/>
              <w:bottom w:val="single" w:sz="8" w:color="454546"/>
            </w:tcBorders>
          </w:tcPr>
          <w:p>
            <w:pPr>
              <w:spacing w:after="0" w:line="20" w:lineRule="exact"/>
              <w:rPr>
                <w:sz w:val="1"/>
                <w:szCs w:val="1"/>
                <w:color w:val="auto"/>
              </w:rPr>
            </w:pPr>
          </w:p>
        </w:tc>
        <w:tc>
          <w:tcPr>
            <w:tcW w:w="11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-2691765</wp:posOffset>
                </wp:positionH>
                <wp:positionV relativeFrom="paragraph">
                  <wp:posOffset>-3228340</wp:posOffset>
                </wp:positionV>
                <wp:extent cx="9371965" cy="1524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2" o:spid="_x0000_s1087" style="position:absolute;margin-left:-211.9499pt;margin-top:-254.19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-2691765</wp:posOffset>
                </wp:positionH>
                <wp:positionV relativeFrom="paragraph">
                  <wp:posOffset>-2923540</wp:posOffset>
                </wp:positionV>
                <wp:extent cx="9371965" cy="15240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3" o:spid="_x0000_s1088" style="position:absolute;margin-left:-211.9499pt;margin-top:-230.19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-2691765</wp:posOffset>
                </wp:positionH>
                <wp:positionV relativeFrom="paragraph">
                  <wp:posOffset>-2618740</wp:posOffset>
                </wp:positionV>
                <wp:extent cx="9371965" cy="15240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4" o:spid="_x0000_s1089" style="position:absolute;margin-left:-211.9499pt;margin-top:-206.19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-2691765</wp:posOffset>
                </wp:positionH>
                <wp:positionV relativeFrom="paragraph">
                  <wp:posOffset>-1999615</wp:posOffset>
                </wp:positionV>
                <wp:extent cx="9371965" cy="15240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5" o:spid="_x0000_s1090" style="position:absolute;margin-left:-211.9499pt;margin-top:-157.44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-2691765</wp:posOffset>
                </wp:positionH>
                <wp:positionV relativeFrom="paragraph">
                  <wp:posOffset>-1694815</wp:posOffset>
                </wp:positionV>
                <wp:extent cx="9371965" cy="15240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6" o:spid="_x0000_s1091" style="position:absolute;margin-left:-211.9499pt;margin-top:-133.44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-2691765</wp:posOffset>
                </wp:positionH>
                <wp:positionV relativeFrom="paragraph">
                  <wp:posOffset>-1085215</wp:posOffset>
                </wp:positionV>
                <wp:extent cx="9371965" cy="15240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7" o:spid="_x0000_s1092" style="position:absolute;margin-left:-211.9499pt;margin-top:-85.44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-2691765</wp:posOffset>
                </wp:positionH>
                <wp:positionV relativeFrom="paragraph">
                  <wp:posOffset>-780415</wp:posOffset>
                </wp:positionV>
                <wp:extent cx="9371965" cy="1524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8" o:spid="_x0000_s1093" style="position:absolute;margin-left:-211.9499pt;margin-top:-61.44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-2691765</wp:posOffset>
                </wp:positionH>
                <wp:positionV relativeFrom="paragraph">
                  <wp:posOffset>-475615</wp:posOffset>
                </wp:positionV>
                <wp:extent cx="9371965" cy="15240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1965" cy="152400"/>
                        </a:xfrm>
                        <a:prstGeom prst="rect">
                          <a:avLst/>
                        </a:prstGeom>
                        <a:solidFill>
                          <a:srgbClr val="E3E4E5"/>
                        </a:solidFill>
                      </wps:spPr>
                      <wps:bodyPr/>
                    </wps:wsp>
                  </a:graphicData>
                </a:graphic>
              </wp:anchor>
            </w:drawing>
          </mc:Choice>
          <mc:Fallback>
            <w:pict>
              <v:rect id="Shape 69" o:spid="_x0000_s1094" style="position:absolute;margin-left:-211.9499pt;margin-top:-37.4499pt;width:73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-2691765</wp:posOffset>
            </wp:positionH>
            <wp:positionV relativeFrom="paragraph">
              <wp:posOffset>-3545840</wp:posOffset>
            </wp:positionV>
            <wp:extent cx="9372600" cy="165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9">
                      <a:extLst>
                        <a:ext uri="{28A0092B-C50C-407E-A947-70E740481C1C}"/>
                      </a:extLst>
                    </a:blip>
                    <a:srcRect/>
                    <a:stretch>
                      <a:fillRect/>
                    </a:stretch>
                  </pic:blipFill>
                  <pic:spPr bwMode="auto">
                    <a:xfrm>
                      <a:off x="0" y="0"/>
                      <a:ext cx="9372600" cy="16510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-2317115</wp:posOffset>
            </wp:positionV>
            <wp:extent cx="9372600" cy="165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a:extLst>
                        <a:ext uri="{28A0092B-C50C-407E-A947-70E740481C1C}"/>
                      </a:extLst>
                    </a:blip>
                    <a:srcRect/>
                    <a:stretch>
                      <a:fillRect/>
                    </a:stretch>
                  </pic:blipFill>
                  <pic:spPr bwMode="auto">
                    <a:xfrm>
                      <a:off x="0" y="0"/>
                      <a:ext cx="9372600" cy="16510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-1390015</wp:posOffset>
            </wp:positionV>
            <wp:extent cx="9372600" cy="165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1">
                      <a:extLst>
                        <a:ext uri="{28A0092B-C50C-407E-A947-70E740481C1C}"/>
                      </a:extLst>
                    </a:blip>
                    <a:srcRect/>
                    <a:stretch>
                      <a:fillRect/>
                    </a:stretch>
                  </pic:blipFill>
                  <pic:spPr bwMode="auto">
                    <a:xfrm>
                      <a:off x="0" y="0"/>
                      <a:ext cx="9372600" cy="16510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-183515</wp:posOffset>
            </wp:positionV>
            <wp:extent cx="9385300" cy="190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
                      <a:extLst>
                        <a:ext uri="{28A0092B-C50C-407E-A947-70E740481C1C}"/>
                      </a:extLst>
                    </a:blip>
                    <a:srcRect/>
                    <a:stretch>
                      <a:fillRect/>
                    </a:stretch>
                  </pic:blipFill>
                  <pic:spPr bwMode="auto">
                    <a:xfrm>
                      <a:off x="0" y="0"/>
                      <a:ext cx="9385300" cy="19050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54546"/>
        </w:rPr>
        <w:t>The accompanying notes are an integral part of these consolidated financial statements.</w:t>
      </w:r>
    </w:p>
    <w:p>
      <w:pPr>
        <w:spacing w:after="0" w:line="200" w:lineRule="exact"/>
        <w:rPr>
          <w:sz w:val="20"/>
          <w:szCs w:val="20"/>
          <w:color w:val="auto"/>
        </w:rPr>
      </w:pPr>
    </w:p>
    <w:p>
      <w:pPr>
        <w:sectPr>
          <w:pgSz w:w="15480" w:h="11880" w:orient="landscape"/>
          <w:cols w:equalWidth="0" w:num="2">
            <w:col w:w="3740" w:space="440"/>
            <w:col w:w="10520"/>
          </w:cols>
          <w:pgMar w:left="420" w:top="381"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454546"/>
        </w:rPr>
        <w:t>48</w:t>
      </w:r>
    </w:p>
    <w:p>
      <w:pPr>
        <w:sectPr>
          <w:pgSz w:w="15480" w:h="11880" w:orient="landscape"/>
          <w:cols w:equalWidth="0" w:num="1">
            <w:col w:w="14700"/>
          </w:cols>
          <w:pgMar w:left="420" w:top="381" w:right="360" w:bottom="0" w:gutter="0" w:footer="0" w:header="0"/>
          <w:type w:val="continuous"/>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UNIVERSAL ELECTRONICS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4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60" w:type="dxa"/>
            <w:vAlign w:val="bottom"/>
            <w:tcBorders>
              <w:bottom w:val="single" w:sz="8" w:color="454546"/>
            </w:tcBorders>
          </w:tcPr>
          <w:p>
            <w:pPr>
              <w:spacing w:after="0"/>
              <w:rPr>
                <w:sz w:val="18"/>
                <w:szCs w:val="18"/>
                <w:color w:val="auto"/>
              </w:rPr>
            </w:pPr>
          </w:p>
        </w:tc>
      </w:tr>
      <w:tr>
        <w:trPr>
          <w:trHeight w:val="235"/>
        </w:trPr>
        <w:tc>
          <w:tcPr>
            <w:tcW w:w="660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960" w:type="dxa"/>
            <w:vAlign w:val="bottom"/>
            <w:tcBorders>
              <w:bottom w:val="single" w:sz="8" w:color="454546"/>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30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60" w:type="dxa"/>
            <w:vAlign w:val="bottom"/>
            <w:tcBorders>
              <w:bottom w:val="single" w:sz="8" w:color="454546"/>
            </w:tcBorders>
          </w:tcPr>
          <w:p>
            <w:pPr>
              <w:spacing w:after="0"/>
              <w:rPr>
                <w:sz w:val="20"/>
                <w:szCs w:val="20"/>
                <w:color w:val="auto"/>
              </w:rPr>
            </w:pPr>
          </w:p>
        </w:tc>
        <w:tc>
          <w:tcPr>
            <w:tcW w:w="960" w:type="dxa"/>
            <w:vAlign w:val="bottom"/>
            <w:tcBorders>
              <w:bottom w:val="single" w:sz="8" w:color="454546"/>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55"/>
        </w:trPr>
        <w:tc>
          <w:tcPr>
            <w:tcW w:w="66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Cash flows from operating activities:</w:t>
            </w:r>
          </w:p>
        </w:tc>
        <w:tc>
          <w:tcPr>
            <w:tcW w:w="320" w:type="dxa"/>
            <w:vAlign w:val="bottom"/>
            <w:tcBorders>
              <w:bottom w:val="single" w:sz="8" w:color="E3E4E5"/>
            </w:tcBorders>
            <w:shd w:val="clear" w:color="auto" w:fill="E3E4E5"/>
          </w:tcPr>
          <w:p>
            <w:pPr>
              <w:spacing w:after="0"/>
              <w:rPr>
                <w:sz w:val="22"/>
                <w:szCs w:val="22"/>
                <w:color w:val="auto"/>
              </w:rPr>
            </w:pPr>
          </w:p>
        </w:tc>
        <w:tc>
          <w:tcPr>
            <w:tcW w:w="960" w:type="dxa"/>
            <w:vAlign w:val="bottom"/>
            <w:tcBorders>
              <w:bottom w:val="single" w:sz="8" w:color="E3E4E5"/>
            </w:tcBorders>
            <w:shd w:val="clear" w:color="auto" w:fill="E3E4E5"/>
          </w:tcPr>
          <w:p>
            <w:pPr>
              <w:spacing w:after="0"/>
              <w:rPr>
                <w:sz w:val="22"/>
                <w:szCs w:val="22"/>
                <w:color w:val="auto"/>
              </w:rPr>
            </w:pPr>
          </w:p>
        </w:tc>
        <w:tc>
          <w:tcPr>
            <w:tcW w:w="80" w:type="dxa"/>
            <w:vAlign w:val="bottom"/>
            <w:tcBorders>
              <w:bottom w:val="single" w:sz="8" w:color="E3E4E5"/>
            </w:tcBorders>
            <w:shd w:val="clear" w:color="auto" w:fill="E3E4E5"/>
          </w:tcPr>
          <w:p>
            <w:pPr>
              <w:spacing w:after="0"/>
              <w:rPr>
                <w:sz w:val="22"/>
                <w:szCs w:val="22"/>
                <w:color w:val="auto"/>
              </w:rPr>
            </w:pPr>
          </w:p>
        </w:tc>
        <w:tc>
          <w:tcPr>
            <w:tcW w:w="300" w:type="dxa"/>
            <w:vAlign w:val="bottom"/>
            <w:tcBorders>
              <w:bottom w:val="single" w:sz="8" w:color="E3E4E5"/>
            </w:tcBorders>
            <w:shd w:val="clear" w:color="auto" w:fill="E3E4E5"/>
          </w:tcPr>
          <w:p>
            <w:pPr>
              <w:spacing w:after="0"/>
              <w:rPr>
                <w:sz w:val="22"/>
                <w:szCs w:val="22"/>
                <w:color w:val="auto"/>
              </w:rPr>
            </w:pPr>
          </w:p>
        </w:tc>
        <w:tc>
          <w:tcPr>
            <w:tcW w:w="980" w:type="dxa"/>
            <w:vAlign w:val="bottom"/>
            <w:tcBorders>
              <w:bottom w:val="single" w:sz="8" w:color="E3E4E5"/>
            </w:tcBorders>
            <w:shd w:val="clear" w:color="auto" w:fill="E3E4E5"/>
          </w:tcPr>
          <w:p>
            <w:pPr>
              <w:spacing w:after="0"/>
              <w:rPr>
                <w:sz w:val="22"/>
                <w:szCs w:val="22"/>
                <w:color w:val="auto"/>
              </w:rPr>
            </w:pPr>
          </w:p>
        </w:tc>
        <w:tc>
          <w:tcPr>
            <w:tcW w:w="60" w:type="dxa"/>
            <w:vAlign w:val="bottom"/>
            <w:tcBorders>
              <w:bottom w:val="single" w:sz="8" w:color="E3E4E5"/>
            </w:tcBorders>
            <w:shd w:val="clear" w:color="auto" w:fill="E3E4E5"/>
          </w:tcPr>
          <w:p>
            <w:pPr>
              <w:spacing w:after="0"/>
              <w:rPr>
                <w:sz w:val="22"/>
                <w:szCs w:val="22"/>
                <w:color w:val="auto"/>
              </w:rPr>
            </w:pPr>
          </w:p>
        </w:tc>
        <w:tc>
          <w:tcPr>
            <w:tcW w:w="360" w:type="dxa"/>
            <w:vAlign w:val="bottom"/>
            <w:tcBorders>
              <w:bottom w:val="single" w:sz="8" w:color="E3E4E5"/>
            </w:tcBorders>
            <w:shd w:val="clear" w:color="auto" w:fill="E3E4E5"/>
          </w:tcPr>
          <w:p>
            <w:pPr>
              <w:spacing w:after="0"/>
              <w:rPr>
                <w:sz w:val="22"/>
                <w:szCs w:val="22"/>
                <w:color w:val="auto"/>
              </w:rPr>
            </w:pPr>
          </w:p>
        </w:tc>
        <w:tc>
          <w:tcPr>
            <w:tcW w:w="960" w:type="dxa"/>
            <w:vAlign w:val="bottom"/>
            <w:tcBorders>
              <w:bottom w:val="single" w:sz="8" w:color="E3E4E5"/>
            </w:tcBorders>
            <w:shd w:val="clear" w:color="auto" w:fill="E3E4E5"/>
          </w:tcPr>
          <w:p>
            <w:pPr>
              <w:spacing w:after="0"/>
              <w:rPr>
                <w:sz w:val="22"/>
                <w:szCs w:val="22"/>
                <w:color w:val="auto"/>
              </w:rPr>
            </w:pPr>
          </w:p>
        </w:tc>
      </w:tr>
      <w:tr>
        <w:trPr>
          <w:trHeight w:val="279"/>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Net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(18,599)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(24,029)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(98,238)</w:t>
            </w:r>
          </w:p>
        </w:tc>
      </w:tr>
      <w:tr>
        <w:trPr>
          <w:trHeight w:val="198"/>
        </w:trPr>
        <w:tc>
          <w:tcPr>
            <w:tcW w:w="6600" w:type="dxa"/>
            <w:vAlign w:val="bottom"/>
            <w:shd w:val="clear" w:color="auto" w:fill="E3E4E5"/>
          </w:tcPr>
          <w:p>
            <w:pPr>
              <w:ind w:left="400"/>
              <w:spacing w:after="0" w:line="198" w:lineRule="exact"/>
              <w:rPr>
                <w:sz w:val="20"/>
                <w:szCs w:val="20"/>
                <w:color w:val="auto"/>
              </w:rPr>
            </w:pPr>
            <w:r>
              <w:rPr>
                <w:rFonts w:ascii="Times New Roman" w:cs="Times New Roman" w:eastAsia="Times New Roman" w:hAnsi="Times New Roman"/>
                <w:sz w:val="20"/>
                <w:szCs w:val="20"/>
                <w:color w:val="454546"/>
              </w:rPr>
              <w:t>Adjustments to reconcile net income (loss) to net cash provided by (used</w:t>
            </w:r>
          </w:p>
        </w:tc>
        <w:tc>
          <w:tcPr>
            <w:tcW w:w="320" w:type="dxa"/>
            <w:vAlign w:val="bottom"/>
            <w:shd w:val="clear" w:color="auto" w:fill="E3E4E5"/>
          </w:tcPr>
          <w:p>
            <w:pPr>
              <w:spacing w:after="0"/>
              <w:rPr>
                <w:sz w:val="17"/>
                <w:szCs w:val="17"/>
                <w:color w:val="auto"/>
              </w:rPr>
            </w:pPr>
          </w:p>
        </w:tc>
        <w:tc>
          <w:tcPr>
            <w:tcW w:w="96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98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360" w:type="dxa"/>
            <w:vAlign w:val="bottom"/>
            <w:shd w:val="clear" w:color="auto" w:fill="E3E4E5"/>
          </w:tcPr>
          <w:p>
            <w:pPr>
              <w:spacing w:after="0"/>
              <w:rPr>
                <w:sz w:val="17"/>
                <w:szCs w:val="17"/>
                <w:color w:val="auto"/>
              </w:rPr>
            </w:pPr>
          </w:p>
        </w:tc>
        <w:tc>
          <w:tcPr>
            <w:tcW w:w="960" w:type="dxa"/>
            <w:vAlign w:val="bottom"/>
            <w:shd w:val="clear" w:color="auto" w:fill="E3E4E5"/>
          </w:tcPr>
          <w:p>
            <w:pPr>
              <w:spacing w:after="0"/>
              <w:rPr>
                <w:sz w:val="17"/>
                <w:szCs w:val="17"/>
                <w:color w:val="auto"/>
              </w:rPr>
            </w:pPr>
          </w:p>
        </w:tc>
      </w:tr>
      <w:tr>
        <w:trPr>
          <w:trHeight w:val="274"/>
        </w:trPr>
        <w:tc>
          <w:tcPr>
            <w:tcW w:w="660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for) operating activities:</w:t>
            </w:r>
          </w:p>
        </w:tc>
        <w:tc>
          <w:tcPr>
            <w:tcW w:w="32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36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r>
      <w:tr>
        <w:trPr>
          <w:trHeight w:val="279"/>
        </w:trPr>
        <w:tc>
          <w:tcPr>
            <w:tcW w:w="6600" w:type="dxa"/>
            <w:vAlign w:val="bottom"/>
          </w:tcPr>
          <w:p>
            <w:pPr>
              <w:ind w:left="760"/>
              <w:spacing w:after="0"/>
              <w:rPr>
                <w:sz w:val="20"/>
                <w:szCs w:val="20"/>
                <w:color w:val="auto"/>
              </w:rPr>
            </w:pPr>
            <w:r>
              <w:rPr>
                <w:rFonts w:ascii="Times New Roman" w:cs="Times New Roman" w:eastAsia="Times New Roman" w:hAnsi="Times New Roman"/>
                <w:sz w:val="20"/>
                <w:szCs w:val="20"/>
                <w:color w:val="454546"/>
              </w:rPr>
              <w:t>Depreciation and amortization</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14,188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18,058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22,927</w:t>
            </w:r>
          </w:p>
        </w:tc>
      </w:tr>
      <w:tr>
        <w:trPr>
          <w:trHeight w:val="291"/>
        </w:trPr>
        <w:tc>
          <w:tcPr>
            <w:tcW w:w="6600" w:type="dxa"/>
            <w:vAlign w:val="bottom"/>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Provision for credit losses</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454</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1,081</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70</w:t>
            </w:r>
          </w:p>
        </w:tc>
      </w:tr>
      <w:tr>
        <w:trPr>
          <w:trHeight w:val="279"/>
        </w:trPr>
        <w:tc>
          <w:tcPr>
            <w:tcW w:w="6600" w:type="dxa"/>
            <w:vAlign w:val="bottom"/>
          </w:tcPr>
          <w:p>
            <w:pPr>
              <w:ind w:left="760"/>
              <w:spacing w:after="0"/>
              <w:rPr>
                <w:sz w:val="20"/>
                <w:szCs w:val="20"/>
                <w:color w:val="auto"/>
              </w:rPr>
            </w:pPr>
            <w:r>
              <w:rPr>
                <w:rFonts w:ascii="Times New Roman" w:cs="Times New Roman" w:eastAsia="Times New Roman" w:hAnsi="Times New Roman"/>
                <w:sz w:val="20"/>
                <w:szCs w:val="20"/>
                <w:color w:val="454546"/>
              </w:rPr>
              <w:t>Gain on sale of property, plant, and equipment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r>
      <w:tr>
        <w:trPr>
          <w:trHeight w:val="291"/>
        </w:trPr>
        <w:tc>
          <w:tcPr>
            <w:tcW w:w="6600" w:type="dxa"/>
            <w:vAlign w:val="bottom"/>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Deferred income taxes</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866</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(256)</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(1,149)</w:t>
            </w:r>
          </w:p>
        </w:tc>
      </w:tr>
      <w:tr>
        <w:trPr>
          <w:trHeight w:val="279"/>
        </w:trPr>
        <w:tc>
          <w:tcPr>
            <w:tcW w:w="6600" w:type="dxa"/>
            <w:vAlign w:val="bottom"/>
          </w:tcPr>
          <w:p>
            <w:pPr>
              <w:ind w:left="760"/>
              <w:spacing w:after="0"/>
              <w:rPr>
                <w:sz w:val="20"/>
                <w:szCs w:val="20"/>
                <w:color w:val="auto"/>
              </w:rPr>
            </w:pPr>
            <w:r>
              <w:rPr>
                <w:rFonts w:ascii="Times New Roman" w:cs="Times New Roman" w:eastAsia="Times New Roman" w:hAnsi="Times New Roman"/>
                <w:sz w:val="20"/>
                <w:szCs w:val="20"/>
                <w:color w:val="454546"/>
              </w:rPr>
              <w:t>Shares issued for employee benefit plan</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1,063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1,293</w:t>
            </w:r>
          </w:p>
        </w:tc>
      </w:tr>
      <w:tr>
        <w:trPr>
          <w:trHeight w:val="291"/>
        </w:trPr>
        <w:tc>
          <w:tcPr>
            <w:tcW w:w="6600" w:type="dxa"/>
            <w:vAlign w:val="bottom"/>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Employee and director stock-based compensation</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5,098</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6,700</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8,809</w:t>
            </w:r>
          </w:p>
        </w:tc>
      </w:tr>
      <w:tr>
        <w:trPr>
          <w:trHeight w:val="279"/>
        </w:trPr>
        <w:tc>
          <w:tcPr>
            <w:tcW w:w="6600" w:type="dxa"/>
            <w:vAlign w:val="bottom"/>
          </w:tcPr>
          <w:p>
            <w:pPr>
              <w:ind w:left="760"/>
              <w:spacing w:after="0"/>
              <w:rPr>
                <w:sz w:val="20"/>
                <w:szCs w:val="20"/>
                <w:color w:val="auto"/>
              </w:rPr>
            </w:pPr>
            <w:r>
              <w:rPr>
                <w:rFonts w:ascii="Times New Roman" w:cs="Times New Roman" w:eastAsia="Times New Roman" w:hAnsi="Times New Roman"/>
                <w:sz w:val="20"/>
                <w:szCs w:val="20"/>
                <w:color w:val="454546"/>
              </w:rPr>
              <w:t>Impairment of goodwill</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49,075</w:t>
            </w:r>
          </w:p>
        </w:tc>
      </w:tr>
      <w:tr>
        <w:trPr>
          <w:trHeight w:val="291"/>
        </w:trPr>
        <w:tc>
          <w:tcPr>
            <w:tcW w:w="6600" w:type="dxa"/>
            <w:vAlign w:val="bottom"/>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Impairment of long-lived assets</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1,309</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333</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7,963</w:t>
            </w:r>
          </w:p>
        </w:tc>
      </w:tr>
      <w:tr>
        <w:trPr>
          <w:trHeight w:val="260"/>
        </w:trPr>
        <w:tc>
          <w:tcPr>
            <w:tcW w:w="6600" w:type="dxa"/>
            <w:vAlign w:val="bottom"/>
          </w:tcPr>
          <w:p>
            <w:pPr>
              <w:ind w:left="760"/>
              <w:spacing w:after="0"/>
              <w:rPr>
                <w:sz w:val="20"/>
                <w:szCs w:val="20"/>
                <w:color w:val="auto"/>
              </w:rPr>
            </w:pPr>
            <w:r>
              <w:rPr>
                <w:rFonts w:ascii="Times New Roman" w:cs="Times New Roman" w:eastAsia="Times New Roman" w:hAnsi="Times New Roman"/>
                <w:sz w:val="20"/>
                <w:szCs w:val="20"/>
                <w:color w:val="454546"/>
              </w:rPr>
              <w:t>Changes in operating assets and liabilities: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5"/>
        </w:trPr>
        <w:tc>
          <w:tcPr>
            <w:tcW w:w="6600" w:type="dxa"/>
            <w:vAlign w:val="bottom"/>
            <w:shd w:val="clear" w:color="auto" w:fill="E3E4E5"/>
          </w:tcPr>
          <w:p>
            <w:pPr>
              <w:ind w:left="1260"/>
              <w:spacing w:after="0"/>
              <w:rPr>
                <w:sz w:val="20"/>
                <w:szCs w:val="20"/>
                <w:color w:val="auto"/>
              </w:rPr>
            </w:pPr>
            <w:r>
              <w:rPr>
                <w:rFonts w:ascii="Times New Roman" w:cs="Times New Roman" w:eastAsia="Times New Roman" w:hAnsi="Times New Roman"/>
                <w:sz w:val="20"/>
                <w:szCs w:val="20"/>
                <w:color w:val="454546"/>
              </w:rPr>
              <w:t>Accounts receivable and contract assets</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41,536</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(12,174)</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5,040</w:t>
            </w:r>
          </w:p>
        </w:tc>
      </w:tr>
      <w:tr>
        <w:trPr>
          <w:trHeight w:val="278"/>
        </w:trPr>
        <w:tc>
          <w:tcPr>
            <w:tcW w:w="6600" w:type="dxa"/>
            <w:vAlign w:val="bottom"/>
          </w:tcPr>
          <w:p>
            <w:pPr>
              <w:ind w:left="1260"/>
              <w:spacing w:after="0"/>
              <w:rPr>
                <w:sz w:val="20"/>
                <w:szCs w:val="20"/>
                <w:color w:val="auto"/>
              </w:rPr>
            </w:pPr>
            <w:r>
              <w:rPr>
                <w:rFonts w:ascii="Times New Roman" w:cs="Times New Roman" w:eastAsia="Times New Roman" w:hAnsi="Times New Roman"/>
                <w:sz w:val="20"/>
                <w:szCs w:val="20"/>
                <w:color w:val="454546"/>
              </w:rPr>
              <w:t>Inventories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4,571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6,239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51,458</w:t>
            </w:r>
          </w:p>
        </w:tc>
      </w:tr>
      <w:tr>
        <w:trPr>
          <w:trHeight w:val="292"/>
        </w:trPr>
        <w:tc>
          <w:tcPr>
            <w:tcW w:w="6600" w:type="dxa"/>
            <w:vAlign w:val="bottom"/>
            <w:shd w:val="clear" w:color="auto" w:fill="E3E4E5"/>
          </w:tcPr>
          <w:p>
            <w:pPr>
              <w:ind w:left="1260"/>
              <w:spacing w:after="0"/>
              <w:rPr>
                <w:sz w:val="20"/>
                <w:szCs w:val="20"/>
                <w:color w:val="auto"/>
              </w:rPr>
            </w:pPr>
            <w:r>
              <w:rPr>
                <w:rFonts w:ascii="Times New Roman" w:cs="Times New Roman" w:eastAsia="Times New Roman" w:hAnsi="Times New Roman"/>
                <w:sz w:val="20"/>
                <w:szCs w:val="20"/>
                <w:color w:val="454546"/>
              </w:rPr>
              <w:t>Prepaid expenses and other assets</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5,401</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764</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2,860</w:t>
            </w:r>
          </w:p>
        </w:tc>
      </w:tr>
      <w:tr>
        <w:trPr>
          <w:trHeight w:val="278"/>
        </w:trPr>
        <w:tc>
          <w:tcPr>
            <w:tcW w:w="6600" w:type="dxa"/>
            <w:vAlign w:val="bottom"/>
          </w:tcPr>
          <w:p>
            <w:pPr>
              <w:ind w:left="1260"/>
              <w:spacing w:after="0"/>
              <w:rPr>
                <w:sz w:val="20"/>
                <w:szCs w:val="20"/>
                <w:color w:val="auto"/>
              </w:rPr>
            </w:pPr>
            <w:r>
              <w:rPr>
                <w:rFonts w:ascii="Times New Roman" w:cs="Times New Roman" w:eastAsia="Times New Roman" w:hAnsi="Times New Roman"/>
                <w:sz w:val="20"/>
                <w:szCs w:val="20"/>
                <w:color w:val="454546"/>
              </w:rPr>
              <w:t>Accounts payable and accrued liabilities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(33,226)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15,733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(21,379)</w:t>
            </w:r>
          </w:p>
        </w:tc>
      </w:tr>
      <w:tr>
        <w:trPr>
          <w:trHeight w:val="300"/>
        </w:trPr>
        <w:tc>
          <w:tcPr>
            <w:tcW w:w="6600" w:type="dxa"/>
            <w:vAlign w:val="bottom"/>
            <w:tcBorders>
              <w:bottom w:val="single" w:sz="8" w:color="E3E4E5"/>
            </w:tcBorders>
            <w:shd w:val="clear" w:color="auto" w:fill="E3E4E5"/>
          </w:tcPr>
          <w:p>
            <w:pPr>
              <w:ind w:left="1260"/>
              <w:spacing w:after="0"/>
              <w:rPr>
                <w:sz w:val="20"/>
                <w:szCs w:val="20"/>
                <w:color w:val="auto"/>
              </w:rPr>
            </w:pPr>
            <w:r>
              <w:rPr>
                <w:rFonts w:ascii="Times New Roman" w:cs="Times New Roman" w:eastAsia="Times New Roman" w:hAnsi="Times New Roman"/>
                <w:sz w:val="20"/>
                <w:szCs w:val="20"/>
                <w:color w:val="454546"/>
              </w:rPr>
              <w:t>Accrued income taxes</w:t>
            </w:r>
          </w:p>
        </w:tc>
        <w:tc>
          <w:tcPr>
            <w:tcW w:w="32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1,909</w:t>
            </w:r>
          </w:p>
        </w:tc>
        <w:tc>
          <w:tcPr>
            <w:tcW w:w="8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1,310</w:t>
            </w:r>
          </w:p>
        </w:tc>
        <w:tc>
          <w:tcPr>
            <w:tcW w:w="6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(3,539)</w:t>
            </w:r>
          </w:p>
        </w:tc>
      </w:tr>
      <w:tr>
        <w:trPr>
          <w:trHeight w:val="250"/>
        </w:trPr>
        <w:tc>
          <w:tcPr>
            <w:tcW w:w="6600" w:type="dxa"/>
            <w:vAlign w:val="bottom"/>
          </w:tcPr>
          <w:p>
            <w:pPr>
              <w:ind w:left="760"/>
              <w:spacing w:after="0"/>
              <w:rPr>
                <w:sz w:val="20"/>
                <w:szCs w:val="20"/>
                <w:color w:val="auto"/>
              </w:rPr>
            </w:pPr>
            <w:r>
              <w:rPr>
                <w:rFonts w:ascii="Times New Roman" w:cs="Times New Roman" w:eastAsia="Times New Roman" w:hAnsi="Times New Roman"/>
                <w:sz w:val="20"/>
                <w:szCs w:val="20"/>
                <w:color w:val="454546"/>
              </w:rPr>
              <w:t>Net cash provided by operating activities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23,626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14,822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25,190</w:t>
            </w:r>
          </w:p>
        </w:tc>
      </w:tr>
      <w:tr>
        <w:trPr>
          <w:trHeight w:val="272"/>
        </w:trPr>
        <w:tc>
          <w:tcPr>
            <w:tcW w:w="66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Cash flows from investing activities:</w:t>
            </w:r>
          </w:p>
        </w:tc>
        <w:tc>
          <w:tcPr>
            <w:tcW w:w="320" w:type="dxa"/>
            <w:vAlign w:val="bottom"/>
            <w:tcBorders>
              <w:bottom w:val="single" w:sz="8" w:color="E3E4E5"/>
            </w:tcBorders>
            <w:shd w:val="clear" w:color="auto" w:fill="E3E4E5"/>
          </w:tcPr>
          <w:p>
            <w:pPr>
              <w:spacing w:after="0"/>
              <w:rPr>
                <w:sz w:val="23"/>
                <w:szCs w:val="23"/>
                <w:color w:val="auto"/>
              </w:rPr>
            </w:pPr>
          </w:p>
        </w:tc>
        <w:tc>
          <w:tcPr>
            <w:tcW w:w="960" w:type="dxa"/>
            <w:vAlign w:val="bottom"/>
            <w:tcBorders>
              <w:bottom w:val="single" w:sz="8" w:color="E3E4E5"/>
            </w:tcBorders>
            <w:shd w:val="clear" w:color="auto" w:fill="E3E4E5"/>
          </w:tcPr>
          <w:p>
            <w:pPr>
              <w:spacing w:after="0"/>
              <w:rPr>
                <w:sz w:val="23"/>
                <w:szCs w:val="23"/>
                <w:color w:val="auto"/>
              </w:rPr>
            </w:pPr>
          </w:p>
        </w:tc>
        <w:tc>
          <w:tcPr>
            <w:tcW w:w="80" w:type="dxa"/>
            <w:vAlign w:val="bottom"/>
            <w:tcBorders>
              <w:bottom w:val="single" w:sz="8" w:color="E3E4E5"/>
            </w:tcBorders>
            <w:shd w:val="clear" w:color="auto" w:fill="E3E4E5"/>
          </w:tcPr>
          <w:p>
            <w:pPr>
              <w:spacing w:after="0"/>
              <w:rPr>
                <w:sz w:val="23"/>
                <w:szCs w:val="23"/>
                <w:color w:val="auto"/>
              </w:rPr>
            </w:pPr>
          </w:p>
        </w:tc>
        <w:tc>
          <w:tcPr>
            <w:tcW w:w="30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360" w:type="dxa"/>
            <w:vAlign w:val="bottom"/>
            <w:tcBorders>
              <w:bottom w:val="single" w:sz="8" w:color="E3E4E5"/>
            </w:tcBorders>
            <w:shd w:val="clear" w:color="auto" w:fill="E3E4E5"/>
          </w:tcPr>
          <w:p>
            <w:pPr>
              <w:spacing w:after="0"/>
              <w:rPr>
                <w:sz w:val="23"/>
                <w:szCs w:val="23"/>
                <w:color w:val="auto"/>
              </w:rPr>
            </w:pPr>
          </w:p>
        </w:tc>
        <w:tc>
          <w:tcPr>
            <w:tcW w:w="960" w:type="dxa"/>
            <w:vAlign w:val="bottom"/>
            <w:tcBorders>
              <w:bottom w:val="single" w:sz="8" w:color="E3E4E5"/>
            </w:tcBorders>
            <w:shd w:val="clear" w:color="auto" w:fill="E3E4E5"/>
          </w:tcPr>
          <w:p>
            <w:pPr>
              <w:spacing w:after="0"/>
              <w:rPr>
                <w:sz w:val="23"/>
                <w:szCs w:val="23"/>
                <w:color w:val="auto"/>
              </w:rPr>
            </w:pPr>
          </w:p>
        </w:tc>
      </w:tr>
      <w:tr>
        <w:trPr>
          <w:trHeight w:val="278"/>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Purchase of Blue Chip Swap securities (Note 16)</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r>
      <w:tr>
        <w:trPr>
          <w:trHeight w:val="292"/>
        </w:trPr>
        <w:tc>
          <w:tcPr>
            <w:tcW w:w="660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Sale of Blue Chip Swap securities (Note 16)</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2,314</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r>
      <w:tr>
        <w:trPr>
          <w:trHeight w:val="278"/>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Proceeds on sale of property, plant, and equipment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w:t>
            </w:r>
          </w:p>
        </w:tc>
      </w:tr>
      <w:tr>
        <w:trPr>
          <w:trHeight w:val="292"/>
        </w:trPr>
        <w:tc>
          <w:tcPr>
            <w:tcW w:w="660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Acquisitions of property, plant and equipment</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(3,875)</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(4,572)</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(8,116)</w:t>
            </w:r>
          </w:p>
        </w:tc>
      </w:tr>
      <w:tr>
        <w:trPr>
          <w:trHeight w:val="275"/>
        </w:trPr>
        <w:tc>
          <w:tcPr>
            <w:tcW w:w="660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454546"/>
              </w:rPr>
              <w:t>Acquisitions of intangible assets</w:t>
            </w:r>
          </w:p>
        </w:tc>
        <w:tc>
          <w:tcPr>
            <w:tcW w:w="320" w:type="dxa"/>
            <w:vAlign w:val="bottom"/>
            <w:tcBorders>
              <w:bottom w:val="single" w:sz="8" w:color="454546"/>
            </w:tcBorders>
          </w:tcPr>
          <w:p>
            <w:pPr>
              <w:spacing w:after="0"/>
              <w:rPr>
                <w:sz w:val="23"/>
                <w:szCs w:val="23"/>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(2,990)</w:t>
            </w:r>
          </w:p>
        </w:tc>
        <w:tc>
          <w:tcPr>
            <w:tcW w:w="80" w:type="dxa"/>
            <w:vAlign w:val="bottom"/>
            <w:tcBorders>
              <w:bottom w:val="single" w:sz="8" w:color="E3E4E5"/>
            </w:tcBorders>
          </w:tcPr>
          <w:p>
            <w:pPr>
              <w:spacing w:after="0"/>
              <w:rPr>
                <w:sz w:val="23"/>
                <w:szCs w:val="23"/>
                <w:color w:val="auto"/>
              </w:rPr>
            </w:pPr>
          </w:p>
        </w:tc>
        <w:tc>
          <w:tcPr>
            <w:tcW w:w="300" w:type="dxa"/>
            <w:vAlign w:val="bottom"/>
            <w:tcBorders>
              <w:bottom w:val="single" w:sz="8" w:color="454546"/>
            </w:tcBorders>
          </w:tcPr>
          <w:p>
            <w:pPr>
              <w:spacing w:after="0"/>
              <w:rPr>
                <w:sz w:val="23"/>
                <w:szCs w:val="23"/>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(3,856)</w:t>
            </w:r>
          </w:p>
        </w:tc>
        <w:tc>
          <w:tcPr>
            <w:tcW w:w="60" w:type="dxa"/>
            <w:vAlign w:val="bottom"/>
            <w:tcBorders>
              <w:bottom w:val="single" w:sz="8" w:color="E3E4E5"/>
            </w:tcBorders>
          </w:tcPr>
          <w:p>
            <w:pPr>
              <w:spacing w:after="0"/>
              <w:rPr>
                <w:sz w:val="23"/>
                <w:szCs w:val="23"/>
                <w:color w:val="auto"/>
              </w:rPr>
            </w:pPr>
          </w:p>
        </w:tc>
        <w:tc>
          <w:tcPr>
            <w:tcW w:w="360" w:type="dxa"/>
            <w:vAlign w:val="bottom"/>
            <w:tcBorders>
              <w:bottom w:val="single" w:sz="8" w:color="454546"/>
            </w:tcBorders>
          </w:tcPr>
          <w:p>
            <w:pPr>
              <w:spacing w:after="0"/>
              <w:rPr>
                <w:sz w:val="23"/>
                <w:szCs w:val="23"/>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(5,761)</w:t>
            </w:r>
          </w:p>
        </w:tc>
      </w:tr>
      <w:tr>
        <w:trPr>
          <w:trHeight w:val="275"/>
        </w:trPr>
        <w:tc>
          <w:tcPr>
            <w:tcW w:w="6600" w:type="dxa"/>
            <w:vAlign w:val="bottom"/>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Net cash used for investing activities</w:t>
            </w:r>
          </w:p>
        </w:tc>
        <w:tc>
          <w:tcPr>
            <w:tcW w:w="320" w:type="dxa"/>
            <w:vAlign w:val="bottom"/>
            <w:shd w:val="clear" w:color="auto" w:fill="E3E4E5"/>
          </w:tcPr>
          <w:p>
            <w:pPr>
              <w:spacing w:after="0"/>
              <w:rPr>
                <w:sz w:val="23"/>
                <w:szCs w:val="23"/>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(6,751)</w:t>
            </w:r>
          </w:p>
        </w:tc>
        <w:tc>
          <w:tcPr>
            <w:tcW w:w="8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(8,428)</w:t>
            </w:r>
          </w:p>
        </w:tc>
        <w:tc>
          <w:tcPr>
            <w:tcW w:w="60" w:type="dxa"/>
            <w:vAlign w:val="bottom"/>
            <w:shd w:val="clear" w:color="auto" w:fill="E3E4E5"/>
          </w:tcPr>
          <w:p>
            <w:pPr>
              <w:spacing w:after="0"/>
              <w:rPr>
                <w:sz w:val="23"/>
                <w:szCs w:val="23"/>
                <w:color w:val="auto"/>
              </w:rPr>
            </w:pPr>
          </w:p>
        </w:tc>
        <w:tc>
          <w:tcPr>
            <w:tcW w:w="360" w:type="dxa"/>
            <w:vAlign w:val="bottom"/>
            <w:shd w:val="clear" w:color="auto" w:fill="E3E4E5"/>
          </w:tcPr>
          <w:p>
            <w:pPr>
              <w:spacing w:after="0"/>
              <w:rPr>
                <w:sz w:val="23"/>
                <w:szCs w:val="23"/>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(13,877)</w:t>
            </w:r>
          </w:p>
        </w:tc>
      </w:tr>
      <w:tr>
        <w:trPr>
          <w:trHeight w:val="260"/>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Cash flows from financing activities: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5"/>
        </w:trPr>
        <w:tc>
          <w:tcPr>
            <w:tcW w:w="660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Borrowings under lines of credit</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103,650</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102,193</w:t>
            </w:r>
          </w:p>
        </w:tc>
        <w:tc>
          <w:tcPr>
            <w:tcW w:w="6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78,000</w:t>
            </w:r>
          </w:p>
        </w:tc>
      </w:tr>
      <w:tr>
        <w:trPr>
          <w:trHeight w:val="278"/>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Repayments on lines of credit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(117,222)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(120,000)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(111,000)</w:t>
            </w:r>
          </w:p>
        </w:tc>
      </w:tr>
      <w:tr>
        <w:trPr>
          <w:trHeight w:val="300"/>
        </w:trPr>
        <w:tc>
          <w:tcPr>
            <w:tcW w:w="660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Treasury stock purchased</w:t>
            </w:r>
          </w:p>
        </w:tc>
        <w:tc>
          <w:tcPr>
            <w:tcW w:w="32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(3,086)</w:t>
            </w:r>
          </w:p>
        </w:tc>
        <w:tc>
          <w:tcPr>
            <w:tcW w:w="8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(1,957)</w:t>
            </w:r>
          </w:p>
        </w:tc>
        <w:tc>
          <w:tcPr>
            <w:tcW w:w="6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(1,779)</w:t>
            </w:r>
          </w:p>
        </w:tc>
      </w:tr>
      <w:tr>
        <w:trPr>
          <w:trHeight w:val="250"/>
        </w:trPr>
        <w:tc>
          <w:tcPr>
            <w:tcW w:w="6600" w:type="dxa"/>
            <w:vAlign w:val="bottom"/>
          </w:tcPr>
          <w:p>
            <w:pPr>
              <w:ind w:left="760"/>
              <w:spacing w:after="0"/>
              <w:rPr>
                <w:sz w:val="20"/>
                <w:szCs w:val="20"/>
                <w:color w:val="auto"/>
              </w:rPr>
            </w:pPr>
            <w:r>
              <w:rPr>
                <w:rFonts w:ascii="Times New Roman" w:cs="Times New Roman" w:eastAsia="Times New Roman" w:hAnsi="Times New Roman"/>
                <w:sz w:val="20"/>
                <w:szCs w:val="20"/>
                <w:color w:val="454546"/>
              </w:rPr>
              <w:t>Net cash used for financing activities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(16,658)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(19,764)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(34,779)</w:t>
            </w:r>
          </w:p>
        </w:tc>
      </w:tr>
      <w:tr>
        <w:trPr>
          <w:trHeight w:val="300"/>
        </w:trPr>
        <w:tc>
          <w:tcPr>
            <w:tcW w:w="66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Effect of foreign currency exchange rate changes on cash and cash equivalents</w:t>
            </w:r>
          </w:p>
        </w:tc>
        <w:tc>
          <w:tcPr>
            <w:tcW w:w="32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5,306</w:t>
            </w:r>
          </w:p>
        </w:tc>
        <w:tc>
          <w:tcPr>
            <w:tcW w:w="8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(2,598)</w:t>
            </w:r>
          </w:p>
        </w:tc>
        <w:tc>
          <w:tcPr>
            <w:tcW w:w="6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(523)</w:t>
            </w:r>
          </w:p>
        </w:tc>
      </w:tr>
      <w:tr>
        <w:trPr>
          <w:trHeight w:val="250"/>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Net increase (decrease) in cash and cash equivalents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5,523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(15,968)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(23,989)</w:t>
            </w:r>
          </w:p>
        </w:tc>
      </w:tr>
      <w:tr>
        <w:trPr>
          <w:trHeight w:val="300"/>
        </w:trPr>
        <w:tc>
          <w:tcPr>
            <w:tcW w:w="66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Cash and cash equivalents at beginning of period</w:t>
            </w:r>
          </w:p>
        </w:tc>
        <w:tc>
          <w:tcPr>
            <w:tcW w:w="32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26,783</w:t>
            </w:r>
          </w:p>
        </w:tc>
        <w:tc>
          <w:tcPr>
            <w:tcW w:w="8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42,751</w:t>
            </w:r>
          </w:p>
        </w:tc>
        <w:tc>
          <w:tcPr>
            <w:tcW w:w="6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454546"/>
            </w:tcBorders>
            <w:shd w:val="clear" w:color="auto" w:fill="E3E4E5"/>
          </w:tcPr>
          <w:p>
            <w:pPr>
              <w:spacing w:after="0"/>
              <w:rPr>
                <w:sz w:val="24"/>
                <w:szCs w:val="24"/>
                <w:color w:val="auto"/>
              </w:rPr>
            </w:pPr>
          </w:p>
        </w:tc>
        <w:tc>
          <w:tcPr>
            <w:tcW w:w="960" w:type="dxa"/>
            <w:vAlign w:val="bottom"/>
            <w:tcBorders>
              <w:bottom w:val="single" w:sz="8" w:color="454546"/>
            </w:tcBorders>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66,740</w:t>
            </w:r>
          </w:p>
        </w:tc>
      </w:tr>
      <w:tr>
        <w:trPr>
          <w:trHeight w:val="227"/>
        </w:trPr>
        <w:tc>
          <w:tcPr>
            <w:tcW w:w="66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454546"/>
              </w:rPr>
              <w:t>Cash and cash equivalents at end of period</w:t>
            </w:r>
          </w:p>
        </w:tc>
        <w:tc>
          <w:tcPr>
            <w:tcW w:w="320" w:type="dxa"/>
            <w:vAlign w:val="bottom"/>
          </w:tcPr>
          <w:p>
            <w:pPr>
              <w:jc w:val="right"/>
              <w:ind w:right="60"/>
              <w:spacing w:after="0" w:line="227" w:lineRule="exact"/>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454546"/>
              </w:rPr>
              <w:t>32,306</w:t>
            </w:r>
          </w:p>
        </w:tc>
        <w:tc>
          <w:tcPr>
            <w:tcW w:w="380" w:type="dxa"/>
            <w:vAlign w:val="bottom"/>
            <w:gridSpan w:val="2"/>
          </w:tcPr>
          <w:p>
            <w:pPr>
              <w:jc w:val="right"/>
              <w:ind w:right="160"/>
              <w:spacing w:after="0" w:line="227" w:lineRule="exact"/>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454546"/>
              </w:rPr>
              <w:t>26,783</w:t>
            </w:r>
          </w:p>
        </w:tc>
        <w:tc>
          <w:tcPr>
            <w:tcW w:w="42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454546"/>
              </w:rPr>
              <w:t>42,751</w:t>
            </w:r>
          </w:p>
        </w:tc>
      </w:tr>
      <w:tr>
        <w:trPr>
          <w:trHeight w:val="20"/>
        </w:trPr>
        <w:tc>
          <w:tcPr>
            <w:tcW w:w="6600" w:type="dxa"/>
            <w:vAlign w:val="bottom"/>
            <w:tcBorders>
              <w:bottom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30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r>
      <w:tr>
        <w:trPr>
          <w:trHeight w:val="255"/>
        </w:trPr>
        <w:tc>
          <w:tcPr>
            <w:tcW w:w="6600" w:type="dxa"/>
            <w:vAlign w:val="bottom"/>
            <w:shd w:val="clear" w:color="auto" w:fill="E3E4E5"/>
          </w:tcPr>
          <w:p>
            <w:pPr>
              <w:spacing w:after="0"/>
              <w:rPr>
                <w:sz w:val="22"/>
                <w:szCs w:val="22"/>
                <w:color w:val="auto"/>
              </w:rPr>
            </w:pPr>
          </w:p>
        </w:tc>
        <w:tc>
          <w:tcPr>
            <w:tcW w:w="32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300" w:type="dxa"/>
            <w:vAlign w:val="bottom"/>
            <w:shd w:val="clear" w:color="auto" w:fill="E3E4E5"/>
          </w:tcPr>
          <w:p>
            <w:pPr>
              <w:spacing w:after="0"/>
              <w:rPr>
                <w:sz w:val="22"/>
                <w:szCs w:val="22"/>
                <w:color w:val="auto"/>
              </w:rPr>
            </w:pPr>
          </w:p>
        </w:tc>
        <w:tc>
          <w:tcPr>
            <w:tcW w:w="98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36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r>
      <w:tr>
        <w:trPr>
          <w:trHeight w:val="260"/>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Supplemental cash flow information:</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5"/>
        </w:trPr>
        <w:tc>
          <w:tcPr>
            <w:tcW w:w="6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Income taxes paid</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2,624</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3,481</w:t>
            </w:r>
          </w:p>
        </w:tc>
        <w:tc>
          <w:tcPr>
            <w:tcW w:w="420" w:type="dxa"/>
            <w:vAlign w:val="bottom"/>
            <w:gridSpan w:val="2"/>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13,176</w:t>
            </w:r>
          </w:p>
        </w:tc>
      </w:tr>
      <w:tr>
        <w:trPr>
          <w:trHeight w:val="272"/>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Interest paid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1,967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4,738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7,015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-7007860</wp:posOffset>
            </wp:positionV>
            <wp:extent cx="259397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3">
                      <a:extLst>
                        <a:ext uri="{28A0092B-C50C-407E-A947-70E740481C1C}"/>
                      </a:extLst>
                    </a:blip>
                    <a:srcRect/>
                    <a:stretch>
                      <a:fillRect/>
                    </a:stretch>
                  </pic:blipFill>
                  <pic:spPr bwMode="auto">
                    <a:xfrm>
                      <a:off x="0" y="0"/>
                      <a:ext cx="2593975"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-3816985</wp:posOffset>
            </wp:positionV>
            <wp:extent cx="173990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4">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-2550160</wp:posOffset>
            </wp:positionV>
            <wp:extent cx="173990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5">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-1645285</wp:posOffset>
            </wp:positionV>
            <wp:extent cx="173990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6">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-1283335</wp:posOffset>
            </wp:positionV>
            <wp:extent cx="173990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7">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-921385</wp:posOffset>
            </wp:positionV>
            <wp:extent cx="173990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8">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-753110</wp:posOffset>
            </wp:positionV>
            <wp:extent cx="2593975" cy="76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9">
                      <a:extLst>
                        <a:ext uri="{28A0092B-C50C-407E-A947-70E740481C1C}"/>
                      </a:extLst>
                    </a:blip>
                    <a:srcRect/>
                    <a:stretch>
                      <a:fillRect/>
                    </a:stretch>
                  </pic:blipFill>
                  <pic:spPr bwMode="auto">
                    <a:xfrm>
                      <a:off x="0" y="0"/>
                      <a:ext cx="2593975" cy="76200"/>
                    </a:xfrm>
                    <a:prstGeom prst="rect">
                      <a:avLst/>
                    </a:prstGeom>
                    <a:noFill/>
                  </pic:spPr>
                </pic:pic>
              </a:graphicData>
            </a:graphic>
          </wp:anchor>
        </w:drawing>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454546"/>
        </w:rPr>
        <w:t>The accompanying notes are an integral part of these consolidated financial statements.</w:t>
      </w:r>
    </w:p>
    <w:p>
      <w:pPr>
        <w:sectPr>
          <w:pgSz w:w="11880" w:h="15480" w:orient="portrait"/>
          <w:cols w:equalWidth="0" w:num="1">
            <w:col w:w="10620"/>
          </w:cols>
          <w:pgMar w:left="640" w:top="381"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49</w:t>
      </w:r>
    </w:p>
    <w:p>
      <w:pPr>
        <w:sectPr>
          <w:pgSz w:w="11880" w:h="15480" w:orient="portrait"/>
          <w:cols w:equalWidth="0" w:num="1">
            <w:col w:w="10620"/>
          </w:cols>
          <w:pgMar w:left="640" w:top="381" w:right="620" w:bottom="0" w:gutter="0" w:footer="0" w:header="0"/>
          <w:type w:val="continuous"/>
        </w:sectPr>
      </w:pPr>
    </w:p>
    <w:bookmarkStart w:id="53" w:name="page54"/>
    <w:bookmarkEnd w:id="53"/>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 — Description of Business</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Universal Electronics Inc. ("UEI"), based in Scottsdale, Arizona, is a global leader in universal wireless control solutions for the home. 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In addition, over the past 39 years, we have developed a broad portfolio of patented technologies and cloud-based connectivity and control software solutions that we license to our customers, including many leading Fortune 500 companies.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454546"/>
        </w:rPr>
        <w:t>Distribution methods for our control solutions vary depending on the sales channel. We distribute remote control devices, connected thermostats, integrated circuits ("ICs"), smart home automation and security sensors and AV accessories directly to video and security service providers and original equipment manufacturers ("OEMs"), both domestically and internationally. We distribute connected and smart thermostats and home security sensors to pro-security installers and hospitality system integrators in the United States and Europe through a network of national and regional distributors and dealers. Additionally, we sell our wireless control devices and AV accessories under the One For All</w:t>
      </w:r>
      <w:r>
        <w:rPr>
          <w:rFonts w:ascii="Times New Roman" w:cs="Times New Roman" w:eastAsia="Times New Roman" w:hAnsi="Times New Roman"/>
          <w:sz w:val="26"/>
          <w:szCs w:val="26"/>
          <w:color w:val="454546"/>
          <w:vertAlign w:val="superscript"/>
        </w:rPr>
        <w:t>®</w:t>
      </w:r>
      <w:r>
        <w:rPr>
          <w:rFonts w:ascii="Times New Roman" w:cs="Times New Roman" w:eastAsia="Times New Roman" w:hAnsi="Times New Roman"/>
          <w:sz w:val="20"/>
          <w:szCs w:val="20"/>
          <w:color w:val="454546"/>
        </w:rPr>
        <w:t>, Ecolink</w:t>
      </w:r>
      <w:r>
        <w:rPr>
          <w:rFonts w:ascii="Times New Roman" w:cs="Times New Roman" w:eastAsia="Times New Roman" w:hAnsi="Times New Roman"/>
          <w:sz w:val="26"/>
          <w:szCs w:val="26"/>
          <w:color w:val="454546"/>
          <w:vertAlign w:val="superscript"/>
        </w:rPr>
        <w:t>®</w:t>
      </w:r>
      <w:r>
        <w:rPr>
          <w:rFonts w:ascii="Times New Roman" w:cs="Times New Roman" w:eastAsia="Times New Roman" w:hAnsi="Times New Roman"/>
          <w:sz w:val="20"/>
          <w:szCs w:val="20"/>
          <w:color w:val="454546"/>
        </w:rPr>
        <w:t xml:space="preserve"> and private label brand names to retailers in key markets, such as in the United States, United Kingdom, Germany, France and Spain. We utilize third-party distributors for the retail channel in countries where we do not have subsidiaries.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As used herein, the terms "we", "us" and "our" refer to Universal Electronics Inc. and its subsidiaries unless the context indicates the contrary.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2 — Summary of Significant Accounting Policies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Principles of Consolidation</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The consolidated financial statements include our accounts and those of our wholly-owned subsidiaries. All intercompany accounts and transactions have been eliminated in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Reportable Segment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Interim Chief Executive Officer and Chief Operating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Estimates and Assumptions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Revenue Recognition</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shipping and supporting home entertainment products, climate control solutions, wireless sensor and smart home control products and AV accessories that are used in the home entertainment, climate</w:t>
      </w:r>
    </w:p>
    <w:p>
      <w:pPr>
        <w:sectPr>
          <w:pgSz w:w="11880" w:h="15480" w:orient="portrait"/>
          <w:cols w:equalWidth="0" w:num="1">
            <w:col w:w="10260"/>
          </w:cols>
          <w:pgMar w:left="820" w:top="213" w:right="800" w:bottom="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50</w:t>
      </w:r>
    </w:p>
    <w:p>
      <w:pPr>
        <w:sectPr>
          <w:pgSz w:w="11880" w:h="15480" w:orient="portrait"/>
          <w:cols w:equalWidth="0" w:num="1">
            <w:col w:w="10260"/>
          </w:cols>
          <w:pgMar w:left="820" w:top="213" w:right="800" w:bottom="0" w:gutter="0" w:footer="0" w:header="0"/>
          <w:type w:val="continuous"/>
        </w:sectPr>
      </w:pPr>
    </w:p>
    <w:bookmarkStart w:id="54" w:name="page55"/>
    <w:bookmarkEnd w:id="54"/>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control, consumer electronics, security, home automation and home appliance markets,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0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i w:val="1"/>
          <w:iCs w:val="1"/>
          <w:color w:val="454546"/>
        </w:rPr>
        <w:t xml:space="preserve">Revenue </w:t>
      </w:r>
      <w:r>
        <w:rPr>
          <w:rFonts w:ascii="Times New Roman" w:cs="Times New Roman" w:eastAsia="Times New Roman" w:hAnsi="Times New Roman"/>
          <w:sz w:val="20"/>
          <w:szCs w:val="20"/>
          <w:color w:val="454546"/>
        </w:rPr>
        <w:t>- Product revenue is generated through manufacturing, shipping and supporting our products, as described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above. Our performance obligations are satisfied over time or at a point in time, depending on the nature of the product. Our contracts have an anticipated duration of less than a year and consideration may be variable based on indeterminate volumes.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or due to contract restrictions. The method for measuring progress towards satisfying a performance obligation for a custom product is based on the costs incurred to date (input method). We believe that the costs associated with production are most closely aligned with the revenue associated with those products. Costs to obtain a contract are expensed when incurred because the amortization period would have been one year or less. These costs are recorded in selling, general, and administrative expense in the consolidated statements of operations.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recognize revenue at a point in time if the criteria for recognizing revenue over time are not met, the title of the goods has transferred (based upon the terms of the contract, which can be upon shipment or delivery) and we have a present right to payment.</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While unit prices are generally fixed, we have variable consideration for certain of our customers, typically in the form of discounts and rebates based on product volumes and indeterminate volumes themselves. We utilize the most likely amount to estimate the effect of uncertainty on the amount of variable consideration to which we would be entitled. The most likely amount method considers the single most likely amount from a range of possible consideration amounts which, for us, is typically based on historical experience and our expectations regarding future sales to our customers. Accruals for discounts and rebates are recorded as a reduction to sales in the same period as the related revenue. We have concluded that our estimates of variable consideration are not constrained according to the definition within the accounting standard. Changes in such accruals may be required if future rebates and incentives differ from our estimates. Such discounts were $12.8 million, $12.3 million and $10.5 million for the years ended December 31, 2025, 2024 and 2023, respectively.</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We allow product returns of certain products sold to business-to-consumer customers based upon contract terms. 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license our [symbolic] intellectual property which includes our patented technologies and database of control codes. Royalty revenue is recognized for these licensing arrangements on an over 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454546"/>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spacing w:after="0" w:line="192" w:lineRule="exact"/>
        <w:rPr>
          <w:sz w:val="20"/>
          <w:szCs w:val="20"/>
          <w:color w:val="auto"/>
        </w:rPr>
      </w:pPr>
    </w:p>
    <w:p>
      <w:pPr>
        <w:jc w:val="both"/>
        <w:ind w:right="20" w:firstLine="720"/>
        <w:spacing w:after="0" w:line="285" w:lineRule="auto"/>
        <w:rPr>
          <w:sz w:val="20"/>
          <w:szCs w:val="20"/>
          <w:color w:val="auto"/>
        </w:rPr>
      </w:pPr>
      <w:r>
        <w:rPr>
          <w:rFonts w:ascii="Times New Roman" w:cs="Times New Roman" w:eastAsia="Times New Roman" w:hAnsi="Times New Roman"/>
          <w:sz w:val="20"/>
          <w:szCs w:val="20"/>
          <w:i w:val="1"/>
          <w:iCs w:val="1"/>
          <w:color w:val="454546"/>
        </w:rPr>
        <w:t xml:space="preserve">Contract assets </w:t>
      </w:r>
      <w:r>
        <w:rPr>
          <w:rFonts w:ascii="Times New Roman" w:cs="Times New Roman" w:eastAsia="Times New Roman" w:hAnsi="Times New Roman"/>
          <w:sz w:val="20"/>
          <w:szCs w:val="20"/>
          <w:color w:val="454546"/>
        </w:rPr>
        <w:t>- Contract assets represent the value of revenue recognized over time for which we have not yet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invoiced the customer. Generally, we invoice the customer within 90 days of revenue recognition.</w:t>
      </w:r>
    </w:p>
    <w:p>
      <w:pPr>
        <w:spacing w:after="0" w:line="174" w:lineRule="exact"/>
        <w:rPr>
          <w:sz w:val="20"/>
          <w:szCs w:val="20"/>
          <w:color w:val="auto"/>
        </w:rPr>
      </w:pPr>
    </w:p>
    <w:p>
      <w:pPr>
        <w:jc w:val="both"/>
        <w:ind w:firstLine="720"/>
        <w:spacing w:after="0" w:line="285" w:lineRule="auto"/>
        <w:rPr>
          <w:sz w:val="20"/>
          <w:szCs w:val="20"/>
          <w:color w:val="auto"/>
        </w:rPr>
      </w:pPr>
      <w:r>
        <w:rPr>
          <w:rFonts w:ascii="Times New Roman" w:cs="Times New Roman" w:eastAsia="Times New Roman" w:hAnsi="Times New Roman"/>
          <w:sz w:val="20"/>
          <w:szCs w:val="20"/>
          <w:i w:val="1"/>
          <w:iCs w:val="1"/>
          <w:color w:val="454546"/>
        </w:rPr>
        <w:t xml:space="preserve">Contract liabilities </w:t>
      </w:r>
      <w:r>
        <w:rPr>
          <w:rFonts w:ascii="Times New Roman" w:cs="Times New Roman" w:eastAsia="Times New Roman" w:hAnsi="Times New Roman"/>
          <w:sz w:val="20"/>
          <w:szCs w:val="20"/>
          <w:color w:val="454546"/>
        </w:rPr>
        <w:t>- A contract liability is recorded when consideration is received from a customer prior to fully</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satisfying a performance obligation in a contract. Our contract liabilities primarily consist of cash received in advance of</w:t>
      </w:r>
    </w:p>
    <w:p>
      <w:pPr>
        <w:sectPr>
          <w:pgSz w:w="11880" w:h="15480" w:orient="portrait"/>
          <w:cols w:equalWidth="0" w:num="1">
            <w:col w:w="10260"/>
          </w:cols>
          <w:pgMar w:left="820" w:top="213" w:right="800" w:bottom="0" w:gutter="0" w:footer="0" w:header="0"/>
        </w:sect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51</w:t>
      </w:r>
    </w:p>
    <w:p>
      <w:pPr>
        <w:sectPr>
          <w:pgSz w:w="11880" w:h="15480" w:orient="portrait"/>
          <w:cols w:equalWidth="0" w:num="1">
            <w:col w:w="10260"/>
          </w:cols>
          <w:pgMar w:left="820" w:top="213" w:right="800" w:bottom="0" w:gutter="0" w:footer="0" w:header="0"/>
          <w:type w:val="continuous"/>
        </w:sectPr>
      </w:pPr>
    </w:p>
    <w:bookmarkStart w:id="55" w:name="page56"/>
    <w:bookmarkEnd w:id="55"/>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providing our cloud-based software services. These contract liabilities will be recognized as revenues when control of the related product or service is transferred to the customer.</w:t>
      </w:r>
    </w:p>
    <w:p>
      <w:pPr>
        <w:spacing w:after="0" w:line="17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i w:val="1"/>
          <w:iCs w:val="1"/>
          <w:color w:val="454546"/>
        </w:rPr>
        <w:t xml:space="preserve">Other sales-related matters - </w:t>
      </w:r>
      <w:r>
        <w:rPr>
          <w:rFonts w:ascii="Times New Roman" w:cs="Times New Roman" w:eastAsia="Times New Roman" w:hAnsi="Times New Roman"/>
          <w:sz w:val="20"/>
          <w:szCs w:val="20"/>
          <w:color w:val="454546"/>
        </w:rPr>
        <w:t>Trade receivables are recorded at the invoiced amount and do not bear interest. Payment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terms typically range from 30 to 120 days, are typically on open credit terms consistent with industry practice and do not have significant financing components.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We provide our customers an assurance-type warranty, generally for periods of 12 to 36 months. Assurance-type warranties are not considered a performance obligation. A provision is recorded for estimated product warranty claim costs and is included in cost of sales. Estimates are based on analysis of product warranty claims and other known factors. Actual product warranty claim costs are inherently uncertain and thus may differ from our estimates. If actual product warranty claims costs are greater or lower than the reserves that we have established, we will record an increase or reduction to cost of sales in the period in which we make such determination.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See Notes 4 and 13 for further information concerning revenue, contract assets, contract liabilities and other sales-related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Income Taxes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provide for income taxes utilizing the asset and liability approach of accounting for income taxes. Under this approach, deferred taxes represent the future tax consequences expected to occur when the reported amounts of assets and liabilities are recovered or paid. Deferred taxes are presented net as non-current by jurisdiction. The provision for income taxes generally represents income taxes paid or payable for the current year plus the change in deferred taxes during the year. Deferred taxes result from the differences between the financial and tax bases of our assets and liabilities and are adjusted for changes in tax rates and tax laws when changes are enacted. Valuation allowances are recorded to reduce deferred tax assets when a judgment is made that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The calculation of tax liabilities involves dealing with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In assessing the realizability of deferred tax assets, management considers whether it is more likely than not, on a jurisdiction-by-jurisdiction basis,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deferred tax assets by evaluating both positive and negative evidence that may exist. Any adjustment to the net deferred tax asset valuation allowance would be recorded in the income statement for the period that the adjustment is determined to be required. We continue to have a valuation allowance against U.S. federal and state deferred tax assets and certain foreign deferred tax assets in jurisdictions where we have cumulative losses or otherwise are not expected to utilize certain tax attributes. If projected future taxable income in the U.S., for example, were to increase from what we assumed in our estimates, in periods subsequent to recording valuation allowances, it may be more likely than not that a proportional amount of the valuation against deferred tax assets will be released, resulting in an impact to our tax provision (benefit).</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The Tax Cuts and Jobs Act (the "Tax Act") subjects a U.S. shareholder to tax on Global Intangible Low-Taxed Income ("GILTI") earned by certain foreign subsidiaries. We have elected to account for GILTI in the year the tax is incurred as a period expense.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See Note 10 for further information concerning income taxes.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52</w:t>
      </w:r>
    </w:p>
    <w:p>
      <w:pPr>
        <w:sectPr>
          <w:pgSz w:w="11880" w:h="15480" w:orient="portrait"/>
          <w:cols w:equalWidth="0" w:num="1">
            <w:col w:w="10260"/>
          </w:cols>
          <w:pgMar w:left="820" w:top="213" w:right="800" w:bottom="0" w:gutter="0" w:footer="0" w:header="0"/>
          <w:type w:val="continuous"/>
        </w:sectPr>
      </w:pPr>
    </w:p>
    <w:bookmarkStart w:id="56" w:name="page57"/>
    <w:bookmarkEnd w:id="56"/>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Research and Development</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Research and development ("R&amp;D") costs are expensed as incurred and consist primarily of salaries, employee benefits, supplies and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Advertising</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Advertising costs are expensed as incurred. Advertising expense totaled $0.6 million, $0.7 million and $0.6 million for the years ended December 31, 2025,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Shipping and Handling Fees and Costs</w:t>
      </w:r>
    </w:p>
    <w:p>
      <w:pPr>
        <w:spacing w:after="0" w:line="2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454546"/>
        </w:rPr>
        <w:t>We include shipping and handling fees billed to customers in net sales. Shipping and handling costs associated with in-bound freight or amounts reimbursable by customers are recorded in cost of sales. All other shipping and handling activities performed prior to or after the customer obtains control of a good are treated as part of fulfilling the promise of transferring the good to the customer and are including in selling, general and administrative ("SG&amp;A") expenses. These costs recorded in SG&amp;A expenses totaled $7.3 million, $8.6 million and $8.3 million for the years ended December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Stock-Based Compensation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We recognize the grant date fair value of stock-based compensation awards as expense in proportion to vesting during the derived service period, which ranges from one to three years. Forfeitures of stock-based awards are accounted for as they occur. Upon the vesting of restricted stock awards, the vesting of performance stock awards or exercise of stock options, newly issued shares of our common stock are issued. Our stock-based compensation awards are made at the discretion of the Compensation Committee and are not timed or coordinated with the release of material, non-public information.</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We determine the fair value of restricted stock awards with a service condition utilizing the average of the high and low trading prices of our common shares on the date they were granted.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The fair value of performance stock awards with a service and market condition is determined utilizing a Monte Carlo simulation model as of the grant date. The assumptions utilized in a Monte Carlo simulation model include the risk-free interest rate, expected volatility, term of the award and dividend yield. The risk-free interest rate over the expected term is equal to the prevailing U.S. Treasury note rate over the same period. Expected volatility is determined utilizing historical volatility. The dividend yield is assumed to be zero since we have not historically declared dividends and do not have any plans to declare dividends in the future.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The fair value of stock options awards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Foreign Currency Translation and Foreign Currency Transactions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53</w:t>
      </w:r>
    </w:p>
    <w:p>
      <w:pPr>
        <w:sectPr>
          <w:pgSz w:w="11880" w:h="15480" w:orient="portrait"/>
          <w:cols w:equalWidth="0" w:num="1">
            <w:col w:w="10260"/>
          </w:cols>
          <w:pgMar w:left="820" w:top="213" w:right="800" w:bottom="0" w:gutter="0" w:footer="0" w:header="0"/>
          <w:type w:val="continuous"/>
        </w:sectPr>
      </w:pPr>
    </w:p>
    <w:bookmarkStart w:id="57" w:name="page58"/>
    <w:bookmarkEnd w:id="57"/>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16 for further information concerning transaction gains and losses.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Earnings (Loss) Per Share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Basic earnings (loss) per share is computed by dividing net income (loss)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restricted stock, performance stock, stock options and common stock warrants, outstanding during the period. Dilutive potential common shares for all periods presented are computed utilizing the treasury stock method; however, dilutive potential common shares are excluded where their inclusion would be anti-dilutive. See Note 17 for further information concerning our earnings (loss)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Financial Instruments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Our financial instruments consist primarily of cash and cash equivalents, term deposit, accounts receivable, accounts payable, accrued liabilities, debt and derivatives. The carrying value of our financial instruments, excluding derivatives, approximates fair value as a result of their short maturities. Our derivatives are carried at fair value. See Notes 3, 4, 9, 11, 12 and 18 for further information concerning our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Cash and Cash Equivalents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Cash and cash equivalents include cash accounts and all investments purchased with initial maturities of three months or less and investments purchased with longer maturities which can be liquidated at any time prior to maturity without penalty or forfeiture of interest earned to date. Domestically, we generally maintain balances in excess of federally insured limits. We attempt to mitigate our exposure to liquidity, credit and other relevant risks by placing our cash, cash 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cash equivalents and term deposit.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Allowance for Credit Losses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maintain an allowance for credit losses for estimated losses on our trade receivables, resulting from the inability of our customers to make payments for products sold or services rendered. The allowance for credit losses is based on a variety of factors, including credit reviews, historical experience, length of time receivables are past due, current economic trends and changes in customer payment behavior.</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See Note 4 for further information concerning our allowance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Inventories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Inventories consist of remote controls, thermostats,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ectPr>
          <w:pgSz w:w="11880" w:h="15480" w:orient="portrait"/>
          <w:cols w:equalWidth="0" w:num="1">
            <w:col w:w="10260"/>
          </w:cols>
          <w:pgMar w:left="820" w:top="213" w:right="800" w:bottom="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54</w:t>
      </w:r>
    </w:p>
    <w:p>
      <w:pPr>
        <w:sectPr>
          <w:pgSz w:w="11880" w:h="15480" w:orient="portrait"/>
          <w:cols w:equalWidth="0" w:num="1">
            <w:col w:w="10260"/>
          </w:cols>
          <w:pgMar w:left="820" w:top="213" w:right="800" w:bottom="0" w:gutter="0" w:footer="0" w:header="0"/>
          <w:type w:val="continuous"/>
        </w:sectPr>
      </w:pPr>
    </w:p>
    <w:bookmarkStart w:id="58" w:name="page59"/>
    <w:bookmarkEnd w:id="58"/>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Property, Plant, and Equipment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We capitalize certain internal and external costs incurred to acquire or create internal use software, principally related to software coding, designing system interfaces and installation and testing of the software.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ectPr>
          <w:pgSz w:w="11880" w:h="15480" w:orient="portrait"/>
          <w:cols w:equalWidth="0" w:num="1">
            <w:col w:w="10260"/>
          </w:cols>
          <w:pgMar w:left="820" w:top="213" w:right="800" w:bottom="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Estimated useful lives are as follows: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Buildings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Tooling and equipment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Computer equipment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Software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Furniture and fixtures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Leasehold and building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both"/>
        <w:ind w:right="3120" w:firstLine="3"/>
        <w:spacing w:after="0" w:line="315" w:lineRule="auto"/>
        <w:tabs>
          <w:tab w:leader="none" w:pos="250" w:val="left"/>
        </w:tabs>
        <w:numPr>
          <w:ilvl w:val="0"/>
          <w:numId w:val="1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years 2-8 years 3-5 years 3-7 years 5-8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-4069715</wp:posOffset>
                </wp:positionH>
                <wp:positionV relativeFrom="paragraph">
                  <wp:posOffset>-963295</wp:posOffset>
                </wp:positionV>
                <wp:extent cx="6504940" cy="19050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E3E4E5"/>
                        </a:solidFill>
                      </wps:spPr>
                      <wps:bodyPr/>
                    </wps:wsp>
                  </a:graphicData>
                </a:graphic>
              </wp:anchor>
            </w:drawing>
          </mc:Choice>
          <mc:Fallback>
            <w:pict>
              <v:rect id="Shape 81" o:spid="_x0000_s1106" style="position:absolute;margin-left:-320.4499pt;margin-top:-75.8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-4069715</wp:posOffset>
                </wp:positionH>
                <wp:positionV relativeFrom="paragraph">
                  <wp:posOffset>-582295</wp:posOffset>
                </wp:positionV>
                <wp:extent cx="6504940" cy="19050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E3E4E5"/>
                        </a:solidFill>
                      </wps:spPr>
                      <wps:bodyPr/>
                    </wps:wsp>
                  </a:graphicData>
                </a:graphic>
              </wp:anchor>
            </w:drawing>
          </mc:Choice>
          <mc:Fallback>
            <w:pict>
              <v:rect id="Shape 82" o:spid="_x0000_s1107" style="position:absolute;margin-left:-320.4499pt;margin-top:-45.8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-4069715</wp:posOffset>
                </wp:positionH>
                <wp:positionV relativeFrom="paragraph">
                  <wp:posOffset>-201295</wp:posOffset>
                </wp:positionV>
                <wp:extent cx="6504940" cy="19050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E3E4E5"/>
                        </a:solidFill>
                      </wps:spPr>
                      <wps:bodyPr/>
                    </wps:wsp>
                  </a:graphicData>
                </a:graphic>
              </wp:anchor>
            </w:drawing>
          </mc:Choice>
          <mc:Fallback>
            <w:pict>
              <v:rect id="Shape 83" o:spid="_x0000_s1108" style="position:absolute;margin-left:-320.4499pt;margin-top:-15.8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35" w:lineRule="auto"/>
        <w:rPr>
          <w:sz w:val="20"/>
          <w:szCs w:val="20"/>
          <w:color w:val="auto"/>
        </w:rPr>
      </w:pPr>
      <w:r>
        <w:rPr>
          <w:rFonts w:ascii="Times New Roman" w:cs="Times New Roman" w:eastAsia="Times New Roman" w:hAnsi="Times New Roman"/>
          <w:sz w:val="20"/>
          <w:szCs w:val="20"/>
          <w:color w:val="454546"/>
        </w:rPr>
        <w:t>Lesser of lease term or useful life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(approximately 3-8 years)</w:t>
      </w:r>
    </w:p>
    <w:p>
      <w:pPr>
        <w:spacing w:after="0" w:line="200" w:lineRule="exact"/>
        <w:rPr>
          <w:sz w:val="20"/>
          <w:szCs w:val="20"/>
          <w:color w:val="auto"/>
        </w:rPr>
      </w:pPr>
    </w:p>
    <w:p>
      <w:pPr>
        <w:sectPr>
          <w:pgSz w:w="11880" w:h="15480" w:orient="portrait"/>
          <w:cols w:equalWidth="0" w:num="2">
            <w:col w:w="5680" w:space="720"/>
            <w:col w:w="3860"/>
          </w:cols>
          <w:pgMar w:left="820" w:top="213" w:right="800" w:bottom="0" w:gutter="0" w:footer="0" w:header="0"/>
          <w:type w:val="continuous"/>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See Note 6 for further information concerning our property, plant, and equipment.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Goodwill</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perform our annual impairment test, and any required interim tests, using the optional qualitative assessment, weighing the relative impact of factors that are specific to our single reporting unit including our market capitalization compared to the carrying value of our stockholders' equity,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optional qualitative assessment, we perform a quantitative impairment test, using cash flow projections, discounted by our weighted-average cost of capital. In addition to any quantitative impairment analysis, we also consider the implied control premium compared to our market capitalization.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See Note 7 for further information concerning goodwill and goodwill impairment.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Intangible Assets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Intangible assets consist of capitalized software development costs, customer relationships, developed and core technologies, patents and trademarks and trade names. Capitalized amounts related to patents represent external legal costs for the application, maintenance and extension of the useful life of patents. Intangible assets are amortized using the straight-line method over their estimated period of benefit.</w:t>
      </w:r>
    </w:p>
    <w:p>
      <w:pPr>
        <w:sectPr>
          <w:pgSz w:w="11880" w:h="15480" w:orient="portrait"/>
          <w:cols w:equalWidth="0" w:num="1">
            <w:col w:w="10260"/>
          </w:cols>
          <w:pgMar w:left="820" w:top="21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55</w:t>
      </w:r>
    </w:p>
    <w:p>
      <w:pPr>
        <w:sectPr>
          <w:pgSz w:w="11880" w:h="15480" w:orient="portrait"/>
          <w:cols w:equalWidth="0" w:num="1">
            <w:col w:w="10260"/>
          </w:cols>
          <w:pgMar w:left="820" w:top="213" w:right="800" w:bottom="0" w:gutter="0" w:footer="0" w:header="0"/>
          <w:type w:val="continuous"/>
        </w:sectPr>
      </w:pPr>
    </w:p>
    <w:bookmarkStart w:id="59" w:name="page60"/>
    <w:bookmarkEnd w:id="59"/>
    <w:p>
      <w:pPr>
        <w:jc w:val="center"/>
        <w:ind w:left="2480" w:right="250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ectPr>
          <w:pgSz w:w="11880" w:h="15480" w:orient="portrait"/>
          <w:cols w:equalWidth="0" w:num="1">
            <w:col w:w="10260"/>
          </w:cols>
          <w:pgMar w:left="820" w:top="213" w:right="80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Estimated useful lives are as follows: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Capitalized software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-139700</wp:posOffset>
                </wp:positionV>
                <wp:extent cx="6504940" cy="18986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E3E4E5"/>
                        </a:solidFill>
                      </wps:spPr>
                      <wps:bodyPr/>
                    </wps:wsp>
                  </a:graphicData>
                </a:graphic>
              </wp:anchor>
            </w:drawing>
          </mc:Choice>
          <mc:Fallback>
            <w:pict>
              <v:rect id="Shape 84" o:spid="_x0000_s1109" style="position:absolute;margin-left:-0.4499pt;margin-top:-11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Customer relationships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Developed and core technology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-139700</wp:posOffset>
                </wp:positionV>
                <wp:extent cx="6504940" cy="18986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E3E4E5"/>
                        </a:solidFill>
                      </wps:spPr>
                      <wps:bodyPr/>
                    </wps:wsp>
                  </a:graphicData>
                </a:graphic>
              </wp:anchor>
            </w:drawing>
          </mc:Choice>
          <mc:Fallback>
            <w:pict>
              <v:rect id="Shape 85" o:spid="_x0000_s1110" style="position:absolute;margin-left:-0.4499pt;margin-top:-11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Patents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Trademarks and trade names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-139700</wp:posOffset>
                </wp:positionV>
                <wp:extent cx="6504940" cy="18986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E3E4E5"/>
                        </a:solidFill>
                      </wps:spPr>
                      <wps:bodyPr/>
                    </wps:wsp>
                  </a:graphicData>
                </a:graphic>
              </wp:anchor>
            </w:drawing>
          </mc:Choice>
          <mc:Fallback>
            <w:pict>
              <v:rect id="Shape 86" o:spid="_x0000_s1111" style="position:absolute;margin-left:-0.4499pt;margin-top:-11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54546"/>
        </w:rPr>
        <w:t>See Note 7 for further information concerning intangible assets.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Long-Lived and Intangible Assets Impairment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2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6-10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6-14 years</w:t>
      </w:r>
    </w:p>
    <w:p>
      <w:pPr>
        <w:spacing w:after="0" w:line="70" w:lineRule="exact"/>
        <w:rPr>
          <w:sz w:val="20"/>
          <w:szCs w:val="20"/>
          <w:color w:val="auto"/>
        </w:rPr>
      </w:pPr>
    </w:p>
    <w:p>
      <w:pPr>
        <w:jc w:val="right"/>
        <w:ind w:right="3120" w:firstLine="3"/>
        <w:spacing w:after="0" w:line="344" w:lineRule="auto"/>
        <w:tabs>
          <w:tab w:leader="none" w:pos="25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years 6-8 years</w:t>
      </w:r>
    </w:p>
    <w:p>
      <w:pPr>
        <w:spacing w:after="0" w:line="1050" w:lineRule="exact"/>
        <w:rPr>
          <w:sz w:val="20"/>
          <w:szCs w:val="20"/>
          <w:color w:val="auto"/>
        </w:rPr>
      </w:pPr>
    </w:p>
    <w:p>
      <w:pPr>
        <w:sectPr>
          <w:pgSz w:w="11880" w:h="15480" w:orient="portrait"/>
          <w:cols w:equalWidth="0" w:num="2">
            <w:col w:w="5680" w:space="720"/>
            <w:col w:w="3860"/>
          </w:cols>
          <w:pgMar w:left="820" w:top="213" w:right="800" w:bottom="0" w:gutter="0" w:footer="0" w:header="0"/>
          <w:type w:val="continuous"/>
        </w:sectPr>
      </w:pPr>
    </w:p>
    <w:p>
      <w:pPr>
        <w:spacing w:after="0" w:line="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their physical condition or strategy for the overall business; (3) significant negative industry or economic trends; (4) a current expectation that a long-lived asset will be sold or otherwise disposed of significantly before the end of its previously estimated useful life; or (5) a significant decline in our stock price for a sustained period.</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See Note 6 for further information concerning long-lived assets. See Note 7 for further information concerning intangible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Leases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years to five years with one extension at the then current market rate. Lease expense for lease payments is recognized on a straight-line basis over the lease term.</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When we commit to a plan to abandon an operating lease at a future date, the amortization of the operating lease ROU asset and depreciation of the associated leasehold improvements are accelerated based on the revised useful life of the operating lease.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See Note 8 for further information concerning our leases.</w:t>
      </w:r>
    </w:p>
    <w:p>
      <w:pPr>
        <w:sectPr>
          <w:pgSz w:w="11880" w:h="15480" w:orient="portrait"/>
          <w:cols w:equalWidth="0" w:num="1">
            <w:col w:w="10260"/>
          </w:cols>
          <w:pgMar w:left="820" w:top="213" w:right="800" w:bottom="0" w:gutter="0" w:footer="0" w:header="0"/>
          <w:type w:val="continuous"/>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56</w:t>
      </w:r>
    </w:p>
    <w:p>
      <w:pPr>
        <w:sectPr>
          <w:pgSz w:w="11880" w:h="15480" w:orient="portrait"/>
          <w:cols w:equalWidth="0" w:num="1">
            <w:col w:w="10260"/>
          </w:cols>
          <w:pgMar w:left="820" w:top="213" w:right="800" w:bottom="0" w:gutter="0" w:footer="0" w:header="0"/>
          <w:type w:val="continuous"/>
        </w:sectPr>
      </w:pPr>
    </w:p>
    <w:bookmarkStart w:id="60" w:name="page61"/>
    <w:bookmarkEnd w:id="60"/>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Derivatives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Our foreign currency exposures are primarily concentrated in the Brazilian Real, British Pound, Chinese Yuan Renminbi, Euro, Hong Kong Dollar, Indian Rupee, Japanese Yen, Korean Won, Mexican Peso and Vietnamese Dong.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The derivatives we enter into have not qualified for hedge accounting. The gains and losses on both the derivatives and the foreign currency-denominated balances are recorded as foreign exchange transaction gains or losses and are classified in other income (expense), net. The gains and losses on the derivatives are reflected in cash provided by (used for) operating activities in our consolidated statements of cash flows. Derivatives are recorded on the balance sheet at fair value. The estimated fair value of derivative financial instruments represents the amount required to enter into similar offsetting contracts with similar remaining maturities based on quoted market prices. See Note 18 for further information concerning derivatives.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Fair-Value Measurements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measure fair value using the framework established by the Financial Accounting Standards Board ("FASB") in ASC Topic 820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25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0"/>
          <w:szCs w:val="20"/>
          <w:color w:val="454546"/>
        </w:rPr>
        <w:t>Level 1:</w:t>
        <w:tab/>
        <w:t>Quoted prices (unadjusted) for identical instruments in active markets.</w:t>
      </w:r>
    </w:p>
    <w:p>
      <w:pPr>
        <w:spacing w:after="0" w:line="130" w:lineRule="exact"/>
        <w:rPr>
          <w:sz w:val="20"/>
          <w:szCs w:val="20"/>
          <w:color w:val="auto"/>
        </w:rPr>
      </w:pPr>
    </w:p>
    <w:p>
      <w:pPr>
        <w:jc w:val="both"/>
        <w:ind w:left="960" w:right="60" w:hanging="914"/>
        <w:spacing w:after="0" w:line="224" w:lineRule="auto"/>
        <w:tabs>
          <w:tab w:leader="none" w:pos="940" w:val="left"/>
        </w:tabs>
        <w:rPr>
          <w:sz w:val="20"/>
          <w:szCs w:val="20"/>
          <w:color w:val="auto"/>
        </w:rPr>
      </w:pPr>
      <w:r>
        <w:rPr>
          <w:rFonts w:ascii="Times New Roman" w:cs="Times New Roman" w:eastAsia="Times New Roman" w:hAnsi="Times New Roman"/>
          <w:sz w:val="20"/>
          <w:szCs w:val="20"/>
          <w:color w:val="454546"/>
        </w:rPr>
        <w:t>Level 2:</w:t>
        <w:tab/>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41" w:lineRule="exact"/>
        <w:rPr>
          <w:sz w:val="20"/>
          <w:szCs w:val="20"/>
          <w:color w:val="auto"/>
        </w:rPr>
      </w:pPr>
    </w:p>
    <w:p>
      <w:pPr>
        <w:jc w:val="both"/>
        <w:ind w:left="960" w:right="60" w:hanging="914"/>
        <w:spacing w:after="0"/>
        <w:tabs>
          <w:tab w:leader="none" w:pos="940" w:val="left"/>
        </w:tabs>
        <w:rPr>
          <w:sz w:val="20"/>
          <w:szCs w:val="20"/>
          <w:color w:val="auto"/>
        </w:rPr>
      </w:pPr>
      <w:r>
        <w:rPr>
          <w:rFonts w:ascii="Times New Roman" w:cs="Times New Roman" w:eastAsia="Times New Roman" w:hAnsi="Times New Roman"/>
          <w:sz w:val="20"/>
          <w:szCs w:val="20"/>
          <w:color w:val="454546"/>
        </w:rPr>
        <w:t>Level 3:</w:t>
        <w:tab/>
        <w:t>Prices or valuations that require management inputs that are both significant to the fair value measurement and unobservable.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Business Combinations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208" w:lineRule="exact"/>
        <w:rPr>
          <w:sz w:val="20"/>
          <w:szCs w:val="20"/>
          <w:color w:val="auto"/>
        </w:rPr>
      </w:pPr>
    </w:p>
    <w:p>
      <w:pPr>
        <w:ind w:left="720" w:hanging="460"/>
        <w:spacing w:after="0" w:line="260" w:lineRule="auto"/>
        <w:tabs>
          <w:tab w:leader="none" w:pos="72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future cash flow from customer contracts, customer lists, distribution agreements, acquired developed technologies, trademarks, trade names and patents;</w:t>
      </w:r>
    </w:p>
    <w:p>
      <w:pPr>
        <w:spacing w:after="0" w:line="1" w:lineRule="exact"/>
        <w:rPr>
          <w:rFonts w:ascii="Times New Roman" w:cs="Times New Roman" w:eastAsia="Times New Roman" w:hAnsi="Times New Roman"/>
          <w:sz w:val="20"/>
          <w:szCs w:val="20"/>
          <w:color w:val="454546"/>
        </w:rPr>
      </w:pPr>
    </w:p>
    <w:p>
      <w:pPr>
        <w:ind w:left="720" w:hanging="460"/>
        <w:spacing w:after="0" w:line="250" w:lineRule="auto"/>
        <w:tabs>
          <w:tab w:leader="none" w:pos="72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expected costs to complete development of in-process technology into commercially viable products and cash flows from the products once they are completed;</w:t>
      </w:r>
    </w:p>
    <w:p>
      <w:pPr>
        <w:ind w:left="720" w:hanging="460"/>
        <w:spacing w:after="0" w:line="250" w:lineRule="auto"/>
        <w:tabs>
          <w:tab w:leader="none" w:pos="72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brand awareness and market position, as well as assumptions regarding the period of time the brand will continue to be used in our product portfolio; and</w:t>
      </w:r>
    </w:p>
    <w:p>
      <w:pPr>
        <w:ind w:left="720" w:hanging="460"/>
        <w:spacing w:after="0"/>
        <w:tabs>
          <w:tab w:leader="none" w:pos="72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discount rates utilized in discounted cash flow models.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Results of operations and cash flows of acquired businesses are included in our operating results from the date of acquisition.</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57</w:t>
      </w:r>
    </w:p>
    <w:p>
      <w:pPr>
        <w:sectPr>
          <w:pgSz w:w="11880" w:h="15480" w:orient="portrait"/>
          <w:cols w:equalWidth="0" w:num="1">
            <w:col w:w="10260"/>
          </w:cols>
          <w:pgMar w:left="820" w:top="213" w:right="800" w:bottom="0" w:gutter="0" w:footer="0" w:header="0"/>
          <w:type w:val="continuous"/>
        </w:sectPr>
      </w:pPr>
    </w:p>
    <w:bookmarkStart w:id="61" w:name="page62"/>
    <w:bookmarkEnd w:id="61"/>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 Contingent consideration is recorded in other accrued liabilities and long-term contingent consideration in our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Recently Adopted Accounting Pronouncements</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In December 2023, the FASB issued ASU 2023-09, "Income Taxes – Improvements to Tax Disclosures." The guidance expands income tax disclosures by requiring public business entities, on an annual basis, to disclose specific categories in the rate reconciliation and provide additional information for reconciling items that meet a quantitative threshold, equal to or greater than 5% of the amount computed by multiplying the income (loss) from continuing operations before income taxes by the applicable statutory income tax rate, and disaggregation of certain items that are significant. Additionally, this guidance requires that all entities disaggregate disclosures by jurisdiction on the amount of income taxes paid (net of refunds received), income or loss from continuing operations before income tax expense (or benefit) and income tax expense (or benefit) from continuing operations. The guidance applies to all entities subject to income taxes and is effective for annual periods beginning after December 15, 2024. The Company adopted this standard on a prospective basis for the year ended December 31, 2025. See Note 10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Accounting Pronouncements Not Yet Effective</w:t>
      </w:r>
    </w:p>
    <w:p>
      <w:pPr>
        <w:spacing w:after="0" w:line="3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In September 2025, the FASB issued Accounting Standards Update ("ASU") 2025-06, "Intangibles-Goodwill and Other-Internal Use Software (Subtopic 350-40): Targeted Improvements to the Accounting for Internal-Use Software". This guidance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This guidance is effective for annual periods beginning after December 15, 2027, and interim reporting periods within those annual reporting periods. The guidance is to be applied on a prospective basis, or on a modified transition approach or a retrospective transition approach, with early adoption permitted. We are currently evaluating the impact of adopting this guidance on our consolidated financial statements and disclosures.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In July 2025, the FASB issued ASU 2025-05, "Financial Instruments-Credit Losses (Topic 326): Measurement of Credit Losses for Accounts Receivable and Contract Assets". This guidance allows entities to elect a practical expedient that assumes that the current conditions as of the balance sheet date do not change for the remaining life of the asset. This guidance is effective for annual periods beginning after December 15, 2025, and interim reporting periods within those annual reporting periods. The guidance is to be applied on a prospective basis, with early adoption permitted. The adoption of this ASU is not expected to have a material impact on our consolidated financial statements and disclosures.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We have assessed all other ASUs issued but not yet adopted and concluded that those not disclosed are not relevant to the Company or are not expected to have a material impact.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3 — Cash and Cash Equivalents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Cash and cash equivalents were held in the following geographic regions: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58</w:t>
      </w:r>
    </w:p>
    <w:p>
      <w:pPr>
        <w:sectPr>
          <w:pgSz w:w="11880" w:h="15480" w:orient="portrait"/>
          <w:cols w:equalWidth="0" w:num="1">
            <w:col w:w="10260"/>
          </w:cols>
          <w:pgMar w:left="820" w:top="213" w:right="800" w:bottom="0" w:gutter="0" w:footer="0" w:header="0"/>
          <w:type w:val="continuous"/>
        </w:sectPr>
      </w:pPr>
    </w:p>
    <w:bookmarkStart w:id="62" w:name="page63"/>
    <w:bookmarkEnd w:id="62"/>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1720" w:type="dxa"/>
            <w:vAlign w:val="bottom"/>
            <w:tcBorders>
              <w:bottom w:val="single" w:sz="8" w:color="454546"/>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Borders>
              <w:bottom w:val="single" w:sz="8" w:color="454546"/>
            </w:tcBorders>
          </w:tcPr>
          <w:p>
            <w:pPr>
              <w:spacing w:after="0"/>
              <w:rPr>
                <w:sz w:val="18"/>
                <w:szCs w:val="18"/>
                <w:color w:val="auto"/>
              </w:rPr>
            </w:pPr>
          </w:p>
        </w:tc>
      </w:tr>
      <w:tr>
        <w:trPr>
          <w:trHeight w:val="280"/>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4"/>
                <w:szCs w:val="24"/>
                <w:color w:val="auto"/>
              </w:rPr>
            </w:pPr>
          </w:p>
        </w:tc>
        <w:tc>
          <w:tcPr>
            <w:tcW w:w="50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North America</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1,556</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1,986</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People's Republic of China ("PRC")</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8,980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10,117</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Asia (excluding the PRC)</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4,579</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2,343</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Europe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9,980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7,035</w:t>
            </w:r>
          </w:p>
        </w:tc>
      </w:tr>
      <w:tr>
        <w:trPr>
          <w:trHeight w:val="296"/>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South America</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7,211</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5,302</w:t>
            </w:r>
          </w:p>
        </w:tc>
      </w:tr>
      <w:tr>
        <w:trPr>
          <w:trHeight w:val="260"/>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 cash and cash equivalents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32,306</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26,783</w:t>
            </w: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-1186815</wp:posOffset>
            </wp:positionV>
            <wp:extent cx="200342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0">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1">
                      <a:extLst>
                        <a:ext uri="{28A0092B-C50C-407E-A947-70E740481C1C}"/>
                      </a:extLst>
                    </a:blip>
                    <a:srcRect/>
                    <a:stretch>
                      <a:fillRect/>
                    </a:stretch>
                  </pic:blipFill>
                  <pic:spPr bwMode="auto">
                    <a:xfrm>
                      <a:off x="0" y="0"/>
                      <a:ext cx="1025525" cy="508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4 — Revenue and Accounts Receivable, Net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Revenue Details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pattern of revenue recognition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380" w:type="dxa"/>
            <w:vAlign w:val="bottom"/>
            <w:tcBorders>
              <w:bottom w:val="single" w:sz="8" w:color="454546"/>
            </w:tcBorders>
          </w:tcPr>
          <w:p>
            <w:pPr>
              <w:spacing w:after="0"/>
              <w:rPr>
                <w:sz w:val="18"/>
                <w:szCs w:val="18"/>
                <w:color w:val="auto"/>
              </w:rPr>
            </w:pPr>
          </w:p>
        </w:tc>
        <w:tc>
          <w:tcPr>
            <w:tcW w:w="1040" w:type="dxa"/>
            <w:vAlign w:val="bottom"/>
            <w:tcBorders>
              <w:bottom w:val="single" w:sz="8" w:color="454546"/>
            </w:tcBorders>
          </w:tcPr>
          <w:p>
            <w:pPr>
              <w:spacing w:after="0"/>
              <w:rPr>
                <w:sz w:val="18"/>
                <w:szCs w:val="18"/>
                <w:color w:val="auto"/>
              </w:rPr>
            </w:pPr>
          </w:p>
        </w:tc>
        <w:tc>
          <w:tcPr>
            <w:tcW w:w="2100" w:type="dxa"/>
            <w:vAlign w:val="bottom"/>
            <w:tcBorders>
              <w:bottom w:val="single" w:sz="8" w:color="454546"/>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454546"/>
                <w:w w:val="99"/>
              </w:rPr>
              <w:t>Year Ended December 31,</w:t>
            </w:r>
          </w:p>
        </w:tc>
        <w:tc>
          <w:tcPr>
            <w:tcW w:w="1140" w:type="dxa"/>
            <w:vAlign w:val="bottom"/>
            <w:tcBorders>
              <w:bottom w:val="single" w:sz="8" w:color="454546"/>
            </w:tcBorders>
          </w:tcPr>
          <w:p>
            <w:pPr>
              <w:spacing w:after="0"/>
              <w:rPr>
                <w:sz w:val="18"/>
                <w:szCs w:val="18"/>
                <w:color w:val="auto"/>
              </w:rPr>
            </w:pPr>
          </w:p>
        </w:tc>
      </w:tr>
      <w:tr>
        <w:trPr>
          <w:trHeight w:val="280"/>
        </w:trPr>
        <w:tc>
          <w:tcPr>
            <w:tcW w:w="5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80" w:type="dxa"/>
            <w:vAlign w:val="bottom"/>
            <w:tcBorders>
              <w:bottom w:val="single" w:sz="8" w:color="454546"/>
            </w:tcBorders>
          </w:tcPr>
          <w:p>
            <w:pPr>
              <w:spacing w:after="0"/>
              <w:rPr>
                <w:sz w:val="24"/>
                <w:szCs w:val="24"/>
                <w:color w:val="auto"/>
              </w:rPr>
            </w:pPr>
          </w:p>
        </w:tc>
        <w:tc>
          <w:tcPr>
            <w:tcW w:w="104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454546"/>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5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Goods and services transferred at a point in time</w:t>
            </w:r>
          </w:p>
        </w:tc>
        <w:tc>
          <w:tcPr>
            <w:tcW w:w="38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294,337</w:t>
            </w:r>
          </w:p>
        </w:tc>
        <w:tc>
          <w:tcPr>
            <w:tcW w:w="520" w:type="dxa"/>
            <w:vAlign w:val="bottom"/>
            <w:gridSpan w:val="3"/>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321,410</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324,433</w:t>
            </w:r>
          </w:p>
        </w:tc>
      </w:tr>
      <w:tr>
        <w:trPr>
          <w:trHeight w:val="290"/>
        </w:trPr>
        <w:tc>
          <w:tcPr>
            <w:tcW w:w="5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Goods and services transferred over time</w:t>
            </w:r>
          </w:p>
        </w:tc>
        <w:tc>
          <w:tcPr>
            <w:tcW w:w="380" w:type="dxa"/>
            <w:vAlign w:val="bottom"/>
            <w:tcBorders>
              <w:bottom w:val="single" w:sz="8" w:color="454546"/>
            </w:tcBorders>
          </w:tcPr>
          <w:p>
            <w:pPr>
              <w:spacing w:after="0"/>
              <w:rPr>
                <w:sz w:val="24"/>
                <w:szCs w:val="24"/>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73,951</w:t>
            </w:r>
          </w:p>
        </w:tc>
        <w:tc>
          <w:tcPr>
            <w:tcW w:w="80" w:type="dxa"/>
            <w:vAlign w:val="bottom"/>
            <w:tcBorders>
              <w:bottom w:val="single" w:sz="8" w:color="454546"/>
            </w:tcBorders>
          </w:tcPr>
          <w:p>
            <w:pPr>
              <w:spacing w:after="0"/>
              <w:rPr>
                <w:sz w:val="24"/>
                <w:szCs w:val="24"/>
                <w:color w:val="auto"/>
              </w:rPr>
            </w:pPr>
          </w:p>
        </w:tc>
        <w:tc>
          <w:tcPr>
            <w:tcW w:w="80" w:type="dxa"/>
            <w:vAlign w:val="bottom"/>
            <w:tcBorders>
              <w:bottom w:val="single" w:sz="8" w:color="454546"/>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73,469</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96,024</w:t>
            </w:r>
          </w:p>
        </w:tc>
      </w:tr>
      <w:tr>
        <w:trPr>
          <w:trHeight w:val="280"/>
        </w:trPr>
        <w:tc>
          <w:tcPr>
            <w:tcW w:w="560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Net sales</w:t>
            </w:r>
          </w:p>
        </w:tc>
        <w:tc>
          <w:tcPr>
            <w:tcW w:w="38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368,288</w:t>
            </w:r>
          </w:p>
        </w:tc>
        <w:tc>
          <w:tcPr>
            <w:tcW w:w="520" w:type="dxa"/>
            <w:vAlign w:val="bottom"/>
            <w:gridSpan w:val="3"/>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394,879</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420,457</w:t>
            </w:r>
          </w:p>
        </w:tc>
      </w:tr>
      <w:tr>
        <w:trPr>
          <w:trHeight w:val="20"/>
        </w:trPr>
        <w:tc>
          <w:tcPr>
            <w:tcW w:w="5600" w:type="dxa"/>
            <w:vAlign w:val="bottom"/>
            <w:tcBorders>
              <w:top w:val="single" w:sz="8" w:color="E3E4E5"/>
            </w:tcBorders>
          </w:tcPr>
          <w:p>
            <w:pPr>
              <w:spacing w:after="0" w:line="20" w:lineRule="exact"/>
              <w:rPr>
                <w:sz w:val="1"/>
                <w:szCs w:val="1"/>
                <w:color w:val="auto"/>
              </w:rPr>
            </w:pPr>
          </w:p>
        </w:tc>
        <w:tc>
          <w:tcPr>
            <w:tcW w:w="380" w:type="dxa"/>
            <w:vAlign w:val="bottom"/>
            <w:tcBorders>
              <w:top w:val="single" w:sz="8" w:color="454546"/>
              <w:bottom w:val="single" w:sz="8" w:color="454546"/>
            </w:tcBorders>
          </w:tcPr>
          <w:p>
            <w:pPr>
              <w:spacing w:after="0" w:line="20" w:lineRule="exact"/>
              <w:rPr>
                <w:sz w:val="1"/>
                <w:szCs w:val="1"/>
                <w:color w:val="auto"/>
              </w:rPr>
            </w:pPr>
          </w:p>
        </w:tc>
        <w:tc>
          <w:tcPr>
            <w:tcW w:w="10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-615315</wp:posOffset>
            </wp:positionV>
            <wp:extent cx="300355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2">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-234315</wp:posOffset>
            </wp:positionV>
            <wp:extent cx="2025650"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3">
                      <a:extLst>
                        <a:ext uri="{28A0092B-C50C-407E-A947-70E740481C1C}"/>
                      </a:extLst>
                    </a:blip>
                    <a:srcRect/>
                    <a:stretch>
                      <a:fillRect/>
                    </a:stretch>
                  </pic:blipFill>
                  <pic:spPr bwMode="auto">
                    <a:xfrm>
                      <a:off x="0" y="0"/>
                      <a:ext cx="20256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-56515</wp:posOffset>
            </wp:positionV>
            <wp:extent cx="3003550" cy="762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4">
                      <a:extLst>
                        <a:ext uri="{28A0092B-C50C-407E-A947-70E740481C1C}"/>
                      </a:extLst>
                    </a:blip>
                    <a:srcRect/>
                    <a:stretch>
                      <a:fillRect/>
                    </a:stretch>
                  </pic:blipFill>
                  <pic:spPr bwMode="auto">
                    <a:xfrm>
                      <a:off x="0" y="0"/>
                      <a:ext cx="3003550" cy="762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net sales to external customers by channel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380" w:type="dxa"/>
            <w:vAlign w:val="bottom"/>
            <w:tcBorders>
              <w:bottom w:val="single" w:sz="8" w:color="454546"/>
            </w:tcBorders>
          </w:tcPr>
          <w:p>
            <w:pPr>
              <w:spacing w:after="0"/>
              <w:rPr>
                <w:sz w:val="18"/>
                <w:szCs w:val="18"/>
                <w:color w:val="auto"/>
              </w:rPr>
            </w:pPr>
          </w:p>
        </w:tc>
        <w:tc>
          <w:tcPr>
            <w:tcW w:w="1040" w:type="dxa"/>
            <w:vAlign w:val="bottom"/>
            <w:tcBorders>
              <w:bottom w:val="single" w:sz="8" w:color="454546"/>
            </w:tcBorders>
          </w:tcPr>
          <w:p>
            <w:pPr>
              <w:spacing w:after="0"/>
              <w:rPr>
                <w:sz w:val="18"/>
                <w:szCs w:val="18"/>
                <w:color w:val="auto"/>
              </w:rPr>
            </w:pPr>
          </w:p>
        </w:tc>
        <w:tc>
          <w:tcPr>
            <w:tcW w:w="2100" w:type="dxa"/>
            <w:vAlign w:val="bottom"/>
            <w:tcBorders>
              <w:bottom w:val="single" w:sz="8" w:color="454546"/>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454546"/>
                <w:w w:val="99"/>
              </w:rPr>
              <w:t>Year Ended December 31,</w:t>
            </w:r>
          </w:p>
        </w:tc>
        <w:tc>
          <w:tcPr>
            <w:tcW w:w="1140" w:type="dxa"/>
            <w:vAlign w:val="bottom"/>
            <w:tcBorders>
              <w:bottom w:val="single" w:sz="8" w:color="454546"/>
            </w:tcBorders>
          </w:tcPr>
          <w:p>
            <w:pPr>
              <w:spacing w:after="0"/>
              <w:rPr>
                <w:sz w:val="18"/>
                <w:szCs w:val="18"/>
                <w:color w:val="auto"/>
              </w:rPr>
            </w:pPr>
          </w:p>
        </w:tc>
      </w:tr>
      <w:tr>
        <w:trPr>
          <w:trHeight w:val="280"/>
        </w:trPr>
        <w:tc>
          <w:tcPr>
            <w:tcW w:w="5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80" w:type="dxa"/>
            <w:vAlign w:val="bottom"/>
            <w:tcBorders>
              <w:bottom w:val="single" w:sz="8" w:color="454546"/>
            </w:tcBorders>
          </w:tcPr>
          <w:p>
            <w:pPr>
              <w:spacing w:after="0"/>
              <w:rPr>
                <w:sz w:val="24"/>
                <w:szCs w:val="24"/>
                <w:color w:val="auto"/>
              </w:rPr>
            </w:pPr>
          </w:p>
        </w:tc>
        <w:tc>
          <w:tcPr>
            <w:tcW w:w="104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454546"/>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5600" w:type="dxa"/>
            <w:vAlign w:val="bottom"/>
            <w:shd w:val="clear" w:color="auto" w:fill="E3E4E5"/>
          </w:tcPr>
          <w:p>
            <w:pPr>
              <w:ind w:left="40"/>
              <w:spacing w:after="0" w:line="290" w:lineRule="exact"/>
              <w:rPr>
                <w:sz w:val="20"/>
                <w:szCs w:val="20"/>
                <w:color w:val="auto"/>
              </w:rPr>
            </w:pPr>
            <w:r>
              <w:rPr>
                <w:rFonts w:ascii="Times New Roman" w:cs="Times New Roman" w:eastAsia="Times New Roman" w:hAnsi="Times New Roman"/>
                <w:sz w:val="20"/>
                <w:szCs w:val="20"/>
                <w:color w:val="454546"/>
              </w:rPr>
              <w:t xml:space="preserve">Connected home </w:t>
            </w:r>
            <w:r>
              <w:rPr>
                <w:rFonts w:ascii="Times New Roman" w:cs="Times New Roman" w:eastAsia="Times New Roman" w:hAnsi="Times New Roman"/>
                <w:sz w:val="26"/>
                <w:szCs w:val="26"/>
                <w:color w:val="454546"/>
                <w:vertAlign w:val="superscript"/>
              </w:rPr>
              <w:t>(1)</w:t>
            </w:r>
          </w:p>
        </w:tc>
        <w:tc>
          <w:tcPr>
            <w:tcW w:w="38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125,384</w:t>
            </w:r>
          </w:p>
        </w:tc>
        <w:tc>
          <w:tcPr>
            <w:tcW w:w="520" w:type="dxa"/>
            <w:vAlign w:val="bottom"/>
            <w:gridSpan w:val="3"/>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108,258</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125,546</w:t>
            </w:r>
          </w:p>
        </w:tc>
      </w:tr>
      <w:tr>
        <w:trPr>
          <w:trHeight w:val="290"/>
        </w:trPr>
        <w:tc>
          <w:tcPr>
            <w:tcW w:w="5600" w:type="dxa"/>
            <w:vAlign w:val="bottom"/>
            <w:tcBorders>
              <w:bottom w:val="single" w:sz="8" w:color="E3E4E5"/>
            </w:tcBorders>
          </w:tcPr>
          <w:p>
            <w:pPr>
              <w:ind w:left="40"/>
              <w:spacing w:after="0" w:line="290" w:lineRule="exact"/>
              <w:rPr>
                <w:sz w:val="20"/>
                <w:szCs w:val="20"/>
                <w:color w:val="auto"/>
              </w:rPr>
            </w:pPr>
            <w:r>
              <w:rPr>
                <w:rFonts w:ascii="Times New Roman" w:cs="Times New Roman" w:eastAsia="Times New Roman" w:hAnsi="Times New Roman"/>
                <w:sz w:val="20"/>
                <w:szCs w:val="20"/>
                <w:color w:val="454546"/>
              </w:rPr>
              <w:t xml:space="preserve">Home entertainment </w:t>
            </w:r>
            <w:r>
              <w:rPr>
                <w:rFonts w:ascii="Times New Roman" w:cs="Times New Roman" w:eastAsia="Times New Roman" w:hAnsi="Times New Roman"/>
                <w:sz w:val="26"/>
                <w:szCs w:val="26"/>
                <w:color w:val="454546"/>
                <w:vertAlign w:val="superscript"/>
              </w:rPr>
              <w:t>(2)</w:t>
            </w:r>
          </w:p>
        </w:tc>
        <w:tc>
          <w:tcPr>
            <w:tcW w:w="380" w:type="dxa"/>
            <w:vAlign w:val="bottom"/>
            <w:tcBorders>
              <w:bottom w:val="single" w:sz="8" w:color="454546"/>
            </w:tcBorders>
          </w:tcPr>
          <w:p>
            <w:pPr>
              <w:spacing w:after="0"/>
              <w:rPr>
                <w:sz w:val="24"/>
                <w:szCs w:val="24"/>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242,904</w:t>
            </w:r>
          </w:p>
        </w:tc>
        <w:tc>
          <w:tcPr>
            <w:tcW w:w="80" w:type="dxa"/>
            <w:vAlign w:val="bottom"/>
            <w:tcBorders>
              <w:bottom w:val="single" w:sz="8" w:color="454546"/>
            </w:tcBorders>
          </w:tcPr>
          <w:p>
            <w:pPr>
              <w:spacing w:after="0"/>
              <w:rPr>
                <w:sz w:val="24"/>
                <w:szCs w:val="24"/>
                <w:color w:val="auto"/>
              </w:rPr>
            </w:pPr>
          </w:p>
        </w:tc>
        <w:tc>
          <w:tcPr>
            <w:tcW w:w="80" w:type="dxa"/>
            <w:vAlign w:val="bottom"/>
            <w:tcBorders>
              <w:bottom w:val="single" w:sz="8" w:color="454546"/>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286,621</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294,911</w:t>
            </w:r>
          </w:p>
        </w:tc>
      </w:tr>
      <w:tr>
        <w:trPr>
          <w:trHeight w:val="280"/>
        </w:trPr>
        <w:tc>
          <w:tcPr>
            <w:tcW w:w="560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Net sales</w:t>
            </w:r>
          </w:p>
        </w:tc>
        <w:tc>
          <w:tcPr>
            <w:tcW w:w="38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368,288</w:t>
            </w:r>
          </w:p>
        </w:tc>
        <w:tc>
          <w:tcPr>
            <w:tcW w:w="520" w:type="dxa"/>
            <w:vAlign w:val="bottom"/>
            <w:gridSpan w:val="3"/>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394,879</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420,457</w:t>
            </w:r>
          </w:p>
        </w:tc>
      </w:tr>
      <w:tr>
        <w:trPr>
          <w:trHeight w:val="20"/>
        </w:trPr>
        <w:tc>
          <w:tcPr>
            <w:tcW w:w="5600" w:type="dxa"/>
            <w:vAlign w:val="bottom"/>
            <w:tcBorders>
              <w:top w:val="single" w:sz="8" w:color="E3E4E5"/>
            </w:tcBorders>
          </w:tcPr>
          <w:p>
            <w:pPr>
              <w:spacing w:after="0" w:line="20" w:lineRule="exact"/>
              <w:rPr>
                <w:sz w:val="1"/>
                <w:szCs w:val="1"/>
                <w:color w:val="auto"/>
              </w:rPr>
            </w:pPr>
          </w:p>
        </w:tc>
        <w:tc>
          <w:tcPr>
            <w:tcW w:w="380" w:type="dxa"/>
            <w:vAlign w:val="bottom"/>
            <w:tcBorders>
              <w:top w:val="single" w:sz="8" w:color="454546"/>
              <w:bottom w:val="single" w:sz="8" w:color="454546"/>
            </w:tcBorders>
          </w:tcPr>
          <w:p>
            <w:pPr>
              <w:spacing w:after="0" w:line="20" w:lineRule="exact"/>
              <w:rPr>
                <w:sz w:val="1"/>
                <w:szCs w:val="1"/>
                <w:color w:val="auto"/>
              </w:rPr>
            </w:pPr>
          </w:p>
        </w:tc>
        <w:tc>
          <w:tcPr>
            <w:tcW w:w="10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-615315</wp:posOffset>
            </wp:positionV>
            <wp:extent cx="3003550"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5">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-234315</wp:posOffset>
            </wp:positionV>
            <wp:extent cx="2025650"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6">
                      <a:extLst>
                        <a:ext uri="{28A0092B-C50C-407E-A947-70E740481C1C}"/>
                      </a:extLst>
                    </a:blip>
                    <a:srcRect/>
                    <a:stretch>
                      <a:fillRect/>
                    </a:stretch>
                  </pic:blipFill>
                  <pic:spPr bwMode="auto">
                    <a:xfrm>
                      <a:off x="0" y="0"/>
                      <a:ext cx="20256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-56515</wp:posOffset>
            </wp:positionV>
            <wp:extent cx="3003550" cy="76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7">
                      <a:extLst>
                        <a:ext uri="{28A0092B-C50C-407E-A947-70E740481C1C}"/>
                      </a:extLst>
                    </a:blip>
                    <a:srcRect/>
                    <a:stretch>
                      <a:fillRect/>
                    </a:stretch>
                  </pic:blipFill>
                  <pic:spPr bwMode="auto">
                    <a:xfrm>
                      <a:off x="0" y="0"/>
                      <a:ext cx="3003550" cy="76200"/>
                    </a:xfrm>
                    <a:prstGeom prst="rect">
                      <a:avLst/>
                    </a:prstGeom>
                    <a:noFill/>
                  </pic:spPr>
                </pic:pic>
              </a:graphicData>
            </a:graphic>
          </wp:anchor>
        </w:drawing>
      </w:r>
    </w:p>
    <w:p>
      <w:pPr>
        <w:spacing w:after="0" w:line="88" w:lineRule="exact"/>
        <w:rPr>
          <w:sz w:val="20"/>
          <w:szCs w:val="20"/>
          <w:color w:val="auto"/>
        </w:rPr>
      </w:pPr>
    </w:p>
    <w:p>
      <w:pPr>
        <w:ind w:left="720" w:hanging="370"/>
        <w:spacing w:after="0" w:line="226" w:lineRule="auto"/>
        <w:tabs>
          <w:tab w:leader="none" w:pos="720" w:val="left"/>
        </w:tabs>
        <w:numPr>
          <w:ilvl w:val="0"/>
          <w:numId w:val="19"/>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The connected home channel represents climate control, smart home and security product sales sold primarily to HVAC, security, home automation and home appliance customers.</w:t>
      </w:r>
    </w:p>
    <w:p>
      <w:pPr>
        <w:spacing w:after="0" w:line="81" w:lineRule="exact"/>
        <w:rPr>
          <w:rFonts w:ascii="Times New Roman" w:cs="Times New Roman" w:eastAsia="Times New Roman" w:hAnsi="Times New Roman"/>
          <w:sz w:val="26"/>
          <w:szCs w:val="26"/>
          <w:color w:val="454546"/>
          <w:vertAlign w:val="superscript"/>
        </w:rPr>
      </w:pPr>
    </w:p>
    <w:p>
      <w:pPr>
        <w:jc w:val="both"/>
        <w:ind w:left="720" w:hanging="370"/>
        <w:spacing w:after="0" w:line="234" w:lineRule="auto"/>
        <w:tabs>
          <w:tab w:leader="none" w:pos="720" w:val="left"/>
        </w:tabs>
        <w:numPr>
          <w:ilvl w:val="0"/>
          <w:numId w:val="19"/>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net sales to external customers by geographic area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380" w:type="dxa"/>
            <w:vAlign w:val="bottom"/>
            <w:tcBorders>
              <w:bottom w:val="single" w:sz="8" w:color="454546"/>
            </w:tcBorders>
          </w:tcPr>
          <w:p>
            <w:pPr>
              <w:spacing w:after="0"/>
              <w:rPr>
                <w:sz w:val="18"/>
                <w:szCs w:val="18"/>
                <w:color w:val="auto"/>
              </w:rPr>
            </w:pPr>
          </w:p>
        </w:tc>
        <w:tc>
          <w:tcPr>
            <w:tcW w:w="1040" w:type="dxa"/>
            <w:vAlign w:val="bottom"/>
            <w:tcBorders>
              <w:bottom w:val="single" w:sz="8" w:color="454546"/>
            </w:tcBorders>
          </w:tcPr>
          <w:p>
            <w:pPr>
              <w:spacing w:after="0"/>
              <w:rPr>
                <w:sz w:val="18"/>
                <w:szCs w:val="18"/>
                <w:color w:val="auto"/>
              </w:rPr>
            </w:pPr>
          </w:p>
        </w:tc>
        <w:tc>
          <w:tcPr>
            <w:tcW w:w="2100" w:type="dxa"/>
            <w:vAlign w:val="bottom"/>
            <w:tcBorders>
              <w:bottom w:val="single" w:sz="8" w:color="454546"/>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454546"/>
                <w:w w:val="99"/>
              </w:rPr>
              <w:t>Year Ended December 31,</w:t>
            </w:r>
          </w:p>
        </w:tc>
        <w:tc>
          <w:tcPr>
            <w:tcW w:w="1140" w:type="dxa"/>
            <w:vAlign w:val="bottom"/>
            <w:tcBorders>
              <w:bottom w:val="single" w:sz="8" w:color="454546"/>
            </w:tcBorders>
          </w:tcPr>
          <w:p>
            <w:pPr>
              <w:spacing w:after="0"/>
              <w:rPr>
                <w:sz w:val="18"/>
                <w:szCs w:val="18"/>
                <w:color w:val="auto"/>
              </w:rPr>
            </w:pPr>
          </w:p>
        </w:tc>
      </w:tr>
      <w:tr>
        <w:trPr>
          <w:trHeight w:val="235"/>
        </w:trPr>
        <w:tc>
          <w:tcPr>
            <w:tcW w:w="5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80" w:type="dxa"/>
            <w:vAlign w:val="bottom"/>
            <w:tcBorders>
              <w:bottom w:val="single" w:sz="8" w:color="454546"/>
            </w:tcBorders>
          </w:tcPr>
          <w:p>
            <w:pPr>
              <w:spacing w:after="0"/>
              <w:rPr>
                <w:sz w:val="20"/>
                <w:szCs w:val="20"/>
                <w:color w:val="auto"/>
              </w:rPr>
            </w:pPr>
          </w:p>
        </w:tc>
        <w:tc>
          <w:tcPr>
            <w:tcW w:w="1040" w:type="dxa"/>
            <w:vAlign w:val="bottom"/>
            <w:tcBorders>
              <w:bottom w:val="single" w:sz="8" w:color="454546"/>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454546"/>
            </w:tcBorders>
          </w:tcPr>
          <w:p>
            <w:pPr>
              <w:spacing w:after="0"/>
              <w:rPr>
                <w:sz w:val="20"/>
                <w:szCs w:val="20"/>
                <w:color w:val="auto"/>
              </w:rPr>
            </w:pPr>
          </w:p>
        </w:tc>
        <w:tc>
          <w:tcPr>
            <w:tcW w:w="80" w:type="dxa"/>
            <w:vAlign w:val="bottom"/>
            <w:tcBorders>
              <w:bottom w:val="single" w:sz="8" w:color="E3E4E5"/>
            </w:tcBorders>
          </w:tcPr>
          <w:p>
            <w:pPr>
              <w:spacing w:after="0"/>
              <w:rPr>
                <w:sz w:val="20"/>
                <w:szCs w:val="20"/>
                <w:color w:val="auto"/>
              </w:rPr>
            </w:pP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E3E4E5"/>
            </w:tcBorders>
          </w:tcPr>
          <w:p>
            <w:pPr>
              <w:spacing w:after="0"/>
              <w:rPr>
                <w:sz w:val="20"/>
                <w:szCs w:val="20"/>
                <w:color w:val="auto"/>
              </w:rPr>
            </w:pP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5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United States</w:t>
            </w:r>
          </w:p>
        </w:tc>
        <w:tc>
          <w:tcPr>
            <w:tcW w:w="38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110,564</w:t>
            </w:r>
          </w:p>
        </w:tc>
        <w:tc>
          <w:tcPr>
            <w:tcW w:w="520" w:type="dxa"/>
            <w:vAlign w:val="bottom"/>
            <w:gridSpan w:val="3"/>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106,718</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129,528</w:t>
            </w:r>
          </w:p>
        </w:tc>
      </w:tr>
      <w:tr>
        <w:trPr>
          <w:trHeight w:val="294"/>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Asia (excluding the PRC)</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81,186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78,225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85,347</w:t>
            </w:r>
          </w:p>
        </w:tc>
      </w:tr>
      <w:tr>
        <w:trPr>
          <w:trHeight w:val="306"/>
        </w:trPr>
        <w:tc>
          <w:tcPr>
            <w:tcW w:w="5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Europe</w:t>
            </w:r>
          </w:p>
        </w:tc>
        <w:tc>
          <w:tcPr>
            <w:tcW w:w="38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98,108</w:t>
            </w:r>
          </w:p>
        </w:tc>
        <w:tc>
          <w:tcPr>
            <w:tcW w:w="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90,622</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90,221</w:t>
            </w:r>
          </w:p>
        </w:tc>
      </w:tr>
      <w:tr>
        <w:trPr>
          <w:trHeight w:val="294"/>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Latin America</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24,135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34,433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28,870</w:t>
            </w:r>
          </w:p>
        </w:tc>
      </w:tr>
      <w:tr>
        <w:trPr>
          <w:trHeight w:val="306"/>
        </w:trPr>
        <w:tc>
          <w:tcPr>
            <w:tcW w:w="5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PRC</w:t>
            </w:r>
          </w:p>
        </w:tc>
        <w:tc>
          <w:tcPr>
            <w:tcW w:w="38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32,463</w:t>
            </w:r>
          </w:p>
        </w:tc>
        <w:tc>
          <w:tcPr>
            <w:tcW w:w="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60,338</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63,334</w:t>
            </w:r>
          </w:p>
        </w:tc>
      </w:tr>
      <w:tr>
        <w:trPr>
          <w:trHeight w:val="290"/>
        </w:trPr>
        <w:tc>
          <w:tcPr>
            <w:tcW w:w="5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Other</w:t>
            </w:r>
          </w:p>
        </w:tc>
        <w:tc>
          <w:tcPr>
            <w:tcW w:w="380" w:type="dxa"/>
            <w:vAlign w:val="bottom"/>
            <w:tcBorders>
              <w:bottom w:val="single" w:sz="8" w:color="454546"/>
            </w:tcBorders>
          </w:tcPr>
          <w:p>
            <w:pPr>
              <w:spacing w:after="0"/>
              <w:rPr>
                <w:sz w:val="24"/>
                <w:szCs w:val="24"/>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21,832</w:t>
            </w:r>
          </w:p>
        </w:tc>
        <w:tc>
          <w:tcPr>
            <w:tcW w:w="80" w:type="dxa"/>
            <w:vAlign w:val="bottom"/>
            <w:tcBorders>
              <w:bottom w:val="single" w:sz="8" w:color="454546"/>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24,543</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ind w:right="3"/>
              <w:spacing w:after="0"/>
              <w:rPr>
                <w:sz w:val="20"/>
                <w:szCs w:val="20"/>
                <w:color w:val="auto"/>
              </w:rPr>
            </w:pPr>
            <w:r>
              <w:rPr>
                <w:rFonts w:ascii="Times New Roman" w:cs="Times New Roman" w:eastAsia="Times New Roman" w:hAnsi="Times New Roman"/>
                <w:sz w:val="20"/>
                <w:szCs w:val="20"/>
                <w:color w:val="454546"/>
              </w:rPr>
              <w:t>23,157</w:t>
            </w:r>
          </w:p>
        </w:tc>
      </w:tr>
      <w:tr>
        <w:trPr>
          <w:trHeight w:val="280"/>
        </w:trPr>
        <w:tc>
          <w:tcPr>
            <w:tcW w:w="560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net sales</w:t>
            </w:r>
          </w:p>
        </w:tc>
        <w:tc>
          <w:tcPr>
            <w:tcW w:w="38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368,288</w:t>
            </w:r>
          </w:p>
        </w:tc>
        <w:tc>
          <w:tcPr>
            <w:tcW w:w="520" w:type="dxa"/>
            <w:vAlign w:val="bottom"/>
            <w:gridSpan w:val="3"/>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394,879</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420,457</w:t>
            </w:r>
          </w:p>
        </w:tc>
      </w:tr>
      <w:tr>
        <w:trPr>
          <w:trHeight w:val="20"/>
        </w:trPr>
        <w:tc>
          <w:tcPr>
            <w:tcW w:w="5600" w:type="dxa"/>
            <w:vAlign w:val="bottom"/>
            <w:tcBorders>
              <w:top w:val="single" w:sz="8" w:color="E3E4E5"/>
            </w:tcBorders>
          </w:tcPr>
          <w:p>
            <w:pPr>
              <w:spacing w:after="0" w:line="20" w:lineRule="exact"/>
              <w:rPr>
                <w:sz w:val="1"/>
                <w:szCs w:val="1"/>
                <w:color w:val="auto"/>
              </w:rPr>
            </w:pPr>
          </w:p>
        </w:tc>
        <w:tc>
          <w:tcPr>
            <w:tcW w:w="380" w:type="dxa"/>
            <w:vAlign w:val="bottom"/>
            <w:tcBorders>
              <w:top w:val="single" w:sz="8" w:color="454546"/>
              <w:bottom w:val="single" w:sz="8" w:color="454546"/>
            </w:tcBorders>
          </w:tcPr>
          <w:p>
            <w:pPr>
              <w:spacing w:after="0" w:line="20" w:lineRule="exact"/>
              <w:rPr>
                <w:sz w:val="1"/>
                <w:szCs w:val="1"/>
                <w:color w:val="auto"/>
              </w:rPr>
            </w:pPr>
          </w:p>
        </w:tc>
        <w:tc>
          <w:tcPr>
            <w:tcW w:w="10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-1377315</wp:posOffset>
            </wp:positionV>
            <wp:extent cx="300355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8">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-234315</wp:posOffset>
            </wp:positionV>
            <wp:extent cx="202565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9">
                      <a:extLst>
                        <a:ext uri="{28A0092B-C50C-407E-A947-70E740481C1C}"/>
                      </a:extLst>
                    </a:blip>
                    <a:srcRect/>
                    <a:stretch>
                      <a:fillRect/>
                    </a:stretch>
                  </pic:blipFill>
                  <pic:spPr bwMode="auto">
                    <a:xfrm>
                      <a:off x="0" y="0"/>
                      <a:ext cx="20256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-56515</wp:posOffset>
            </wp:positionV>
            <wp:extent cx="3003550" cy="76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0">
                      <a:extLst>
                        <a:ext uri="{28A0092B-C50C-407E-A947-70E740481C1C}"/>
                      </a:extLst>
                    </a:blip>
                    <a:srcRect/>
                    <a:stretch>
                      <a:fillRect/>
                    </a:stretch>
                  </pic:blipFill>
                  <pic:spPr bwMode="auto">
                    <a:xfrm>
                      <a:off x="0" y="0"/>
                      <a:ext cx="3003550" cy="762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Specific identification of the customer billing location was the basis used for attributing revenues from external customers to geographic areas.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59</w:t>
      </w:r>
    </w:p>
    <w:p>
      <w:pPr>
        <w:sectPr>
          <w:pgSz w:w="11880" w:h="15480" w:orient="portrait"/>
          <w:cols w:equalWidth="0" w:num="1">
            <w:col w:w="10260"/>
          </w:cols>
          <w:pgMar w:left="820" w:top="213" w:right="800" w:bottom="0" w:gutter="0" w:footer="0" w:header="0"/>
          <w:type w:val="continuous"/>
        </w:sectPr>
      </w:pPr>
    </w:p>
    <w:bookmarkStart w:id="63" w:name="page64"/>
    <w:bookmarkEnd w:id="63"/>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Accounts receivable, net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Pr>
          <w:p>
            <w:pPr>
              <w:spacing w:after="0"/>
              <w:rPr>
                <w:sz w:val="18"/>
                <w:szCs w:val="18"/>
                <w:color w:val="auto"/>
              </w:rPr>
            </w:pP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top w:val="single" w:sz="8" w:color="454546"/>
              <w:bottom w:val="single" w:sz="8" w:color="454546"/>
            </w:tcBorders>
          </w:tcPr>
          <w:p>
            <w:pPr>
              <w:spacing w:after="0"/>
              <w:rPr>
                <w:sz w:val="20"/>
                <w:szCs w:val="20"/>
                <w:color w:val="auto"/>
              </w:rPr>
            </w:pPr>
          </w:p>
        </w:tc>
        <w:tc>
          <w:tcPr>
            <w:tcW w:w="1140" w:type="dxa"/>
            <w:vAlign w:val="bottom"/>
            <w:tcBorders>
              <w:top w:val="single" w:sz="8" w:color="454546"/>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500" w:type="dxa"/>
            <w:vAlign w:val="bottom"/>
            <w:tcBorders>
              <w:top w:val="single" w:sz="8" w:color="454546"/>
              <w:bottom w:val="single" w:sz="8" w:color="454546"/>
            </w:tcBorders>
          </w:tcPr>
          <w:p>
            <w:pPr>
              <w:spacing w:after="0"/>
              <w:rPr>
                <w:sz w:val="20"/>
                <w:szCs w:val="20"/>
                <w:color w:val="auto"/>
              </w:rPr>
            </w:pPr>
          </w:p>
        </w:tc>
        <w:tc>
          <w:tcPr>
            <w:tcW w:w="1000" w:type="dxa"/>
            <w:vAlign w:val="bottom"/>
            <w:tcBorders>
              <w:top w:val="single" w:sz="8" w:color="454546"/>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Trade receivables, gross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71,410</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93,773</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Allowance for credit losses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(723)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(1,863)</w:t>
            </w:r>
          </w:p>
        </w:tc>
      </w:tr>
      <w:tr>
        <w:trPr>
          <w:trHeight w:val="315"/>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Allowance for sales returns</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(283)</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(383)</w:t>
            </w:r>
          </w:p>
        </w:tc>
      </w:tr>
      <w:tr>
        <w:trPr>
          <w:trHeight w:val="265"/>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Trade receivables,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70,404</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91,527</w:t>
            </w:r>
          </w:p>
        </w:tc>
      </w:tr>
      <w:tr>
        <w:trPr>
          <w:trHeight w:val="316"/>
        </w:trPr>
        <w:tc>
          <w:tcPr>
            <w:tcW w:w="7180" w:type="dxa"/>
            <w:vAlign w:val="bottom"/>
            <w:tcBorders>
              <w:bottom w:val="single" w:sz="8" w:color="E3E4E5"/>
            </w:tcBorders>
            <w:shd w:val="clear" w:color="auto" w:fill="E3E4E5"/>
          </w:tcPr>
          <w:p>
            <w:pPr>
              <w:ind w:left="40"/>
              <w:spacing w:after="0" w:line="297" w:lineRule="exact"/>
              <w:rPr>
                <w:sz w:val="20"/>
                <w:szCs w:val="20"/>
                <w:color w:val="auto"/>
              </w:rPr>
            </w:pPr>
            <w:r>
              <w:rPr>
                <w:rFonts w:ascii="Times New Roman" w:cs="Times New Roman" w:eastAsia="Times New Roman" w:hAnsi="Times New Roman"/>
                <w:sz w:val="20"/>
                <w:szCs w:val="20"/>
                <w:color w:val="454546"/>
              </w:rPr>
              <w:t xml:space="preserve">Other </w:t>
            </w:r>
            <w:r>
              <w:rPr>
                <w:rFonts w:ascii="Times New Roman" w:cs="Times New Roman" w:eastAsia="Times New Roman" w:hAnsi="Times New Roman"/>
                <w:sz w:val="26"/>
                <w:szCs w:val="26"/>
                <w:color w:val="454546"/>
                <w:vertAlign w:val="superscript"/>
              </w:rPr>
              <w:t>(1)</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8,916</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22,655</w:t>
            </w:r>
          </w:p>
        </w:tc>
      </w:tr>
      <w:tr>
        <w:trPr>
          <w:trHeight w:val="240"/>
        </w:trPr>
        <w:tc>
          <w:tcPr>
            <w:tcW w:w="7180" w:type="dxa"/>
            <w:vAlign w:val="bottom"/>
          </w:tcPr>
          <w:p>
            <w:pPr>
              <w:ind w:left="400"/>
              <w:spacing w:after="0" w:line="240" w:lineRule="exact"/>
              <w:rPr>
                <w:sz w:val="20"/>
                <w:szCs w:val="20"/>
                <w:color w:val="auto"/>
              </w:rPr>
            </w:pPr>
            <w:r>
              <w:rPr>
                <w:rFonts w:ascii="Times New Roman" w:cs="Times New Roman" w:eastAsia="Times New Roman" w:hAnsi="Times New Roman"/>
                <w:sz w:val="20"/>
                <w:szCs w:val="20"/>
                <w:color w:val="454546"/>
              </w:rPr>
              <w:t xml:space="preserve">Accounts receivable, net </w:t>
            </w:r>
            <w:r>
              <w:rPr>
                <w:rFonts w:ascii="Times New Roman" w:cs="Times New Roman" w:eastAsia="Times New Roman" w:hAnsi="Times New Roman"/>
                <w:sz w:val="26"/>
                <w:szCs w:val="26"/>
                <w:color w:val="454546"/>
                <w:vertAlign w:val="superscript"/>
              </w:rPr>
              <w:t>(2)</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79,320</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114,182</w:t>
            </w: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-1186815</wp:posOffset>
            </wp:positionV>
            <wp:extent cx="200342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1">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-615315</wp:posOffset>
            </wp:positionV>
            <wp:extent cx="102552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2">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3">
                      <a:extLst>
                        <a:ext uri="{28A0092B-C50C-407E-A947-70E740481C1C}"/>
                      </a:extLst>
                    </a:blip>
                    <a:srcRect/>
                    <a:stretch>
                      <a:fillRect/>
                    </a:stretch>
                  </pic:blipFill>
                  <pic:spPr bwMode="auto">
                    <a:xfrm>
                      <a:off x="0" y="0"/>
                      <a:ext cx="1025525" cy="50800"/>
                    </a:xfrm>
                    <a:prstGeom prst="rect">
                      <a:avLst/>
                    </a:prstGeom>
                    <a:noFill/>
                  </pic:spPr>
                </pic:pic>
              </a:graphicData>
            </a:graphic>
          </wp:anchor>
        </w:drawing>
      </w:r>
    </w:p>
    <w:p>
      <w:pPr>
        <w:spacing w:after="0" w:line="10"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Other accounts receivable is primarily comprised of supplier, supplier rebate and interest receivables.</w:t>
      </w:r>
    </w:p>
    <w:p>
      <w:pPr>
        <w:spacing w:after="0" w:line="61" w:lineRule="exact"/>
        <w:rPr>
          <w:rFonts w:ascii="Times New Roman" w:cs="Times New Roman" w:eastAsia="Times New Roman" w:hAnsi="Times New Roman"/>
          <w:sz w:val="26"/>
          <w:szCs w:val="26"/>
          <w:color w:val="454546"/>
          <w:vertAlign w:val="superscript"/>
        </w:rPr>
      </w:pPr>
    </w:p>
    <w:p>
      <w:pPr>
        <w:ind w:left="720" w:hanging="370"/>
        <w:spacing w:after="0" w:line="191" w:lineRule="auto"/>
        <w:tabs>
          <w:tab w:leader="none" w:pos="720" w:val="left"/>
        </w:tabs>
        <w:numPr>
          <w:ilvl w:val="0"/>
          <w:numId w:val="20"/>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Accounts receivable, net at December 31, 2023 was $112.6 million.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Changes in the allowance for credit losses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35"/>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beginning of period</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6"/>
              <w:spacing w:after="0"/>
              <w:rPr>
                <w:sz w:val="20"/>
                <w:szCs w:val="20"/>
                <w:color w:val="auto"/>
              </w:rPr>
            </w:pPr>
            <w:r>
              <w:rPr>
                <w:rFonts w:ascii="Times New Roman" w:cs="Times New Roman" w:eastAsia="Times New Roman" w:hAnsi="Times New Roman"/>
                <w:sz w:val="20"/>
                <w:szCs w:val="20"/>
                <w:color w:val="454546"/>
              </w:rPr>
              <w:t>1,863</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815</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957</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Additions (reductions) to costs and expenses</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454546"/>
              </w:rPr>
              <w:t>454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1,081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70</w:t>
            </w:r>
          </w:p>
        </w:tc>
      </w:tr>
      <w:tr>
        <w:trPr>
          <w:trHeight w:val="307"/>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Cash receipts</w:t>
            </w: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(1,063)</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w:t>
            </w:r>
          </w:p>
        </w:tc>
      </w:tr>
      <w:tr>
        <w:trPr>
          <w:trHeight w:val="29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Write-offs/Foreign exchange effects</w:t>
            </w: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(531)</w:t>
            </w: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(33)</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(212)</w:t>
            </w:r>
          </w:p>
        </w:tc>
      </w:tr>
      <w:tr>
        <w:trPr>
          <w:trHeight w:val="28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end of period</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723</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1,863</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815</w:t>
            </w:r>
          </w:p>
        </w:tc>
      </w:tr>
      <w:tr>
        <w:trPr>
          <w:trHeight w:val="20"/>
        </w:trPr>
        <w:tc>
          <w:tcPr>
            <w:tcW w:w="61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-996315</wp:posOffset>
            </wp:positionV>
            <wp:extent cx="263207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4">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177800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5">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6">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Contract Assets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Contract assets were $8.1 million, $10.3 million, and $4.2 million at December 31, 2025, 2024 and 2023, respectively. The change in balances between periods is due to the fluctuation of custom product inventory balances for which we have an enforceable right to payment for performance completed to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Contract Liabilities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have current and non-current contract liability balances primarily consist of cash received in advance of providing our cloud-based software services. Contract liabilities are included within other accrued liabilities and other long-term liabilities in our consolidated balance sheets.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Changes in the carrying amount of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2720" w:type="dxa"/>
            <w:vAlign w:val="bottom"/>
            <w:tcBorders>
              <w:bottom w:val="single" w:sz="8" w:color="454546"/>
            </w:tcBorders>
            <w:gridSpan w:val="4"/>
          </w:tcPr>
          <w:p>
            <w:pPr>
              <w:jc w:val="right"/>
              <w:ind w:right="543"/>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beginning of period</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3,236</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3,501</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Payments received</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4,270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5,524</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Revenue recognized</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(4,640)</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(5,736)</w:t>
            </w:r>
          </w:p>
        </w:tc>
      </w:tr>
      <w:tr>
        <w:trPr>
          <w:trHeight w:val="290"/>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Foreign exchange effects</w:t>
            </w: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13</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(53)</w:t>
            </w:r>
          </w:p>
        </w:tc>
      </w:tr>
      <w:tr>
        <w:trPr>
          <w:trHeight w:val="28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end of period</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2,879</w:t>
            </w:r>
          </w:p>
        </w:tc>
        <w:tc>
          <w:tcPr>
            <w:tcW w:w="44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3,236</w:t>
            </w:r>
          </w:p>
        </w:tc>
      </w:tr>
      <w:tr>
        <w:trPr>
          <w:trHeight w:val="20"/>
        </w:trPr>
        <w:tc>
          <w:tcPr>
            <w:tcW w:w="71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-996315</wp:posOffset>
            </wp:positionV>
            <wp:extent cx="200342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7">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8">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-56515</wp:posOffset>
            </wp:positionV>
            <wp:extent cx="2003425" cy="76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9">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60</w:t>
      </w:r>
    </w:p>
    <w:p>
      <w:pPr>
        <w:sectPr>
          <w:pgSz w:w="11880" w:h="15480" w:orient="portrait"/>
          <w:cols w:equalWidth="0" w:num="1">
            <w:col w:w="10260"/>
          </w:cols>
          <w:pgMar w:left="820" w:top="213" w:right="800" w:bottom="0" w:gutter="0" w:footer="0" w:header="0"/>
          <w:type w:val="continuous"/>
        </w:sectPr>
      </w:pPr>
    </w:p>
    <w:bookmarkStart w:id="64" w:name="page65"/>
    <w:bookmarkEnd w:id="64"/>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Significant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Net sales to the following customers totaled more than 10% of our net sales: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40" w:type="dxa"/>
            <w:vAlign w:val="bottom"/>
          </w:tcPr>
          <w:p>
            <w:pPr>
              <w:spacing w:after="0"/>
              <w:rPr>
                <w:sz w:val="18"/>
                <w:szCs w:val="18"/>
                <w:color w:val="auto"/>
              </w:rPr>
            </w:pPr>
          </w:p>
        </w:tc>
        <w:tc>
          <w:tcPr>
            <w:tcW w:w="160" w:type="dxa"/>
            <w:vAlign w:val="bottom"/>
            <w:tcBorders>
              <w:bottom w:val="single" w:sz="8" w:color="454546"/>
            </w:tcBorders>
          </w:tcPr>
          <w:p>
            <w:pPr>
              <w:spacing w:after="0"/>
              <w:rPr>
                <w:sz w:val="18"/>
                <w:szCs w:val="18"/>
                <w:color w:val="auto"/>
              </w:rPr>
            </w:pPr>
          </w:p>
        </w:tc>
        <w:tc>
          <w:tcPr>
            <w:tcW w:w="840" w:type="dxa"/>
            <w:vAlign w:val="bottom"/>
            <w:tcBorders>
              <w:bottom w:val="single" w:sz="8" w:color="454546"/>
            </w:tcBorders>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160" w:type="dxa"/>
            <w:vAlign w:val="bottom"/>
            <w:tcBorders>
              <w:bottom w:val="single" w:sz="8" w:color="454546"/>
            </w:tcBorders>
          </w:tcPr>
          <w:p>
            <w:pPr>
              <w:spacing w:after="0"/>
              <w:rPr>
                <w:sz w:val="18"/>
                <w:szCs w:val="18"/>
                <w:color w:val="auto"/>
              </w:rPr>
            </w:pPr>
          </w:p>
        </w:tc>
        <w:tc>
          <w:tcPr>
            <w:tcW w:w="2180" w:type="dxa"/>
            <w:vAlign w:val="bottom"/>
            <w:tcBorders>
              <w:bottom w:val="single" w:sz="8" w:color="454546"/>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454546"/>
                <w:w w:val="99"/>
              </w:rPr>
              <w:t>Year Ended December 31,</w:t>
            </w:r>
          </w:p>
        </w:tc>
        <w:tc>
          <w:tcPr>
            <w:tcW w:w="300" w:type="dxa"/>
            <w:vAlign w:val="bottom"/>
            <w:tcBorders>
              <w:bottom w:val="single" w:sz="8" w:color="454546"/>
            </w:tcBorders>
          </w:tcPr>
          <w:p>
            <w:pPr>
              <w:spacing w:after="0"/>
              <w:rPr>
                <w:sz w:val="18"/>
                <w:szCs w:val="18"/>
                <w:color w:val="auto"/>
              </w:rPr>
            </w:pPr>
          </w:p>
        </w:tc>
        <w:tc>
          <w:tcPr>
            <w:tcW w:w="160" w:type="dxa"/>
            <w:vAlign w:val="bottom"/>
            <w:tcBorders>
              <w:bottom w:val="single" w:sz="8" w:color="454546"/>
            </w:tcBorders>
          </w:tcPr>
          <w:p>
            <w:pPr>
              <w:spacing w:after="0"/>
              <w:rPr>
                <w:sz w:val="18"/>
                <w:szCs w:val="18"/>
                <w:color w:val="auto"/>
              </w:rPr>
            </w:pPr>
          </w:p>
        </w:tc>
        <w:tc>
          <w:tcPr>
            <w:tcW w:w="840" w:type="dxa"/>
            <w:vAlign w:val="bottom"/>
            <w:tcBorders>
              <w:bottom w:val="single" w:sz="8" w:color="454546"/>
            </w:tcBorders>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160" w:type="dxa"/>
            <w:vAlign w:val="bottom"/>
            <w:tcBorders>
              <w:bottom w:val="single" w:sz="8" w:color="454546"/>
            </w:tcBorders>
          </w:tcPr>
          <w:p>
            <w:pPr>
              <w:spacing w:after="0"/>
              <w:rPr>
                <w:sz w:val="20"/>
                <w:szCs w:val="20"/>
                <w:color w:val="auto"/>
              </w:rPr>
            </w:pPr>
          </w:p>
        </w:tc>
        <w:tc>
          <w:tcPr>
            <w:tcW w:w="840" w:type="dxa"/>
            <w:vAlign w:val="bottom"/>
            <w:tcBorders>
              <w:bottom w:val="single" w:sz="8" w:color="454546"/>
            </w:tcBorders>
          </w:tcPr>
          <w:p>
            <w:pPr>
              <w:spacing w:after="0"/>
              <w:rPr>
                <w:sz w:val="20"/>
                <w:szCs w:val="20"/>
                <w:color w:val="auto"/>
              </w:rPr>
            </w:pPr>
          </w:p>
        </w:tc>
        <w:tc>
          <w:tcPr>
            <w:tcW w:w="340" w:type="dxa"/>
            <w:vAlign w:val="bottom"/>
            <w:tcBorders>
              <w:bottom w:val="single" w:sz="8" w:color="454546"/>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w w:val="93"/>
              </w:rPr>
              <w:t>2025</w:t>
            </w:r>
          </w:p>
        </w:tc>
        <w:tc>
          <w:tcPr>
            <w:tcW w:w="1000" w:type="dxa"/>
            <w:vAlign w:val="bottom"/>
            <w:tcBorders>
              <w:bottom w:val="single" w:sz="8" w:color="454546"/>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454546"/>
            </w:tcBorders>
          </w:tcPr>
          <w:p>
            <w:pPr>
              <w:spacing w:after="0"/>
              <w:rPr>
                <w:sz w:val="20"/>
                <w:szCs w:val="20"/>
                <w:color w:val="auto"/>
              </w:rPr>
            </w:pPr>
          </w:p>
        </w:tc>
        <w:tc>
          <w:tcPr>
            <w:tcW w:w="840" w:type="dxa"/>
            <w:vAlign w:val="bottom"/>
            <w:tcBorders>
              <w:bottom w:val="single" w:sz="8" w:color="454546"/>
            </w:tcBorders>
          </w:tcPr>
          <w:p>
            <w:pPr>
              <w:spacing w:after="0"/>
              <w:rPr>
                <w:sz w:val="20"/>
                <w:szCs w:val="20"/>
                <w:color w:val="auto"/>
              </w:rPr>
            </w:pPr>
          </w:p>
        </w:tc>
        <w:tc>
          <w:tcPr>
            <w:tcW w:w="340" w:type="dxa"/>
            <w:vAlign w:val="bottom"/>
            <w:tcBorders>
              <w:bottom w:val="single" w:sz="8" w:color="454546"/>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w w:val="93"/>
              </w:rPr>
              <w:t>2024</w:t>
            </w:r>
          </w:p>
        </w:tc>
        <w:tc>
          <w:tcPr>
            <w:tcW w:w="1000" w:type="dxa"/>
            <w:vAlign w:val="bottom"/>
            <w:tcBorders>
              <w:bottom w:val="single" w:sz="8" w:color="454546"/>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454546"/>
            </w:tcBorders>
          </w:tcPr>
          <w:p>
            <w:pPr>
              <w:spacing w:after="0"/>
              <w:rPr>
                <w:sz w:val="20"/>
                <w:szCs w:val="20"/>
                <w:color w:val="auto"/>
              </w:rPr>
            </w:pPr>
          </w:p>
        </w:tc>
        <w:tc>
          <w:tcPr>
            <w:tcW w:w="840" w:type="dxa"/>
            <w:vAlign w:val="bottom"/>
            <w:tcBorders>
              <w:bottom w:val="single" w:sz="8" w:color="454546"/>
            </w:tcBorders>
          </w:tcPr>
          <w:p>
            <w:pPr>
              <w:spacing w:after="0"/>
              <w:rPr>
                <w:sz w:val="20"/>
                <w:szCs w:val="20"/>
                <w:color w:val="auto"/>
              </w:rPr>
            </w:pPr>
          </w:p>
        </w:tc>
        <w:tc>
          <w:tcPr>
            <w:tcW w:w="340" w:type="dxa"/>
            <w:vAlign w:val="bottom"/>
            <w:tcBorders>
              <w:bottom w:val="single" w:sz="8" w:color="454546"/>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w w:val="93"/>
              </w:rPr>
              <w:t>2023</w:t>
            </w:r>
          </w:p>
        </w:tc>
        <w:tc>
          <w:tcPr>
            <w:tcW w:w="1000" w:type="dxa"/>
            <w:vAlign w:val="bottom"/>
            <w:tcBorders>
              <w:bottom w:val="single" w:sz="8" w:color="454546"/>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w w:val="99"/>
              </w:rPr>
              <w:t>(thousands)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454546"/>
              </w:rPr>
              <w:t>% of Net</w:t>
            </w:r>
          </w:p>
        </w:tc>
        <w:tc>
          <w:tcPr>
            <w:tcW w:w="30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rPr>
              <w:t>$</w:t>
            </w: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454546"/>
                <w:w w:val="99"/>
              </w:rPr>
              <w:t>(thousands)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7"/>
              </w:rPr>
              <w:t>% of Net</w:t>
            </w:r>
          </w:p>
        </w:tc>
        <w:tc>
          <w:tcPr>
            <w:tcW w:w="30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rPr>
              <w:t>$</w:t>
            </w: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454546"/>
                <w:w w:val="99"/>
              </w:rPr>
              <w:t>(thousands)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454546"/>
                <w:w w:val="97"/>
              </w:rPr>
              <w:t>% of Net</w:t>
            </w:r>
          </w:p>
        </w:tc>
        <w:tc>
          <w:tcPr>
            <w:tcW w:w="0" w:type="dxa"/>
            <w:vAlign w:val="bottom"/>
          </w:tcPr>
          <w:p>
            <w:pPr>
              <w:spacing w:after="0"/>
              <w:rPr>
                <w:sz w:val="1"/>
                <w:szCs w:val="1"/>
                <w:color w:val="auto"/>
              </w:rPr>
            </w:pPr>
          </w:p>
        </w:tc>
      </w:tr>
      <w:tr>
        <w:trPr>
          <w:trHeight w:val="214"/>
        </w:trPr>
        <w:tc>
          <w:tcPr>
            <w:tcW w:w="2340" w:type="dxa"/>
            <w:vAlign w:val="bottom"/>
            <w:tcBorders>
              <w:bottom w:val="single" w:sz="8" w:color="E3E4E5"/>
            </w:tcBorders>
          </w:tcPr>
          <w:p>
            <w:pPr>
              <w:spacing w:after="0"/>
              <w:rPr>
                <w:sz w:val="18"/>
                <w:szCs w:val="18"/>
                <w:color w:val="auto"/>
              </w:rPr>
            </w:pPr>
          </w:p>
        </w:tc>
        <w:tc>
          <w:tcPr>
            <w:tcW w:w="160" w:type="dxa"/>
            <w:vAlign w:val="bottom"/>
            <w:tcBorders>
              <w:bottom w:val="single" w:sz="8" w:color="454546"/>
            </w:tcBorders>
            <w:vMerge w:val="continue"/>
          </w:tcPr>
          <w:p>
            <w:pPr>
              <w:spacing w:after="0"/>
              <w:rPr>
                <w:sz w:val="18"/>
                <w:szCs w:val="18"/>
                <w:color w:val="auto"/>
              </w:rPr>
            </w:pPr>
          </w:p>
        </w:tc>
        <w:tc>
          <w:tcPr>
            <w:tcW w:w="84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280" w:type="dxa"/>
            <w:vAlign w:val="bottom"/>
            <w:tcBorders>
              <w:bottom w:val="single" w:sz="8" w:color="E3E4E5"/>
            </w:tcBorders>
          </w:tcPr>
          <w:p>
            <w:pPr>
              <w:spacing w:after="0"/>
              <w:rPr>
                <w:sz w:val="18"/>
                <w:szCs w:val="18"/>
                <w:color w:val="auto"/>
              </w:rPr>
            </w:pPr>
          </w:p>
        </w:tc>
        <w:tc>
          <w:tcPr>
            <w:tcW w:w="1000" w:type="dxa"/>
            <w:vAlign w:val="bottom"/>
            <w:tcBorders>
              <w:bottom w:val="single" w:sz="8" w:color="454546"/>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454546"/>
              </w:rPr>
              <w:t>Sales</w:t>
            </w:r>
          </w:p>
        </w:tc>
        <w:tc>
          <w:tcPr>
            <w:tcW w:w="300" w:type="dxa"/>
            <w:vAlign w:val="bottom"/>
            <w:tcBorders>
              <w:bottom w:val="single" w:sz="8" w:color="E3E4E5"/>
            </w:tcBorders>
            <w:vMerge w:val="continue"/>
          </w:tcPr>
          <w:p>
            <w:pPr>
              <w:spacing w:after="0"/>
              <w:rPr>
                <w:sz w:val="18"/>
                <w:szCs w:val="18"/>
                <w:color w:val="auto"/>
              </w:rPr>
            </w:pPr>
          </w:p>
        </w:tc>
        <w:tc>
          <w:tcPr>
            <w:tcW w:w="160" w:type="dxa"/>
            <w:vAlign w:val="bottom"/>
            <w:tcBorders>
              <w:bottom w:val="single" w:sz="8" w:color="454546"/>
            </w:tcBorders>
            <w:vMerge w:val="continue"/>
          </w:tcPr>
          <w:p>
            <w:pPr>
              <w:spacing w:after="0"/>
              <w:rPr>
                <w:sz w:val="18"/>
                <w:szCs w:val="18"/>
                <w:color w:val="auto"/>
              </w:rPr>
            </w:pPr>
          </w:p>
        </w:tc>
        <w:tc>
          <w:tcPr>
            <w:tcW w:w="84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280" w:type="dxa"/>
            <w:vAlign w:val="bottom"/>
            <w:tcBorders>
              <w:bottom w:val="single" w:sz="8" w:color="E3E4E5"/>
            </w:tcBorders>
          </w:tcPr>
          <w:p>
            <w:pPr>
              <w:spacing w:after="0"/>
              <w:rPr>
                <w:sz w:val="18"/>
                <w:szCs w:val="18"/>
                <w:color w:val="auto"/>
              </w:rPr>
            </w:pPr>
          </w:p>
        </w:tc>
        <w:tc>
          <w:tcPr>
            <w:tcW w:w="100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rPr>
              <w:t>Sales</w:t>
            </w:r>
          </w:p>
        </w:tc>
        <w:tc>
          <w:tcPr>
            <w:tcW w:w="300" w:type="dxa"/>
            <w:vAlign w:val="bottom"/>
            <w:tcBorders>
              <w:bottom w:val="single" w:sz="8" w:color="E3E4E5"/>
            </w:tcBorders>
            <w:vMerge w:val="continue"/>
          </w:tcPr>
          <w:p>
            <w:pPr>
              <w:spacing w:after="0"/>
              <w:rPr>
                <w:sz w:val="18"/>
                <w:szCs w:val="18"/>
                <w:color w:val="auto"/>
              </w:rPr>
            </w:pPr>
          </w:p>
        </w:tc>
        <w:tc>
          <w:tcPr>
            <w:tcW w:w="160" w:type="dxa"/>
            <w:vAlign w:val="bottom"/>
            <w:tcBorders>
              <w:bottom w:val="single" w:sz="8" w:color="454546"/>
            </w:tcBorders>
            <w:vMerge w:val="continue"/>
          </w:tcPr>
          <w:p>
            <w:pPr>
              <w:spacing w:after="0"/>
              <w:rPr>
                <w:sz w:val="18"/>
                <w:szCs w:val="18"/>
                <w:color w:val="auto"/>
              </w:rPr>
            </w:pPr>
          </w:p>
        </w:tc>
        <w:tc>
          <w:tcPr>
            <w:tcW w:w="84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280" w:type="dxa"/>
            <w:vAlign w:val="bottom"/>
            <w:tcBorders>
              <w:bottom w:val="single" w:sz="8" w:color="E3E4E5"/>
            </w:tcBorders>
          </w:tcPr>
          <w:p>
            <w:pPr>
              <w:spacing w:after="0"/>
              <w:rPr>
                <w:sz w:val="18"/>
                <w:szCs w:val="18"/>
                <w:color w:val="auto"/>
              </w:rPr>
            </w:pPr>
          </w:p>
        </w:tc>
        <w:tc>
          <w:tcPr>
            <w:tcW w:w="100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rPr>
              <w:t>Sales</w:t>
            </w:r>
          </w:p>
        </w:tc>
        <w:tc>
          <w:tcPr>
            <w:tcW w:w="300" w:type="dxa"/>
            <w:vAlign w:val="bottom"/>
            <w:tcBorders>
              <w:bottom w:val="single" w:sz="8" w:color="E3E4E5"/>
            </w:tcBorders>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3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Daikin Industries Ltd.</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67,511</w:t>
            </w:r>
          </w:p>
        </w:tc>
        <w:tc>
          <w:tcPr>
            <w:tcW w:w="13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18.3 %</w:t>
            </w:r>
          </w:p>
        </w:tc>
        <w:tc>
          <w:tcPr>
            <w:tcW w:w="4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52,421</w:t>
            </w:r>
          </w:p>
        </w:tc>
        <w:tc>
          <w:tcPr>
            <w:tcW w:w="13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13.3 %</w:t>
            </w:r>
          </w:p>
        </w:tc>
        <w:tc>
          <w:tcPr>
            <w:tcW w:w="4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58,843</w:t>
            </w:r>
          </w:p>
        </w:tc>
        <w:tc>
          <w:tcPr>
            <w:tcW w:w="13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14.0 %</w:t>
            </w:r>
          </w:p>
        </w:tc>
        <w:tc>
          <w:tcPr>
            <w:tcW w:w="30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340" w:type="dxa"/>
            <w:vAlign w:val="bottom"/>
          </w:tcPr>
          <w:p>
            <w:pPr>
              <w:ind w:left="40"/>
              <w:spacing w:after="0" w:line="164" w:lineRule="exact"/>
              <w:rPr>
                <w:sz w:val="20"/>
                <w:szCs w:val="20"/>
                <w:color w:val="auto"/>
              </w:rPr>
            </w:pPr>
            <w:r>
              <w:rPr>
                <w:rFonts w:ascii="Times New Roman" w:cs="Times New Roman" w:eastAsia="Times New Roman" w:hAnsi="Times New Roman"/>
                <w:sz w:val="19"/>
                <w:szCs w:val="19"/>
                <w:color w:val="454546"/>
              </w:rPr>
              <w:t>Comcast Corporation</w:t>
            </w: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9"/>
                <w:szCs w:val="19"/>
                <w:color w:val="454546"/>
              </w:rPr>
              <w:t>$</w:t>
            </w: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9"/>
                <w:szCs w:val="19"/>
                <w:color w:val="454546"/>
              </w:rPr>
              <w:t>45,431</w:t>
            </w:r>
          </w:p>
        </w:tc>
        <w:tc>
          <w:tcPr>
            <w:tcW w:w="1340" w:type="dxa"/>
            <w:vAlign w:val="bottom"/>
            <w:gridSpan w:val="3"/>
          </w:tcPr>
          <w:p>
            <w:pPr>
              <w:jc w:val="right"/>
              <w:spacing w:after="0" w:line="164" w:lineRule="exact"/>
              <w:rPr>
                <w:sz w:val="20"/>
                <w:szCs w:val="20"/>
                <w:color w:val="auto"/>
              </w:rPr>
            </w:pPr>
            <w:r>
              <w:rPr>
                <w:rFonts w:ascii="Times New Roman" w:cs="Times New Roman" w:eastAsia="Times New Roman" w:hAnsi="Times New Roman"/>
                <w:sz w:val="19"/>
                <w:szCs w:val="19"/>
                <w:color w:val="454546"/>
              </w:rPr>
              <w:t>12.3 %</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454546"/>
              </w:rPr>
              <w:t>(1)</w:t>
            </w:r>
          </w:p>
        </w:tc>
        <w:tc>
          <w:tcPr>
            <w:tcW w:w="1340" w:type="dxa"/>
            <w:vAlign w:val="bottom"/>
            <w:gridSpan w:val="3"/>
            <w:vMerge w:val="restart"/>
          </w:tcPr>
          <w:p>
            <w:pPr>
              <w:jc w:val="center"/>
              <w:ind w:left="258"/>
              <w:spacing w:after="0"/>
              <w:rPr>
                <w:sz w:val="20"/>
                <w:szCs w:val="20"/>
                <w:color w:val="auto"/>
              </w:rPr>
            </w:pPr>
            <w:r>
              <w:rPr>
                <w:rFonts w:ascii="Times New Roman" w:cs="Times New Roman" w:eastAsia="Times New Roman" w:hAnsi="Times New Roman"/>
                <w:sz w:val="13"/>
                <w:szCs w:val="13"/>
                <w:color w:val="454546"/>
              </w:rPr>
              <w:t>(1)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454546"/>
              </w:rPr>
              <w:t>(1)</w:t>
            </w:r>
          </w:p>
        </w:tc>
        <w:tc>
          <w:tcPr>
            <w:tcW w:w="1340" w:type="dxa"/>
            <w:vAlign w:val="bottom"/>
            <w:gridSpan w:val="3"/>
            <w:vMerge w:val="restart"/>
          </w:tcPr>
          <w:p>
            <w:pPr>
              <w:jc w:val="center"/>
              <w:ind w:left="258"/>
              <w:spacing w:after="0"/>
              <w:rPr>
                <w:sz w:val="20"/>
                <w:szCs w:val="20"/>
                <w:color w:val="auto"/>
              </w:rPr>
            </w:pPr>
            <w:r>
              <w:rPr>
                <w:rFonts w:ascii="Times New Roman" w:cs="Times New Roman" w:eastAsia="Times New Roman" w:hAnsi="Times New Roman"/>
                <w:sz w:val="13"/>
                <w:szCs w:val="13"/>
                <w:color w:val="454546"/>
              </w:rPr>
              <w:t>(1)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-344170</wp:posOffset>
            </wp:positionV>
            <wp:extent cx="489902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0">
                      <a:extLst>
                        <a:ext uri="{28A0092B-C50C-407E-A947-70E740481C1C}"/>
                      </a:extLst>
                    </a:blip>
                    <a:srcRect/>
                    <a:stretch>
                      <a:fillRect/>
                    </a:stretch>
                  </pic:blipFill>
                  <pic:spPr bwMode="auto">
                    <a:xfrm>
                      <a:off x="0" y="0"/>
                      <a:ext cx="4899025" cy="50800"/>
                    </a:xfrm>
                    <a:prstGeom prst="rect">
                      <a:avLst/>
                    </a:prstGeom>
                    <a:noFill/>
                  </pic:spPr>
                </pic:pic>
              </a:graphicData>
            </a:graphic>
          </wp:anchor>
        </w:drawing>
      </w:r>
    </w:p>
    <w:p>
      <w:pPr>
        <w:spacing w:after="0" w:line="137" w:lineRule="exact"/>
        <w:rPr>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Sales associated with this customer did not total more than 10% of our net sales for the indicated period.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At December 31, 2025, Daikin Industries Ltd. represented 12.3% of the Company's consolidated accounts receivable balance.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5 — Inventories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Inventories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1720" w:type="dxa"/>
            <w:vAlign w:val="bottom"/>
            <w:tcBorders>
              <w:bottom w:val="single" w:sz="8" w:color="454546"/>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Borders>
              <w:bottom w:val="single" w:sz="8" w:color="454546"/>
            </w:tcBorders>
          </w:tcPr>
          <w:p>
            <w:pPr>
              <w:spacing w:after="0"/>
              <w:rPr>
                <w:sz w:val="18"/>
                <w:szCs w:val="18"/>
                <w:color w:val="auto"/>
              </w:rPr>
            </w:pP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50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Raw materials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18,678</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21,245</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Components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9,923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10,820</w:t>
            </w:r>
          </w:p>
        </w:tc>
      </w:tr>
      <w:tr>
        <w:trPr>
          <w:trHeight w:val="307"/>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Work in process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1,241</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1,896</w:t>
            </w:r>
          </w:p>
        </w:tc>
      </w:tr>
      <w:tr>
        <w:trPr>
          <w:trHeight w:val="290"/>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Finished goods</w:t>
            </w: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47,951</w:t>
            </w:r>
          </w:p>
        </w:tc>
        <w:tc>
          <w:tcPr>
            <w:tcW w:w="80" w:type="dxa"/>
            <w:vAlign w:val="bottom"/>
            <w:tcBorders>
              <w:bottom w:val="single" w:sz="8" w:color="E3E4E5"/>
            </w:tcBorders>
          </w:tcPr>
          <w:p>
            <w:pPr>
              <w:spacing w:after="0"/>
              <w:rPr>
                <w:sz w:val="24"/>
                <w:szCs w:val="24"/>
                <w:color w:val="auto"/>
              </w:rPr>
            </w:pPr>
          </w:p>
        </w:tc>
        <w:tc>
          <w:tcPr>
            <w:tcW w:w="50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3"/>
              <w:spacing w:after="0"/>
              <w:rPr>
                <w:sz w:val="20"/>
                <w:szCs w:val="20"/>
                <w:color w:val="auto"/>
              </w:rPr>
            </w:pPr>
            <w:r>
              <w:rPr>
                <w:rFonts w:ascii="Times New Roman" w:cs="Times New Roman" w:eastAsia="Times New Roman" w:hAnsi="Times New Roman"/>
                <w:sz w:val="20"/>
                <w:szCs w:val="20"/>
                <w:color w:val="454546"/>
              </w:rPr>
              <w:t>45,394</w:t>
            </w:r>
          </w:p>
        </w:tc>
      </w:tr>
      <w:tr>
        <w:trPr>
          <w:trHeight w:val="280"/>
        </w:trPr>
        <w:tc>
          <w:tcPr>
            <w:tcW w:w="718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Inventories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77,793</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79,355</w:t>
            </w:r>
          </w:p>
        </w:tc>
      </w:tr>
      <w:tr>
        <w:trPr>
          <w:trHeight w:val="20"/>
        </w:trPr>
        <w:tc>
          <w:tcPr>
            <w:tcW w:w="71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-996315</wp:posOffset>
            </wp:positionV>
            <wp:extent cx="200342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1">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2">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-56515</wp:posOffset>
            </wp:positionV>
            <wp:extent cx="2003425" cy="762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3">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Significant Supplier</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We purchase integrated circuits, components and finished goods from multiple sources. Purchases from the following supplier totaled 10% of our total inventory purchases: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20" w:type="dxa"/>
            <w:vAlign w:val="bottom"/>
          </w:tcPr>
          <w:p>
            <w:pPr>
              <w:spacing w:after="0"/>
              <w:rPr>
                <w:sz w:val="18"/>
                <w:szCs w:val="18"/>
                <w:color w:val="auto"/>
              </w:rPr>
            </w:pPr>
          </w:p>
        </w:tc>
        <w:tc>
          <w:tcPr>
            <w:tcW w:w="160" w:type="dxa"/>
            <w:vAlign w:val="bottom"/>
            <w:tcBorders>
              <w:bottom w:val="single" w:sz="8" w:color="454546"/>
            </w:tcBorders>
          </w:tcPr>
          <w:p>
            <w:pPr>
              <w:spacing w:after="0"/>
              <w:rPr>
                <w:sz w:val="18"/>
                <w:szCs w:val="18"/>
                <w:color w:val="auto"/>
              </w:rPr>
            </w:pPr>
          </w:p>
        </w:tc>
        <w:tc>
          <w:tcPr>
            <w:tcW w:w="820" w:type="dxa"/>
            <w:vAlign w:val="bottom"/>
            <w:tcBorders>
              <w:bottom w:val="single" w:sz="8" w:color="454546"/>
            </w:tcBorders>
          </w:tcPr>
          <w:p>
            <w:pPr>
              <w:spacing w:after="0"/>
              <w:rPr>
                <w:sz w:val="18"/>
                <w:szCs w:val="18"/>
                <w:color w:val="auto"/>
              </w:rPr>
            </w:pPr>
          </w:p>
        </w:tc>
        <w:tc>
          <w:tcPr>
            <w:tcW w:w="40" w:type="dxa"/>
            <w:vAlign w:val="bottom"/>
            <w:tcBorders>
              <w:bottom w:val="single" w:sz="8" w:color="454546"/>
            </w:tcBorders>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960" w:type="dxa"/>
            <w:vAlign w:val="bottom"/>
            <w:tcBorders>
              <w:bottom w:val="single" w:sz="8" w:color="454546"/>
            </w:tcBorders>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2280" w:type="dxa"/>
            <w:vAlign w:val="bottom"/>
            <w:tcBorders>
              <w:bottom w:val="single" w:sz="8" w:color="454546"/>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300" w:type="dxa"/>
            <w:vAlign w:val="bottom"/>
            <w:tcBorders>
              <w:bottom w:val="single" w:sz="8" w:color="454546"/>
            </w:tcBorders>
          </w:tcPr>
          <w:p>
            <w:pPr>
              <w:spacing w:after="0"/>
              <w:rPr>
                <w:sz w:val="18"/>
                <w:szCs w:val="18"/>
                <w:color w:val="auto"/>
              </w:rPr>
            </w:pPr>
          </w:p>
        </w:tc>
        <w:tc>
          <w:tcPr>
            <w:tcW w:w="980" w:type="dxa"/>
            <w:vAlign w:val="bottom"/>
            <w:tcBorders>
              <w:bottom w:val="single" w:sz="8" w:color="454546"/>
            </w:tcBorders>
          </w:tcPr>
          <w:p>
            <w:pPr>
              <w:spacing w:after="0"/>
              <w:rPr>
                <w:sz w:val="18"/>
                <w:szCs w:val="18"/>
                <w:color w:val="auto"/>
              </w:rPr>
            </w:pPr>
          </w:p>
        </w:tc>
        <w:tc>
          <w:tcPr>
            <w:tcW w:w="40" w:type="dxa"/>
            <w:vAlign w:val="bottom"/>
            <w:tcBorders>
              <w:bottom w:val="single" w:sz="8" w:color="454546"/>
            </w:tcBorders>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960" w:type="dxa"/>
            <w:vAlign w:val="bottom"/>
            <w:tcBorders>
              <w:bottom w:val="single" w:sz="8" w:color="454546"/>
            </w:tcBorders>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20" w:type="dxa"/>
            <w:vAlign w:val="bottom"/>
          </w:tcPr>
          <w:p>
            <w:pPr>
              <w:spacing w:after="0"/>
              <w:rPr>
                <w:sz w:val="20"/>
                <w:szCs w:val="20"/>
                <w:color w:val="auto"/>
              </w:rPr>
            </w:pPr>
          </w:p>
        </w:tc>
        <w:tc>
          <w:tcPr>
            <w:tcW w:w="160" w:type="dxa"/>
            <w:vAlign w:val="bottom"/>
            <w:tcBorders>
              <w:bottom w:val="single" w:sz="8" w:color="454546"/>
            </w:tcBorders>
          </w:tcPr>
          <w:p>
            <w:pPr>
              <w:spacing w:after="0"/>
              <w:rPr>
                <w:sz w:val="20"/>
                <w:szCs w:val="20"/>
                <w:color w:val="auto"/>
              </w:rPr>
            </w:pPr>
          </w:p>
        </w:tc>
        <w:tc>
          <w:tcPr>
            <w:tcW w:w="820" w:type="dxa"/>
            <w:vAlign w:val="bottom"/>
            <w:tcBorders>
              <w:bottom w:val="single" w:sz="8" w:color="454546"/>
            </w:tcBorders>
          </w:tcPr>
          <w:p>
            <w:pPr>
              <w:spacing w:after="0"/>
              <w:rPr>
                <w:sz w:val="20"/>
                <w:szCs w:val="20"/>
                <w:color w:val="auto"/>
              </w:rPr>
            </w:pPr>
          </w:p>
        </w:tc>
        <w:tc>
          <w:tcPr>
            <w:tcW w:w="340" w:type="dxa"/>
            <w:vAlign w:val="bottom"/>
            <w:tcBorders>
              <w:bottom w:val="single" w:sz="8" w:color="454546"/>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w w:val="93"/>
              </w:rPr>
              <w:t>2025</w:t>
            </w:r>
          </w:p>
        </w:tc>
        <w:tc>
          <w:tcPr>
            <w:tcW w:w="960" w:type="dxa"/>
            <w:vAlign w:val="bottom"/>
            <w:tcBorders>
              <w:bottom w:val="single" w:sz="8" w:color="454546"/>
            </w:tcBorders>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Borders>
              <w:bottom w:val="single" w:sz="8" w:color="454546"/>
            </w:tcBorders>
          </w:tcPr>
          <w:p>
            <w:pPr>
              <w:spacing w:after="0"/>
              <w:rPr>
                <w:sz w:val="20"/>
                <w:szCs w:val="20"/>
                <w:color w:val="auto"/>
              </w:rPr>
            </w:pPr>
          </w:p>
        </w:tc>
        <w:tc>
          <w:tcPr>
            <w:tcW w:w="340" w:type="dxa"/>
            <w:vAlign w:val="bottom"/>
            <w:tcBorders>
              <w:bottom w:val="single" w:sz="8" w:color="454546"/>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w w:val="93"/>
              </w:rPr>
              <w:t>2024</w:t>
            </w:r>
          </w:p>
        </w:tc>
        <w:tc>
          <w:tcPr>
            <w:tcW w:w="960" w:type="dxa"/>
            <w:vAlign w:val="bottom"/>
            <w:tcBorders>
              <w:bottom w:val="single" w:sz="8" w:color="454546"/>
            </w:tcBorders>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Borders>
              <w:bottom w:val="single" w:sz="8" w:color="454546"/>
            </w:tcBorders>
          </w:tcPr>
          <w:p>
            <w:pPr>
              <w:spacing w:after="0"/>
              <w:rPr>
                <w:sz w:val="20"/>
                <w:szCs w:val="20"/>
                <w:color w:val="auto"/>
              </w:rPr>
            </w:pPr>
          </w:p>
        </w:tc>
        <w:tc>
          <w:tcPr>
            <w:tcW w:w="340" w:type="dxa"/>
            <w:vAlign w:val="bottom"/>
            <w:tcBorders>
              <w:bottom w:val="single" w:sz="8" w:color="454546"/>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w w:val="93"/>
              </w:rPr>
              <w:t>2023</w:t>
            </w:r>
          </w:p>
        </w:tc>
        <w:tc>
          <w:tcPr>
            <w:tcW w:w="960" w:type="dxa"/>
            <w:vAlign w:val="bottom"/>
            <w:tcBorders>
              <w:bottom w:val="single" w:sz="8" w:color="454546"/>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454546"/>
              </w:rPr>
              <w:t>% of Total</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454546"/>
              </w:rPr>
              <w:t>% of Total</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454546"/>
              </w:rPr>
              <w:t>% of Total</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vMerge w:val="restart"/>
          </w:tcPr>
          <w:p>
            <w:pPr>
              <w:spacing w:after="0"/>
              <w:rPr>
                <w:sz w:val="13"/>
                <w:szCs w:val="13"/>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w w:val="97"/>
              </w:rPr>
              <w:t>(thousands)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Inventory</w:t>
            </w:r>
          </w:p>
        </w:tc>
        <w:tc>
          <w:tcPr>
            <w:tcW w:w="3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 (thousands)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Inventory</w:t>
            </w:r>
          </w:p>
        </w:tc>
        <w:tc>
          <w:tcPr>
            <w:tcW w:w="3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 (thousands)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454546"/>
              </w:rPr>
              <w:t>Inventory</w:t>
            </w:r>
          </w:p>
        </w:tc>
        <w:tc>
          <w:tcPr>
            <w:tcW w:w="0" w:type="dxa"/>
            <w:vAlign w:val="bottom"/>
          </w:tcPr>
          <w:p>
            <w:pPr>
              <w:spacing w:after="0"/>
              <w:rPr>
                <w:sz w:val="1"/>
                <w:szCs w:val="1"/>
                <w:color w:val="auto"/>
              </w:rPr>
            </w:pPr>
          </w:p>
        </w:tc>
      </w:tr>
      <w:tr>
        <w:trPr>
          <w:trHeight w:val="214"/>
        </w:trPr>
        <w:tc>
          <w:tcPr>
            <w:tcW w:w="2520" w:type="dxa"/>
            <w:vAlign w:val="bottom"/>
            <w:tcBorders>
              <w:bottom w:val="single" w:sz="8" w:color="E3E4E5"/>
            </w:tcBorders>
            <w:vMerge w:val="continue"/>
          </w:tcPr>
          <w:p>
            <w:pPr>
              <w:spacing w:after="0"/>
              <w:rPr>
                <w:sz w:val="18"/>
                <w:szCs w:val="18"/>
                <w:color w:val="auto"/>
              </w:rPr>
            </w:pPr>
          </w:p>
        </w:tc>
        <w:tc>
          <w:tcPr>
            <w:tcW w:w="160" w:type="dxa"/>
            <w:vAlign w:val="bottom"/>
            <w:tcBorders>
              <w:bottom w:val="single" w:sz="8" w:color="454546"/>
            </w:tcBorders>
            <w:vMerge w:val="continue"/>
          </w:tcPr>
          <w:p>
            <w:pPr>
              <w:spacing w:after="0"/>
              <w:rPr>
                <w:sz w:val="18"/>
                <w:szCs w:val="18"/>
                <w:color w:val="auto"/>
              </w:rPr>
            </w:pPr>
          </w:p>
        </w:tc>
        <w:tc>
          <w:tcPr>
            <w:tcW w:w="820" w:type="dxa"/>
            <w:vAlign w:val="bottom"/>
            <w:tcBorders>
              <w:bottom w:val="single" w:sz="8" w:color="454546"/>
            </w:tcBorders>
            <w:vMerge w:val="continue"/>
          </w:tcPr>
          <w:p>
            <w:pPr>
              <w:spacing w:after="0"/>
              <w:rPr>
                <w:sz w:val="18"/>
                <w:szCs w:val="18"/>
                <w:color w:val="auto"/>
              </w:rPr>
            </w:pPr>
          </w:p>
        </w:tc>
        <w:tc>
          <w:tcPr>
            <w:tcW w:w="40" w:type="dxa"/>
            <w:vAlign w:val="bottom"/>
            <w:tcBorders>
              <w:bottom w:val="single" w:sz="8" w:color="454546"/>
            </w:tcBorders>
          </w:tcPr>
          <w:p>
            <w:pPr>
              <w:spacing w:after="0"/>
              <w:rPr>
                <w:sz w:val="18"/>
                <w:szCs w:val="18"/>
                <w:color w:val="auto"/>
              </w:rPr>
            </w:pPr>
          </w:p>
        </w:tc>
        <w:tc>
          <w:tcPr>
            <w:tcW w:w="300" w:type="dxa"/>
            <w:vAlign w:val="bottom"/>
            <w:tcBorders>
              <w:bottom w:val="single" w:sz="8" w:color="E3E4E5"/>
            </w:tcBorders>
          </w:tcPr>
          <w:p>
            <w:pPr>
              <w:spacing w:after="0"/>
              <w:rPr>
                <w:sz w:val="18"/>
                <w:szCs w:val="18"/>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Purchases</w:t>
            </w:r>
          </w:p>
        </w:tc>
        <w:tc>
          <w:tcPr>
            <w:tcW w:w="30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vMerge w:val="continue"/>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300" w:type="dxa"/>
            <w:vAlign w:val="bottom"/>
            <w:tcBorders>
              <w:bottom w:val="single" w:sz="8" w:color="E3E4E5"/>
            </w:tcBorders>
          </w:tcPr>
          <w:p>
            <w:pPr>
              <w:spacing w:after="0"/>
              <w:rPr>
                <w:sz w:val="18"/>
                <w:szCs w:val="18"/>
                <w:color w:val="auto"/>
              </w:rPr>
            </w:pPr>
          </w:p>
        </w:tc>
        <w:tc>
          <w:tcPr>
            <w:tcW w:w="9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Purchases</w:t>
            </w:r>
          </w:p>
        </w:tc>
        <w:tc>
          <w:tcPr>
            <w:tcW w:w="300" w:type="dxa"/>
            <w:vAlign w:val="bottom"/>
            <w:tcBorders>
              <w:bottom w:val="single" w:sz="8" w:color="E3E4E5"/>
            </w:tcBorders>
          </w:tcPr>
          <w:p>
            <w:pPr>
              <w:spacing w:after="0"/>
              <w:rPr>
                <w:sz w:val="18"/>
                <w:szCs w:val="18"/>
                <w:color w:val="auto"/>
              </w:rPr>
            </w:pPr>
          </w:p>
        </w:tc>
        <w:tc>
          <w:tcPr>
            <w:tcW w:w="980" w:type="dxa"/>
            <w:vAlign w:val="bottom"/>
            <w:tcBorders>
              <w:bottom w:val="single" w:sz="8" w:color="454546"/>
            </w:tcBorders>
            <w:vMerge w:val="continue"/>
          </w:tcPr>
          <w:p>
            <w:pPr>
              <w:spacing w:after="0"/>
              <w:rPr>
                <w:sz w:val="18"/>
                <w:szCs w:val="18"/>
                <w:color w:val="auto"/>
              </w:rPr>
            </w:pPr>
          </w:p>
        </w:tc>
        <w:tc>
          <w:tcPr>
            <w:tcW w:w="40" w:type="dxa"/>
            <w:vAlign w:val="bottom"/>
            <w:tcBorders>
              <w:bottom w:val="single" w:sz="8" w:color="454546"/>
            </w:tcBorders>
          </w:tcPr>
          <w:p>
            <w:pPr>
              <w:spacing w:after="0"/>
              <w:rPr>
                <w:sz w:val="18"/>
                <w:szCs w:val="18"/>
                <w:color w:val="auto"/>
              </w:rPr>
            </w:pPr>
          </w:p>
        </w:tc>
        <w:tc>
          <w:tcPr>
            <w:tcW w:w="300" w:type="dxa"/>
            <w:vAlign w:val="bottom"/>
            <w:tcBorders>
              <w:bottom w:val="single" w:sz="8" w:color="E3E4E5"/>
            </w:tcBorders>
          </w:tcPr>
          <w:p>
            <w:pPr>
              <w:spacing w:after="0"/>
              <w:rPr>
                <w:sz w:val="18"/>
                <w:szCs w:val="18"/>
                <w:color w:val="auto"/>
              </w:rPr>
            </w:pPr>
          </w:p>
        </w:tc>
        <w:tc>
          <w:tcPr>
            <w:tcW w:w="9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Purchases</w:t>
            </w:r>
          </w:p>
        </w:tc>
        <w:tc>
          <w:tcPr>
            <w:tcW w:w="300" w:type="dxa"/>
            <w:vAlign w:val="bottom"/>
            <w:tcBorders>
              <w:bottom w:val="single" w:sz="8" w:color="E3E4E5"/>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20" w:type="dxa"/>
            <w:vAlign w:val="bottom"/>
            <w:shd w:val="clear" w:color="auto" w:fill="E3E4E5"/>
          </w:tcPr>
          <w:p>
            <w:pPr>
              <w:ind w:left="40"/>
              <w:spacing w:after="0" w:line="154" w:lineRule="exact"/>
              <w:rPr>
                <w:sz w:val="20"/>
                <w:szCs w:val="20"/>
                <w:color w:val="auto"/>
              </w:rPr>
            </w:pPr>
            <w:r>
              <w:rPr>
                <w:rFonts w:ascii="Times New Roman" w:cs="Times New Roman" w:eastAsia="Times New Roman" w:hAnsi="Times New Roman"/>
                <w:sz w:val="17"/>
                <w:szCs w:val="17"/>
                <w:color w:val="454546"/>
              </w:rPr>
              <w:t>Qorvo International Pte Ltd.</w:t>
            </w:r>
          </w:p>
        </w:tc>
        <w:tc>
          <w:tcPr>
            <w:tcW w:w="160" w:type="dxa"/>
            <w:vAlign w:val="bottom"/>
            <w:shd w:val="clear" w:color="auto" w:fill="E3E4E5"/>
          </w:tcPr>
          <w:p>
            <w:pPr>
              <w:ind w:left="40"/>
              <w:spacing w:after="0" w:line="154" w:lineRule="exact"/>
              <w:rPr>
                <w:sz w:val="20"/>
                <w:szCs w:val="20"/>
                <w:color w:val="auto"/>
              </w:rPr>
            </w:pPr>
            <w:r>
              <w:rPr>
                <w:rFonts w:ascii="Times New Roman" w:cs="Times New Roman" w:eastAsia="Times New Roman" w:hAnsi="Times New Roman"/>
                <w:sz w:val="17"/>
                <w:szCs w:val="17"/>
                <w:color w:val="454546"/>
              </w:rPr>
              <w:t>$</w:t>
            </w:r>
          </w:p>
        </w:tc>
        <w:tc>
          <w:tcPr>
            <w:tcW w:w="820" w:type="dxa"/>
            <w:vAlign w:val="bottom"/>
            <w:shd w:val="clear" w:color="auto" w:fill="E3E4E5"/>
          </w:tcPr>
          <w:p>
            <w:pPr>
              <w:jc w:val="right"/>
              <w:spacing w:after="0" w:line="154" w:lineRule="exact"/>
              <w:rPr>
                <w:sz w:val="20"/>
                <w:szCs w:val="20"/>
                <w:color w:val="auto"/>
              </w:rPr>
            </w:pPr>
            <w:r>
              <w:rPr>
                <w:rFonts w:ascii="Times New Roman" w:cs="Times New Roman" w:eastAsia="Times New Roman" w:hAnsi="Times New Roman"/>
                <w:sz w:val="17"/>
                <w:szCs w:val="17"/>
                <w:color w:val="454546"/>
              </w:rPr>
              <w:t>17,908</w:t>
            </w:r>
          </w:p>
        </w:tc>
        <w:tc>
          <w:tcPr>
            <w:tcW w:w="1300" w:type="dxa"/>
            <w:vAlign w:val="bottom"/>
            <w:gridSpan w:val="3"/>
            <w:shd w:val="clear" w:color="auto" w:fill="E3E4E5"/>
          </w:tcPr>
          <w:p>
            <w:pPr>
              <w:jc w:val="right"/>
              <w:spacing w:after="0" w:line="154" w:lineRule="exact"/>
              <w:rPr>
                <w:sz w:val="20"/>
                <w:szCs w:val="20"/>
                <w:color w:val="auto"/>
              </w:rPr>
            </w:pPr>
            <w:r>
              <w:rPr>
                <w:rFonts w:ascii="Times New Roman" w:cs="Times New Roman" w:eastAsia="Times New Roman" w:hAnsi="Times New Roman"/>
                <w:sz w:val="17"/>
                <w:szCs w:val="17"/>
                <w:color w:val="454546"/>
              </w:rPr>
              <w:t>10.2 %</w:t>
            </w:r>
          </w:p>
        </w:tc>
        <w:tc>
          <w:tcPr>
            <w:tcW w:w="1280" w:type="dxa"/>
            <w:vAlign w:val="bottom"/>
            <w:gridSpan w:val="2"/>
            <w:vMerge w:val="restart"/>
            <w:shd w:val="clear" w:color="auto" w:fill="E3E4E5"/>
          </w:tcPr>
          <w:p>
            <w:pPr>
              <w:jc w:val="right"/>
              <w:ind w:right="320"/>
              <w:spacing w:after="0"/>
              <w:rPr>
                <w:sz w:val="20"/>
                <w:szCs w:val="20"/>
                <w:color w:val="auto"/>
              </w:rPr>
            </w:pPr>
            <w:r>
              <w:rPr>
                <w:rFonts w:ascii="Times New Roman" w:cs="Times New Roman" w:eastAsia="Times New Roman" w:hAnsi="Times New Roman"/>
                <w:sz w:val="13"/>
                <w:szCs w:val="13"/>
                <w:color w:val="454546"/>
              </w:rPr>
              <w:t>(1)</w:t>
            </w:r>
          </w:p>
        </w:tc>
        <w:tc>
          <w:tcPr>
            <w:tcW w:w="40" w:type="dxa"/>
            <w:vAlign w:val="bottom"/>
            <w:shd w:val="clear" w:color="auto" w:fill="E3E4E5"/>
          </w:tcPr>
          <w:p>
            <w:pPr>
              <w:spacing w:after="0"/>
              <w:rPr>
                <w:sz w:val="13"/>
                <w:szCs w:val="13"/>
                <w:color w:val="auto"/>
              </w:rPr>
            </w:pPr>
          </w:p>
        </w:tc>
        <w:tc>
          <w:tcPr>
            <w:tcW w:w="300" w:type="dxa"/>
            <w:vAlign w:val="bottom"/>
            <w:shd w:val="clear" w:color="auto" w:fill="E3E4E5"/>
          </w:tcPr>
          <w:p>
            <w:pPr>
              <w:spacing w:after="0"/>
              <w:rPr>
                <w:sz w:val="13"/>
                <w:szCs w:val="13"/>
                <w:color w:val="auto"/>
              </w:rPr>
            </w:pPr>
          </w:p>
        </w:tc>
        <w:tc>
          <w:tcPr>
            <w:tcW w:w="96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13"/>
                <w:szCs w:val="13"/>
                <w:color w:val="454546"/>
              </w:rPr>
              <w:t>(1)</w:t>
            </w:r>
          </w:p>
        </w:tc>
        <w:tc>
          <w:tcPr>
            <w:tcW w:w="300" w:type="dxa"/>
            <w:vAlign w:val="bottom"/>
            <w:shd w:val="clear" w:color="auto" w:fill="E3E4E5"/>
          </w:tcPr>
          <w:p>
            <w:pPr>
              <w:spacing w:after="0"/>
              <w:rPr>
                <w:sz w:val="13"/>
                <w:szCs w:val="13"/>
                <w:color w:val="auto"/>
              </w:rPr>
            </w:pPr>
          </w:p>
        </w:tc>
        <w:tc>
          <w:tcPr>
            <w:tcW w:w="980" w:type="dxa"/>
            <w:vAlign w:val="bottom"/>
            <w:vMerge w:val="restart"/>
            <w:shd w:val="clear" w:color="auto" w:fill="E3E4E5"/>
          </w:tcPr>
          <w:p>
            <w:pPr>
              <w:jc w:val="right"/>
              <w:ind w:right="328"/>
              <w:spacing w:after="0"/>
              <w:rPr>
                <w:sz w:val="20"/>
                <w:szCs w:val="20"/>
                <w:color w:val="auto"/>
              </w:rPr>
            </w:pPr>
            <w:r>
              <w:rPr>
                <w:rFonts w:ascii="Times New Roman" w:cs="Times New Roman" w:eastAsia="Times New Roman" w:hAnsi="Times New Roman"/>
                <w:sz w:val="13"/>
                <w:szCs w:val="13"/>
                <w:color w:val="454546"/>
              </w:rPr>
              <w:t>(1)</w:t>
            </w:r>
          </w:p>
        </w:tc>
        <w:tc>
          <w:tcPr>
            <w:tcW w:w="40" w:type="dxa"/>
            <w:vAlign w:val="bottom"/>
            <w:shd w:val="clear" w:color="auto" w:fill="E3E4E5"/>
          </w:tcPr>
          <w:p>
            <w:pPr>
              <w:spacing w:after="0"/>
              <w:rPr>
                <w:sz w:val="13"/>
                <w:szCs w:val="13"/>
                <w:color w:val="auto"/>
              </w:rPr>
            </w:pPr>
          </w:p>
        </w:tc>
        <w:tc>
          <w:tcPr>
            <w:tcW w:w="300" w:type="dxa"/>
            <w:vAlign w:val="bottom"/>
            <w:shd w:val="clear" w:color="auto" w:fill="E3E4E5"/>
          </w:tcPr>
          <w:p>
            <w:pPr>
              <w:spacing w:after="0"/>
              <w:rPr>
                <w:sz w:val="13"/>
                <w:szCs w:val="13"/>
                <w:color w:val="auto"/>
              </w:rPr>
            </w:pPr>
          </w:p>
        </w:tc>
        <w:tc>
          <w:tcPr>
            <w:tcW w:w="96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13"/>
                <w:szCs w:val="13"/>
                <w:color w:val="454546"/>
              </w:rPr>
              <w:t>(1)</w:t>
            </w:r>
          </w:p>
        </w:tc>
        <w:tc>
          <w:tcPr>
            <w:tcW w:w="300" w:type="dxa"/>
            <w:vAlign w:val="bottom"/>
            <w:shd w:val="clear" w:color="auto" w:fill="E3E4E5"/>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520" w:type="dxa"/>
            <w:vAlign w:val="bottom"/>
            <w:shd w:val="clear" w:color="auto" w:fill="E3E4E5"/>
          </w:tcPr>
          <w:p>
            <w:pPr>
              <w:spacing w:after="0"/>
              <w:rPr>
                <w:sz w:val="3"/>
                <w:szCs w:val="3"/>
                <w:color w:val="auto"/>
              </w:rPr>
            </w:pPr>
          </w:p>
        </w:tc>
        <w:tc>
          <w:tcPr>
            <w:tcW w:w="160" w:type="dxa"/>
            <w:vAlign w:val="bottom"/>
            <w:shd w:val="clear" w:color="auto" w:fill="E3E4E5"/>
          </w:tcPr>
          <w:p>
            <w:pPr>
              <w:spacing w:after="0"/>
              <w:rPr>
                <w:sz w:val="3"/>
                <w:szCs w:val="3"/>
                <w:color w:val="auto"/>
              </w:rPr>
            </w:pPr>
          </w:p>
        </w:tc>
        <w:tc>
          <w:tcPr>
            <w:tcW w:w="820" w:type="dxa"/>
            <w:vAlign w:val="bottom"/>
            <w:shd w:val="clear" w:color="auto" w:fill="E3E4E5"/>
          </w:tcPr>
          <w:p>
            <w:pPr>
              <w:spacing w:after="0"/>
              <w:rPr>
                <w:sz w:val="3"/>
                <w:szCs w:val="3"/>
                <w:color w:val="auto"/>
              </w:rPr>
            </w:pPr>
          </w:p>
        </w:tc>
        <w:tc>
          <w:tcPr>
            <w:tcW w:w="40" w:type="dxa"/>
            <w:vAlign w:val="bottom"/>
            <w:shd w:val="clear" w:color="auto" w:fill="E3E4E5"/>
          </w:tcPr>
          <w:p>
            <w:pPr>
              <w:spacing w:after="0"/>
              <w:rPr>
                <w:sz w:val="3"/>
                <w:szCs w:val="3"/>
                <w:color w:val="auto"/>
              </w:rPr>
            </w:pPr>
          </w:p>
        </w:tc>
        <w:tc>
          <w:tcPr>
            <w:tcW w:w="300" w:type="dxa"/>
            <w:vAlign w:val="bottom"/>
            <w:shd w:val="clear" w:color="auto" w:fill="E3E4E5"/>
          </w:tcPr>
          <w:p>
            <w:pPr>
              <w:spacing w:after="0"/>
              <w:rPr>
                <w:sz w:val="3"/>
                <w:szCs w:val="3"/>
                <w:color w:val="auto"/>
              </w:rPr>
            </w:pPr>
          </w:p>
        </w:tc>
        <w:tc>
          <w:tcPr>
            <w:tcW w:w="960" w:type="dxa"/>
            <w:vAlign w:val="bottom"/>
            <w:shd w:val="clear" w:color="auto" w:fill="E3E4E5"/>
          </w:tcPr>
          <w:p>
            <w:pPr>
              <w:spacing w:after="0"/>
              <w:rPr>
                <w:sz w:val="3"/>
                <w:szCs w:val="3"/>
                <w:color w:val="auto"/>
              </w:rPr>
            </w:pPr>
          </w:p>
        </w:tc>
        <w:tc>
          <w:tcPr>
            <w:tcW w:w="1280" w:type="dxa"/>
            <w:vAlign w:val="bottom"/>
            <w:gridSpan w:val="2"/>
            <w:vMerge w:val="continue"/>
            <w:shd w:val="clear" w:color="auto" w:fill="E3E4E5"/>
          </w:tcPr>
          <w:p>
            <w:pPr>
              <w:spacing w:after="0"/>
              <w:rPr>
                <w:sz w:val="3"/>
                <w:szCs w:val="3"/>
                <w:color w:val="auto"/>
              </w:rPr>
            </w:pPr>
          </w:p>
        </w:tc>
        <w:tc>
          <w:tcPr>
            <w:tcW w:w="40" w:type="dxa"/>
            <w:vAlign w:val="bottom"/>
            <w:shd w:val="clear" w:color="auto" w:fill="E3E4E5"/>
          </w:tcPr>
          <w:p>
            <w:pPr>
              <w:spacing w:after="0"/>
              <w:rPr>
                <w:sz w:val="3"/>
                <w:szCs w:val="3"/>
                <w:color w:val="auto"/>
              </w:rPr>
            </w:pPr>
          </w:p>
        </w:tc>
        <w:tc>
          <w:tcPr>
            <w:tcW w:w="300" w:type="dxa"/>
            <w:vAlign w:val="bottom"/>
            <w:shd w:val="clear" w:color="auto" w:fill="E3E4E5"/>
          </w:tcPr>
          <w:p>
            <w:pPr>
              <w:spacing w:after="0"/>
              <w:rPr>
                <w:sz w:val="3"/>
                <w:szCs w:val="3"/>
                <w:color w:val="auto"/>
              </w:rPr>
            </w:pPr>
          </w:p>
        </w:tc>
        <w:tc>
          <w:tcPr>
            <w:tcW w:w="960" w:type="dxa"/>
            <w:vAlign w:val="bottom"/>
            <w:vMerge w:val="continue"/>
            <w:shd w:val="clear" w:color="auto" w:fill="E3E4E5"/>
          </w:tcPr>
          <w:p>
            <w:pPr>
              <w:spacing w:after="0"/>
              <w:rPr>
                <w:sz w:val="3"/>
                <w:szCs w:val="3"/>
                <w:color w:val="auto"/>
              </w:rPr>
            </w:pPr>
          </w:p>
        </w:tc>
        <w:tc>
          <w:tcPr>
            <w:tcW w:w="300" w:type="dxa"/>
            <w:vAlign w:val="bottom"/>
            <w:shd w:val="clear" w:color="auto" w:fill="E3E4E5"/>
          </w:tcPr>
          <w:p>
            <w:pPr>
              <w:spacing w:after="0"/>
              <w:rPr>
                <w:sz w:val="3"/>
                <w:szCs w:val="3"/>
                <w:color w:val="auto"/>
              </w:rPr>
            </w:pPr>
          </w:p>
        </w:tc>
        <w:tc>
          <w:tcPr>
            <w:tcW w:w="980" w:type="dxa"/>
            <w:vAlign w:val="bottom"/>
            <w:vMerge w:val="continue"/>
            <w:shd w:val="clear" w:color="auto" w:fill="E3E4E5"/>
          </w:tcPr>
          <w:p>
            <w:pPr>
              <w:spacing w:after="0"/>
              <w:rPr>
                <w:sz w:val="3"/>
                <w:szCs w:val="3"/>
                <w:color w:val="auto"/>
              </w:rPr>
            </w:pPr>
          </w:p>
        </w:tc>
        <w:tc>
          <w:tcPr>
            <w:tcW w:w="40" w:type="dxa"/>
            <w:vAlign w:val="bottom"/>
            <w:shd w:val="clear" w:color="auto" w:fill="E3E4E5"/>
          </w:tcPr>
          <w:p>
            <w:pPr>
              <w:spacing w:after="0"/>
              <w:rPr>
                <w:sz w:val="3"/>
                <w:szCs w:val="3"/>
                <w:color w:val="auto"/>
              </w:rPr>
            </w:pPr>
          </w:p>
        </w:tc>
        <w:tc>
          <w:tcPr>
            <w:tcW w:w="300" w:type="dxa"/>
            <w:vAlign w:val="bottom"/>
            <w:shd w:val="clear" w:color="auto" w:fill="E3E4E5"/>
          </w:tcPr>
          <w:p>
            <w:pPr>
              <w:spacing w:after="0"/>
              <w:rPr>
                <w:sz w:val="3"/>
                <w:szCs w:val="3"/>
                <w:color w:val="auto"/>
              </w:rPr>
            </w:pPr>
          </w:p>
        </w:tc>
        <w:tc>
          <w:tcPr>
            <w:tcW w:w="960" w:type="dxa"/>
            <w:vAlign w:val="bottom"/>
            <w:vMerge w:val="continue"/>
            <w:shd w:val="clear" w:color="auto" w:fill="E3E4E5"/>
          </w:tcPr>
          <w:p>
            <w:pPr>
              <w:spacing w:after="0"/>
              <w:rPr>
                <w:sz w:val="3"/>
                <w:szCs w:val="3"/>
                <w:color w:val="auto"/>
              </w:rPr>
            </w:pPr>
          </w:p>
        </w:tc>
        <w:tc>
          <w:tcPr>
            <w:tcW w:w="300" w:type="dxa"/>
            <w:vAlign w:val="bottom"/>
            <w:shd w:val="clear" w:color="auto" w:fill="E3E4E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2520" w:type="dxa"/>
            <w:vAlign w:val="bottom"/>
            <w:shd w:val="clear" w:color="auto" w:fill="E3E4E5"/>
          </w:tcPr>
          <w:p>
            <w:pPr>
              <w:spacing w:after="0"/>
              <w:rPr>
                <w:sz w:val="8"/>
                <w:szCs w:val="8"/>
                <w:color w:val="auto"/>
              </w:rPr>
            </w:pPr>
          </w:p>
        </w:tc>
        <w:tc>
          <w:tcPr>
            <w:tcW w:w="160" w:type="dxa"/>
            <w:vAlign w:val="bottom"/>
            <w:shd w:val="clear" w:color="auto" w:fill="E3E4E5"/>
          </w:tcPr>
          <w:p>
            <w:pPr>
              <w:spacing w:after="0"/>
              <w:rPr>
                <w:sz w:val="8"/>
                <w:szCs w:val="8"/>
                <w:color w:val="auto"/>
              </w:rPr>
            </w:pPr>
          </w:p>
        </w:tc>
        <w:tc>
          <w:tcPr>
            <w:tcW w:w="820" w:type="dxa"/>
            <w:vAlign w:val="bottom"/>
            <w:shd w:val="clear" w:color="auto" w:fill="E3E4E5"/>
          </w:tcPr>
          <w:p>
            <w:pPr>
              <w:spacing w:after="0"/>
              <w:rPr>
                <w:sz w:val="8"/>
                <w:szCs w:val="8"/>
                <w:color w:val="auto"/>
              </w:rPr>
            </w:pPr>
          </w:p>
        </w:tc>
        <w:tc>
          <w:tcPr>
            <w:tcW w:w="40" w:type="dxa"/>
            <w:vAlign w:val="bottom"/>
            <w:shd w:val="clear" w:color="auto" w:fill="E3E4E5"/>
          </w:tcPr>
          <w:p>
            <w:pPr>
              <w:spacing w:after="0"/>
              <w:rPr>
                <w:sz w:val="8"/>
                <w:szCs w:val="8"/>
                <w:color w:val="auto"/>
              </w:rPr>
            </w:pPr>
          </w:p>
        </w:tc>
        <w:tc>
          <w:tcPr>
            <w:tcW w:w="300" w:type="dxa"/>
            <w:vAlign w:val="bottom"/>
            <w:shd w:val="clear" w:color="auto" w:fill="E3E4E5"/>
          </w:tcPr>
          <w:p>
            <w:pPr>
              <w:spacing w:after="0"/>
              <w:rPr>
                <w:sz w:val="8"/>
                <w:szCs w:val="8"/>
                <w:color w:val="auto"/>
              </w:rPr>
            </w:pPr>
          </w:p>
        </w:tc>
        <w:tc>
          <w:tcPr>
            <w:tcW w:w="960" w:type="dxa"/>
            <w:vAlign w:val="bottom"/>
            <w:shd w:val="clear" w:color="auto" w:fill="E3E4E5"/>
          </w:tcPr>
          <w:p>
            <w:pPr>
              <w:spacing w:after="0"/>
              <w:rPr>
                <w:sz w:val="8"/>
                <w:szCs w:val="8"/>
                <w:color w:val="auto"/>
              </w:rPr>
            </w:pPr>
          </w:p>
        </w:tc>
        <w:tc>
          <w:tcPr>
            <w:tcW w:w="300" w:type="dxa"/>
            <w:vAlign w:val="bottom"/>
            <w:shd w:val="clear" w:color="auto" w:fill="E3E4E5"/>
          </w:tcPr>
          <w:p>
            <w:pPr>
              <w:spacing w:after="0"/>
              <w:rPr>
                <w:sz w:val="8"/>
                <w:szCs w:val="8"/>
                <w:color w:val="auto"/>
              </w:rPr>
            </w:pPr>
          </w:p>
        </w:tc>
        <w:tc>
          <w:tcPr>
            <w:tcW w:w="980" w:type="dxa"/>
            <w:vAlign w:val="bottom"/>
            <w:shd w:val="clear" w:color="auto" w:fill="E3E4E5"/>
          </w:tcPr>
          <w:p>
            <w:pPr>
              <w:spacing w:after="0"/>
              <w:rPr>
                <w:sz w:val="8"/>
                <w:szCs w:val="8"/>
                <w:color w:val="auto"/>
              </w:rPr>
            </w:pPr>
          </w:p>
        </w:tc>
        <w:tc>
          <w:tcPr>
            <w:tcW w:w="40" w:type="dxa"/>
            <w:vAlign w:val="bottom"/>
            <w:shd w:val="clear" w:color="auto" w:fill="E3E4E5"/>
          </w:tcPr>
          <w:p>
            <w:pPr>
              <w:spacing w:after="0"/>
              <w:rPr>
                <w:sz w:val="8"/>
                <w:szCs w:val="8"/>
                <w:color w:val="auto"/>
              </w:rPr>
            </w:pPr>
          </w:p>
        </w:tc>
        <w:tc>
          <w:tcPr>
            <w:tcW w:w="300" w:type="dxa"/>
            <w:vAlign w:val="bottom"/>
            <w:shd w:val="clear" w:color="auto" w:fill="E3E4E5"/>
          </w:tcPr>
          <w:p>
            <w:pPr>
              <w:spacing w:after="0"/>
              <w:rPr>
                <w:sz w:val="8"/>
                <w:szCs w:val="8"/>
                <w:color w:val="auto"/>
              </w:rPr>
            </w:pPr>
          </w:p>
        </w:tc>
        <w:tc>
          <w:tcPr>
            <w:tcW w:w="960" w:type="dxa"/>
            <w:vAlign w:val="bottom"/>
            <w:shd w:val="clear" w:color="auto" w:fill="E3E4E5"/>
          </w:tcPr>
          <w:p>
            <w:pPr>
              <w:spacing w:after="0"/>
              <w:rPr>
                <w:sz w:val="8"/>
                <w:szCs w:val="8"/>
                <w:color w:val="auto"/>
              </w:rPr>
            </w:pPr>
          </w:p>
        </w:tc>
        <w:tc>
          <w:tcPr>
            <w:tcW w:w="300" w:type="dxa"/>
            <w:vAlign w:val="bottom"/>
            <w:shd w:val="clear" w:color="auto" w:fill="E3E4E5"/>
          </w:tcPr>
          <w:p>
            <w:pPr>
              <w:spacing w:after="0"/>
              <w:rPr>
                <w:sz w:val="8"/>
                <w:szCs w:val="8"/>
                <w:color w:val="auto"/>
              </w:rPr>
            </w:pPr>
          </w:p>
        </w:tc>
        <w:tc>
          <w:tcPr>
            <w:tcW w:w="980" w:type="dxa"/>
            <w:vAlign w:val="bottom"/>
            <w:shd w:val="clear" w:color="auto" w:fill="E3E4E5"/>
          </w:tcPr>
          <w:p>
            <w:pPr>
              <w:spacing w:after="0"/>
              <w:rPr>
                <w:sz w:val="8"/>
                <w:szCs w:val="8"/>
                <w:color w:val="auto"/>
              </w:rPr>
            </w:pPr>
          </w:p>
        </w:tc>
        <w:tc>
          <w:tcPr>
            <w:tcW w:w="40" w:type="dxa"/>
            <w:vAlign w:val="bottom"/>
            <w:shd w:val="clear" w:color="auto" w:fill="E3E4E5"/>
          </w:tcPr>
          <w:p>
            <w:pPr>
              <w:spacing w:after="0"/>
              <w:rPr>
                <w:sz w:val="8"/>
                <w:szCs w:val="8"/>
                <w:color w:val="auto"/>
              </w:rPr>
            </w:pPr>
          </w:p>
        </w:tc>
        <w:tc>
          <w:tcPr>
            <w:tcW w:w="300" w:type="dxa"/>
            <w:vAlign w:val="bottom"/>
            <w:shd w:val="clear" w:color="auto" w:fill="E3E4E5"/>
          </w:tcPr>
          <w:p>
            <w:pPr>
              <w:spacing w:after="0"/>
              <w:rPr>
                <w:sz w:val="8"/>
                <w:szCs w:val="8"/>
                <w:color w:val="auto"/>
              </w:rPr>
            </w:pPr>
          </w:p>
        </w:tc>
        <w:tc>
          <w:tcPr>
            <w:tcW w:w="960" w:type="dxa"/>
            <w:vAlign w:val="bottom"/>
            <w:shd w:val="clear" w:color="auto" w:fill="E3E4E5"/>
          </w:tcPr>
          <w:p>
            <w:pPr>
              <w:spacing w:after="0"/>
              <w:rPr>
                <w:sz w:val="8"/>
                <w:szCs w:val="8"/>
                <w:color w:val="auto"/>
              </w:rPr>
            </w:pPr>
          </w:p>
        </w:tc>
        <w:tc>
          <w:tcPr>
            <w:tcW w:w="300" w:type="dxa"/>
            <w:vAlign w:val="bottom"/>
            <w:shd w:val="clear" w:color="auto" w:fill="E3E4E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-215265</wp:posOffset>
            </wp:positionV>
            <wp:extent cx="478472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4">
                      <a:extLst>
                        <a:ext uri="{28A0092B-C50C-407E-A947-70E740481C1C}"/>
                      </a:extLst>
                    </a:blip>
                    <a:srcRect/>
                    <a:stretch>
                      <a:fillRect/>
                    </a:stretch>
                  </pic:blipFill>
                  <pic:spPr bwMode="auto">
                    <a:xfrm>
                      <a:off x="0" y="0"/>
                      <a:ext cx="4784725" cy="50800"/>
                    </a:xfrm>
                    <a:prstGeom prst="rect">
                      <a:avLst/>
                    </a:prstGeom>
                    <a:noFill/>
                  </pic:spPr>
                </pic:pic>
              </a:graphicData>
            </a:graphic>
          </wp:anchor>
        </w:drawing>
      </w:r>
    </w:p>
    <w:p>
      <w:pPr>
        <w:spacing w:after="0" w:line="218" w:lineRule="exact"/>
        <w:rPr>
          <w:sz w:val="20"/>
          <w:szCs w:val="20"/>
          <w:color w:val="auto"/>
        </w:rPr>
      </w:pPr>
    </w:p>
    <w:p>
      <w:pPr>
        <w:ind w:left="720" w:hanging="370"/>
        <w:spacing w:after="0" w:line="226" w:lineRule="auto"/>
        <w:tabs>
          <w:tab w:leader="none" w:pos="697" w:val="left"/>
        </w:tabs>
        <w:numPr>
          <w:ilvl w:val="0"/>
          <w:numId w:val="22"/>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Purchases associated with this supplier did not total more than 10% of our total inventory purchases for the indicated period.</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61</w:t>
      </w:r>
    </w:p>
    <w:p>
      <w:pPr>
        <w:sectPr>
          <w:pgSz w:w="11880" w:h="15480" w:orient="portrait"/>
          <w:cols w:equalWidth="0" w:num="1">
            <w:col w:w="10260"/>
          </w:cols>
          <w:pgMar w:left="820" w:top="213" w:right="800" w:bottom="0" w:gutter="0" w:footer="0" w:header="0"/>
          <w:type w:val="continuous"/>
        </w:sectPr>
      </w:pPr>
    </w:p>
    <w:bookmarkStart w:id="65" w:name="page66"/>
    <w:bookmarkEnd w:id="65"/>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6 — Property, Plant, and Equipment, Net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Property, plant, and equipment, net ("PP&amp;E")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1720" w:type="dxa"/>
            <w:vAlign w:val="bottom"/>
            <w:tcBorders>
              <w:bottom w:val="single" w:sz="8" w:color="454546"/>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Borders>
              <w:bottom w:val="single" w:sz="8" w:color="454546"/>
            </w:tcBorders>
          </w:tcPr>
          <w:p>
            <w:pPr>
              <w:spacing w:after="0"/>
              <w:rPr>
                <w:sz w:val="18"/>
                <w:szCs w:val="18"/>
                <w:color w:val="auto"/>
              </w:rPr>
            </w:pP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50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Buildings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18,019</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17,273</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Computer equipment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9,381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9,159</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Furniture and fixtures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2,623</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2,501</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Leasehold and building improvements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28,674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29,404</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Machinery and equipment</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73,906</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75,637</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Software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25,075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25,411</w:t>
            </w:r>
          </w:p>
        </w:tc>
      </w:tr>
      <w:tr>
        <w:trPr>
          <w:trHeight w:val="296"/>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Tooling</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31,824</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30,314</w:t>
            </w:r>
          </w:p>
        </w:tc>
      </w:tr>
      <w:tr>
        <w:trPr>
          <w:trHeight w:val="284"/>
        </w:trPr>
        <w:tc>
          <w:tcPr>
            <w:tcW w:w="7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189,502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189,699</w:t>
            </w:r>
          </w:p>
        </w:tc>
      </w:tr>
      <w:tr>
        <w:trPr>
          <w:trHeight w:val="296"/>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Accumulated depreciation</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(163,683)</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(156,804)</w:t>
            </w:r>
          </w:p>
        </w:tc>
      </w:tr>
      <w:tr>
        <w:trPr>
          <w:trHeight w:val="284"/>
        </w:trPr>
        <w:tc>
          <w:tcPr>
            <w:tcW w:w="7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25,819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32,895</w:t>
            </w:r>
          </w:p>
        </w:tc>
      </w:tr>
      <w:tr>
        <w:trPr>
          <w:trHeight w:val="315"/>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Construction in progress</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1,781</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1,312</w:t>
            </w:r>
          </w:p>
        </w:tc>
      </w:tr>
      <w:tr>
        <w:trPr>
          <w:trHeight w:val="242"/>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 property, plant, and equipment, net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27,600</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34,207</w:t>
            </w: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-2329815</wp:posOffset>
            </wp:positionV>
            <wp:extent cx="200342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5">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-996315</wp:posOffset>
            </wp:positionV>
            <wp:extent cx="102552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6">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-615315</wp:posOffset>
            </wp:positionV>
            <wp:extent cx="102552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7">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8">
                      <a:extLst>
                        <a:ext uri="{28A0092B-C50C-407E-A947-70E740481C1C}"/>
                      </a:extLst>
                    </a:blip>
                    <a:srcRect/>
                    <a:stretch>
                      <a:fillRect/>
                    </a:stretch>
                  </pic:blipFill>
                  <pic:spPr bwMode="auto">
                    <a:xfrm>
                      <a:off x="0" y="0"/>
                      <a:ext cx="1025525" cy="508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Depreciation expense was $9.1 million, $12.9 million and $18.0 million for the years ended December 31, 2025, 2024 and 2023, respectively.</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During the year ended December 31, 2023 , as part of our manufacturing footprint optimization efforts, we made the decision to close our southwestern PRC factory and manufacturing operations at this factory were stopped in September 2023. We also downsized and streamlined the Mexico operations by moving to a smaller, more efficient facility. As a result of these decisions, we recorded impairment charges of $7.7 million, of which $7.6 million and $0.1 million was recorded in cost of sales and SG&amp;A expenses, respectively. In addition, during the year ended December 31, 2023, we recorded an additional $0.2 million of impairment charges, recorded in cost of sales, relating to the underutilization of property, plant and equipment in our other PRC-based factories. During the year ended December 31, 2023, we incurred $7.9 million in impairment charges, recorded in cost of sales, relating to the underutilization of certain property, plant and equipment in our Mexico factory. We have continued to evaluate our global manufacturing footprint as part of our overall cost optimization and return to profitability strategy and, in July 2025, we decided to cease all production activities and began to shut down our Mexico manufacturing facility. As a result of this decision, we recorded impairment charges of $1.2 million in cost of sales on our consolidated statements of operations during the year ended December 31, 2025.</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54546"/>
        </w:rPr>
        <w:t>Construction in progress was as follows:</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540500" cy="215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9">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454546"/>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-380365</wp:posOffset>
                </wp:positionH>
                <wp:positionV relativeFrom="paragraph">
                  <wp:posOffset>26670</wp:posOffset>
                </wp:positionV>
                <wp:extent cx="196151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1515"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499pt,2.1pt" to="124.5pt,2.1pt" o:allowincell="f" strokecolor="#454546" strokeweight="1pt"/>
            </w:pict>
          </mc:Fallback>
        </mc:AlternateContent>
      </w:r>
    </w:p>
    <w:p>
      <w:pPr>
        <w:spacing w:after="0" w:line="51"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6"/>
          <w:szCs w:val="16"/>
          <w:b w:val="1"/>
          <w:bCs w:val="1"/>
          <w:color w:val="454546"/>
        </w:rPr>
        <w:t>2025</w:t>
      </w:r>
      <w:r>
        <w:rPr>
          <w:sz w:val="20"/>
          <w:szCs w:val="20"/>
          <w:color w:val="auto"/>
        </w:rPr>
        <w:tab/>
      </w:r>
      <w:r>
        <w:rPr>
          <w:rFonts w:ascii="Times New Roman" w:cs="Times New Roman" w:eastAsia="Times New Roman" w:hAnsi="Times New Roman"/>
          <w:sz w:val="16"/>
          <w:szCs w:val="16"/>
          <w:b w:val="1"/>
          <w:bCs w:val="1"/>
          <w:color w:val="454546"/>
        </w:rPr>
        <w:t>2024</w:t>
      </w:r>
    </w:p>
    <w:p>
      <w:pPr>
        <w:spacing w:after="0" w:line="34" w:lineRule="exact"/>
        <w:rPr>
          <w:sz w:val="20"/>
          <w:szCs w:val="20"/>
          <w:color w:val="auto"/>
        </w:rPr>
      </w:pPr>
    </w:p>
    <w:p>
      <w:pPr>
        <w:sectPr>
          <w:pgSz w:w="11880" w:h="15480" w:orient="portrait"/>
          <w:cols w:equalWidth="0" w:num="2">
            <w:col w:w="7040" w:space="720"/>
            <w:col w:w="2500"/>
          </w:cols>
          <w:pgMar w:left="820" w:top="213" w:right="80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0"/>
          <w:szCs w:val="20"/>
          <w:color w:val="454546"/>
        </w:rPr>
        <w:t>Leasehold and building improvements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Machinery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50165</wp:posOffset>
                </wp:positionV>
                <wp:extent cx="6514465" cy="19050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E3E4E5"/>
                        </a:solidFill>
                      </wps:spPr>
                      <wps:bodyPr/>
                    </wps:wsp>
                  </a:graphicData>
                </a:graphic>
              </wp:anchor>
            </w:drawing>
          </mc:Choice>
          <mc:Fallback>
            <w:pict>
              <v:rect id="Shape 118" o:spid="_x0000_s1143" style="position:absolute;margin-left:-0.4499pt;margin-top:3.95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Software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Tooling</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6515100" cy="215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0">
                      <a:extLst>
                        <a:ext uri="{28A0092B-C50C-407E-A947-70E740481C1C}"/>
                      </a:extLst>
                    </a:blip>
                    <a:srcRect/>
                    <a:stretch>
                      <a:fillRect/>
                    </a:stretch>
                  </pic:blipFill>
                  <pic:spPr bwMode="auto">
                    <a:xfrm>
                      <a:off x="0" y="0"/>
                      <a:ext cx="6515100" cy="215900"/>
                    </a:xfrm>
                    <a:prstGeom prst="rect">
                      <a:avLst/>
                    </a:prstGeom>
                    <a:noFill/>
                  </pic:spPr>
                </pic:pic>
              </a:graphicData>
            </a:graphic>
          </wp:anchor>
        </w:drawing>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Total construction in progress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color w:val="454546"/>
        </w:rPr>
        <w:t>45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454546"/>
        </w:rPr>
        <w:t>775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454546"/>
        </w:rPr>
        <w:t>10</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454546"/>
        </w:rPr>
        <w:t>752</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454546"/>
        </w:rPr>
        <w:t>199</w:t>
      </w:r>
    </w:p>
    <w:p>
      <w:pPr>
        <w:spacing w:after="0" w:line="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color w:val="454546"/>
        </w:rPr>
        <w:t>1,781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-37465</wp:posOffset>
                </wp:positionH>
                <wp:positionV relativeFrom="paragraph">
                  <wp:posOffset>40005</wp:posOffset>
                </wp:positionV>
                <wp:extent cx="95186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99pt,3.15pt" to="72pt,3.15pt" o:allowincell="f" strokecolor="#454546" strokeweight="1pt"/>
            </w:pict>
          </mc:Fallback>
        </mc:AlternateContent>
        <w:drawing>
          <wp:anchor simplePos="0" relativeHeight="251657728" behindDoc="1" locked="0" layoutInCell="0" allowOverlap="1">
            <wp:simplePos x="0" y="0"/>
            <wp:positionH relativeFrom="column">
              <wp:posOffset>-37465</wp:posOffset>
            </wp:positionH>
            <wp:positionV relativeFrom="paragraph">
              <wp:posOffset>8255</wp:posOffset>
            </wp:positionV>
            <wp:extent cx="952500"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1">
                      <a:extLst>
                        <a:ext uri="{28A0092B-C50C-407E-A947-70E740481C1C}"/>
                      </a:extLst>
                    </a:blip>
                    <a:srcRect/>
                    <a:stretch>
                      <a:fillRect/>
                    </a:stretch>
                  </pic:blipFill>
                  <pic:spPr bwMode="auto">
                    <a:xfrm>
                      <a:off x="0" y="0"/>
                      <a:ext cx="9525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color w:val="454546"/>
        </w:rPr>
        <w:t>102</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454546"/>
        </w:rPr>
        <w:t>483</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454546"/>
        </w:rPr>
        <w:t>60</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454546"/>
        </w:rPr>
        <w:t>638</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454546"/>
        </w:rPr>
        <w:t>29</w:t>
      </w:r>
    </w:p>
    <w:p>
      <w:pPr>
        <w:spacing w:after="0" w:line="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454546"/>
        </w:rPr>
        <w:t>$</w:t>
      </w:r>
      <w:r>
        <w:rPr>
          <w:sz w:val="20"/>
          <w:szCs w:val="20"/>
          <w:color w:val="auto"/>
        </w:rPr>
        <w:tab/>
      </w:r>
      <w:r>
        <w:rPr>
          <w:rFonts w:ascii="Times New Roman" w:cs="Times New Roman" w:eastAsia="Times New Roman" w:hAnsi="Times New Roman"/>
          <w:sz w:val="19"/>
          <w:szCs w:val="19"/>
          <w:color w:val="454546"/>
        </w:rPr>
        <w:t>1,312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46990</wp:posOffset>
                </wp:positionV>
                <wp:extent cx="96139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99pt,3.7pt" to="73.5pt,3.7pt" o:allowincell="f" strokecolor="#454546" strokeweight="1pt"/>
            </w:pict>
          </mc:Fallback>
        </mc:AlternateContent>
        <w:drawing>
          <wp:anchor simplePos="0" relativeHeight="251657728" behindDoc="1" locked="0" layoutInCell="0" allowOverlap="1">
            <wp:simplePos x="0" y="0"/>
            <wp:positionH relativeFrom="column">
              <wp:posOffset>-27940</wp:posOffset>
            </wp:positionH>
            <wp:positionV relativeFrom="paragraph">
              <wp:posOffset>15875</wp:posOffset>
            </wp:positionV>
            <wp:extent cx="96202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2">
                      <a:extLst>
                        <a:ext uri="{28A0092B-C50C-407E-A947-70E740481C1C}"/>
                      </a:extLst>
                    </a:blip>
                    <a:srcRect/>
                    <a:stretch>
                      <a:fillRect/>
                    </a:stretch>
                  </pic:blipFill>
                  <pic:spPr bwMode="auto">
                    <a:xfrm>
                      <a:off x="0" y="0"/>
                      <a:ext cx="962025" cy="12700"/>
                    </a:xfrm>
                    <a:prstGeom prst="rect">
                      <a:avLst/>
                    </a:prstGeom>
                    <a:noFill/>
                  </pic:spPr>
                </pic:pic>
              </a:graphicData>
            </a:graphic>
          </wp:anchor>
        </w:drawing>
      </w:r>
    </w:p>
    <w:p>
      <w:pPr>
        <w:spacing w:after="0" w:line="211" w:lineRule="exact"/>
        <w:rPr>
          <w:sz w:val="20"/>
          <w:szCs w:val="20"/>
          <w:color w:val="auto"/>
        </w:rPr>
      </w:pPr>
    </w:p>
    <w:p>
      <w:pPr>
        <w:sectPr>
          <w:pgSz w:w="11880" w:h="15480" w:orient="portrait"/>
          <w:cols w:equalWidth="0" w:num="3">
            <w:col w:w="6500" w:space="720"/>
            <w:col w:w="1360" w:space="200"/>
            <w:col w:w="1480"/>
          </w:cols>
          <w:pgMar w:left="820" w:top="213" w:right="800" w:bottom="0" w:gutter="0" w:footer="0" w:header="0"/>
          <w:type w:val="continuous"/>
        </w:sectPr>
      </w:pPr>
    </w:p>
    <w:p>
      <w:pPr>
        <w:spacing w:after="0" w:line="1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454546"/>
        </w:rPr>
        <w:t>We expect that most of the assets under construction will be placed into service during the first six months of 2026. We will begin to depreciate the cost of these assets under construction once they are placed into service.</w:t>
      </w:r>
    </w:p>
    <w:p>
      <w:pPr>
        <w:sectPr>
          <w:pgSz w:w="11880" w:h="15480" w:orient="portrait"/>
          <w:cols w:equalWidth="0" w:num="1">
            <w:col w:w="10260"/>
          </w:cols>
          <w:pgMar w:left="820" w:top="21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62</w:t>
      </w:r>
    </w:p>
    <w:p>
      <w:pPr>
        <w:sectPr>
          <w:pgSz w:w="11880" w:h="15480" w:orient="portrait"/>
          <w:cols w:equalWidth="0" w:num="1">
            <w:col w:w="10260"/>
          </w:cols>
          <w:pgMar w:left="820" w:top="213" w:right="800" w:bottom="0" w:gutter="0" w:footer="0" w:header="0"/>
          <w:type w:val="continuous"/>
        </w:sectPr>
      </w:pPr>
    </w:p>
    <w:bookmarkStart w:id="66" w:name="page67"/>
    <w:bookmarkEnd w:id="66"/>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Long-lived tangible assets by geographic area, which include property, plant, and equipment, net and operating lease ROU assets,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1720" w:type="dxa"/>
            <w:vAlign w:val="bottom"/>
            <w:tcBorders>
              <w:bottom w:val="single" w:sz="8" w:color="454546"/>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Borders>
              <w:bottom w:val="single" w:sz="8" w:color="454546"/>
            </w:tcBorders>
          </w:tcPr>
          <w:p>
            <w:pPr>
              <w:spacing w:after="0"/>
              <w:rPr>
                <w:sz w:val="18"/>
                <w:szCs w:val="18"/>
                <w:color w:val="auto"/>
              </w:rPr>
            </w:pP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50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United States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5,637</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9,683</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PRC</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19,935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22,139</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Vietnam</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7,630</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8,520</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Mexico</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698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5,164</w:t>
            </w:r>
          </w:p>
        </w:tc>
      </w:tr>
      <w:tr>
        <w:trPr>
          <w:trHeight w:val="315"/>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All other countries</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3,903</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3,023</w:t>
            </w:r>
          </w:p>
        </w:tc>
      </w:tr>
      <w:tr>
        <w:trPr>
          <w:trHeight w:val="241"/>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 long-lived tangible assets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37,803</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48,529</w:t>
            </w: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-1186815</wp:posOffset>
            </wp:positionV>
            <wp:extent cx="200342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3">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4">
                      <a:extLst>
                        <a:ext uri="{28A0092B-C50C-407E-A947-70E740481C1C}"/>
                      </a:extLst>
                    </a:blip>
                    <a:srcRect/>
                    <a:stretch>
                      <a:fillRect/>
                    </a:stretch>
                  </pic:blipFill>
                  <pic:spPr bwMode="auto">
                    <a:xfrm>
                      <a:off x="0" y="0"/>
                      <a:ext cx="1025525" cy="508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7 — Goodwill and Intangible Assets, Net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Goodwill</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During the year ended December 31,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 We determined that the implied control premium over our market capitalization to be substantial; therefore, we recorded an impairment charge of $49.1 million during the year ended December 31,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components of intangible assets, net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880" w:type="dxa"/>
            <w:vAlign w:val="bottom"/>
            <w:tcBorders>
              <w:bottom w:val="single" w:sz="8" w:color="454546"/>
            </w:tcBorders>
          </w:tcPr>
          <w:p>
            <w:pPr>
              <w:spacing w:after="0"/>
              <w:rPr>
                <w:sz w:val="18"/>
                <w:szCs w:val="18"/>
                <w:color w:val="auto"/>
              </w:rPr>
            </w:pPr>
          </w:p>
        </w:tc>
        <w:tc>
          <w:tcPr>
            <w:tcW w:w="80" w:type="dxa"/>
            <w:vAlign w:val="bottom"/>
            <w:tcBorders>
              <w:bottom w:val="single" w:sz="8" w:color="454546"/>
            </w:tcBorders>
          </w:tcPr>
          <w:p>
            <w:pPr>
              <w:spacing w:after="0"/>
              <w:rPr>
                <w:sz w:val="18"/>
                <w:szCs w:val="18"/>
                <w:color w:val="auto"/>
              </w:rPr>
            </w:pPr>
          </w:p>
        </w:tc>
        <w:tc>
          <w:tcPr>
            <w:tcW w:w="180" w:type="dxa"/>
            <w:vAlign w:val="bottom"/>
            <w:tcBorders>
              <w:bottom w:val="single" w:sz="8" w:color="454546"/>
            </w:tcBorders>
          </w:tcPr>
          <w:p>
            <w:pPr>
              <w:spacing w:after="0"/>
              <w:rPr>
                <w:sz w:val="18"/>
                <w:szCs w:val="18"/>
                <w:color w:val="auto"/>
              </w:rPr>
            </w:pPr>
          </w:p>
        </w:tc>
        <w:tc>
          <w:tcPr>
            <w:tcW w:w="1140" w:type="dxa"/>
            <w:vAlign w:val="bottom"/>
            <w:tcBorders>
              <w:bottom w:val="single" w:sz="8" w:color="454546"/>
            </w:tcBorders>
          </w:tcPr>
          <w:p>
            <w:pPr>
              <w:spacing w:after="0"/>
              <w:rPr>
                <w:sz w:val="18"/>
                <w:szCs w:val="18"/>
                <w:color w:val="auto"/>
              </w:rPr>
            </w:pPr>
          </w:p>
        </w:tc>
        <w:tc>
          <w:tcPr>
            <w:tcW w:w="80" w:type="dxa"/>
            <w:vAlign w:val="bottom"/>
            <w:tcBorders>
              <w:bottom w:val="single" w:sz="8" w:color="454546"/>
            </w:tcBorders>
          </w:tcPr>
          <w:p>
            <w:pPr>
              <w:spacing w:after="0"/>
              <w:rPr>
                <w:sz w:val="18"/>
                <w:szCs w:val="18"/>
                <w:color w:val="auto"/>
              </w:rPr>
            </w:pPr>
          </w:p>
        </w:tc>
        <w:tc>
          <w:tcPr>
            <w:tcW w:w="240" w:type="dxa"/>
            <w:vAlign w:val="bottom"/>
            <w:tcBorders>
              <w:bottom w:val="single" w:sz="8" w:color="454546"/>
            </w:tcBorders>
          </w:tcPr>
          <w:p>
            <w:pPr>
              <w:spacing w:after="0"/>
              <w:rPr>
                <w:sz w:val="18"/>
                <w:szCs w:val="18"/>
                <w:color w:val="auto"/>
              </w:rPr>
            </w:pPr>
          </w:p>
        </w:tc>
        <w:tc>
          <w:tcPr>
            <w:tcW w:w="2020" w:type="dxa"/>
            <w:vAlign w:val="bottom"/>
            <w:tcBorders>
              <w:bottom w:val="single" w:sz="8" w:color="454546"/>
            </w:tcBorders>
            <w:gridSpan w:val="4"/>
          </w:tcPr>
          <w:p>
            <w:pPr>
              <w:jc w:val="right"/>
              <w:ind w:right="623"/>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80" w:type="dxa"/>
            <w:vAlign w:val="bottom"/>
            <w:tcBorders>
              <w:bottom w:val="single" w:sz="8" w:color="454546"/>
            </w:tcBorders>
          </w:tcPr>
          <w:p>
            <w:pPr>
              <w:spacing w:after="0"/>
              <w:rPr>
                <w:sz w:val="18"/>
                <w:szCs w:val="18"/>
                <w:color w:val="auto"/>
              </w:rPr>
            </w:pPr>
          </w:p>
        </w:tc>
        <w:tc>
          <w:tcPr>
            <w:tcW w:w="140" w:type="dxa"/>
            <w:vAlign w:val="bottom"/>
            <w:tcBorders>
              <w:bottom w:val="single" w:sz="8" w:color="454546"/>
            </w:tcBorders>
          </w:tcPr>
          <w:p>
            <w:pPr>
              <w:spacing w:after="0"/>
              <w:rPr>
                <w:sz w:val="18"/>
                <w:szCs w:val="18"/>
                <w:color w:val="auto"/>
              </w:rPr>
            </w:pPr>
          </w:p>
        </w:tc>
        <w:tc>
          <w:tcPr>
            <w:tcW w:w="1240" w:type="dxa"/>
            <w:vAlign w:val="bottom"/>
            <w:tcBorders>
              <w:bottom w:val="single" w:sz="8" w:color="454546"/>
            </w:tcBorders>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740" w:type="dxa"/>
            <w:vAlign w:val="bottom"/>
            <w:tcBorders>
              <w:bottom w:val="single" w:sz="8" w:color="454546"/>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880" w:type="dxa"/>
            <w:vAlign w:val="bottom"/>
            <w:tcBorders>
              <w:bottom w:val="single" w:sz="8" w:color="454546"/>
            </w:tcBorders>
          </w:tcPr>
          <w:p>
            <w:pPr>
              <w:spacing w:after="0"/>
              <w:rPr>
                <w:sz w:val="19"/>
                <w:szCs w:val="19"/>
                <w:color w:val="auto"/>
              </w:rPr>
            </w:pPr>
          </w:p>
        </w:tc>
        <w:tc>
          <w:tcPr>
            <w:tcW w:w="80" w:type="dxa"/>
            <w:vAlign w:val="bottom"/>
            <w:tcBorders>
              <w:bottom w:val="single" w:sz="8" w:color="454546"/>
            </w:tcBorders>
          </w:tcPr>
          <w:p>
            <w:pPr>
              <w:spacing w:after="0"/>
              <w:rPr>
                <w:sz w:val="19"/>
                <w:szCs w:val="19"/>
                <w:color w:val="auto"/>
              </w:rPr>
            </w:pPr>
          </w:p>
        </w:tc>
        <w:tc>
          <w:tcPr>
            <w:tcW w:w="180" w:type="dxa"/>
            <w:vAlign w:val="bottom"/>
            <w:tcBorders>
              <w:bottom w:val="single" w:sz="8" w:color="454546"/>
            </w:tcBorders>
          </w:tcPr>
          <w:p>
            <w:pPr>
              <w:spacing w:after="0"/>
              <w:rPr>
                <w:sz w:val="19"/>
                <w:szCs w:val="19"/>
                <w:color w:val="auto"/>
              </w:rPr>
            </w:pPr>
          </w:p>
        </w:tc>
        <w:tc>
          <w:tcPr>
            <w:tcW w:w="1140" w:type="dxa"/>
            <w:vAlign w:val="bottom"/>
            <w:tcBorders>
              <w:bottom w:val="single" w:sz="8" w:color="454546"/>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454546"/>
                <w:w w:val="99"/>
              </w:rPr>
              <w:t>2025</w:t>
            </w:r>
          </w:p>
        </w:tc>
        <w:tc>
          <w:tcPr>
            <w:tcW w:w="80" w:type="dxa"/>
            <w:vAlign w:val="bottom"/>
            <w:tcBorders>
              <w:bottom w:val="single" w:sz="8" w:color="454546"/>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840" w:type="dxa"/>
            <w:vAlign w:val="bottom"/>
            <w:tcBorders>
              <w:bottom w:val="single" w:sz="8" w:color="454546"/>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454546"/>
            </w:tcBorders>
          </w:tcPr>
          <w:p>
            <w:pPr>
              <w:spacing w:after="0"/>
              <w:rPr>
                <w:sz w:val="19"/>
                <w:szCs w:val="19"/>
                <w:color w:val="auto"/>
              </w:rPr>
            </w:pPr>
          </w:p>
        </w:tc>
        <w:tc>
          <w:tcPr>
            <w:tcW w:w="900" w:type="dxa"/>
            <w:vAlign w:val="bottom"/>
            <w:tcBorders>
              <w:bottom w:val="single" w:sz="8" w:color="454546"/>
            </w:tcBorders>
          </w:tcPr>
          <w:p>
            <w:pPr>
              <w:spacing w:after="0"/>
              <w:rPr>
                <w:sz w:val="19"/>
                <w:szCs w:val="19"/>
                <w:color w:val="auto"/>
              </w:rPr>
            </w:pPr>
          </w:p>
        </w:tc>
        <w:tc>
          <w:tcPr>
            <w:tcW w:w="80" w:type="dxa"/>
            <w:vAlign w:val="bottom"/>
            <w:tcBorders>
              <w:bottom w:val="single" w:sz="8" w:color="454546"/>
            </w:tcBorders>
          </w:tcPr>
          <w:p>
            <w:pPr>
              <w:spacing w:after="0"/>
              <w:rPr>
                <w:sz w:val="19"/>
                <w:szCs w:val="19"/>
                <w:color w:val="auto"/>
              </w:rPr>
            </w:pPr>
          </w:p>
        </w:tc>
        <w:tc>
          <w:tcPr>
            <w:tcW w:w="140" w:type="dxa"/>
            <w:vAlign w:val="bottom"/>
            <w:tcBorders>
              <w:bottom w:val="single" w:sz="8" w:color="454546"/>
            </w:tcBorders>
          </w:tcPr>
          <w:p>
            <w:pPr>
              <w:spacing w:after="0"/>
              <w:rPr>
                <w:sz w:val="19"/>
                <w:szCs w:val="19"/>
                <w:color w:val="auto"/>
              </w:rPr>
            </w:pPr>
          </w:p>
        </w:tc>
        <w:tc>
          <w:tcPr>
            <w:tcW w:w="1240" w:type="dxa"/>
            <w:vAlign w:val="bottom"/>
            <w:tcBorders>
              <w:bottom w:val="single" w:sz="8" w:color="454546"/>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454546"/>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740" w:type="dxa"/>
            <w:vAlign w:val="bottom"/>
            <w:tcBorders>
              <w:bottom w:val="single" w:sz="8" w:color="454546"/>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220" w:type="dxa"/>
            <w:vAlign w:val="bottom"/>
          </w:tcPr>
          <w:p>
            <w:pPr>
              <w:spacing w:after="0"/>
              <w:rPr>
                <w:sz w:val="14"/>
                <w:szCs w:val="14"/>
                <w:color w:val="auto"/>
              </w:rPr>
            </w:pPr>
          </w:p>
        </w:tc>
        <w:tc>
          <w:tcPr>
            <w:tcW w:w="88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454546"/>
              </w:rPr>
              <w:t xml:space="preserve">Gross </w:t>
            </w:r>
            <w:r>
              <w:rPr>
                <w:rFonts w:ascii="Times New Roman" w:cs="Times New Roman" w:eastAsia="Times New Roman" w:hAnsi="Times New Roman"/>
                <w:sz w:val="20"/>
                <w:szCs w:val="20"/>
                <w:b w:val="1"/>
                <w:bCs w:val="1"/>
                <w:color w:val="454546"/>
                <w:vertAlign w:val="superscript"/>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05"/>
              <w:spacing w:after="0" w:line="171" w:lineRule="exact"/>
              <w:rPr>
                <w:sz w:val="20"/>
                <w:szCs w:val="20"/>
                <w:color w:val="auto"/>
              </w:rPr>
            </w:pPr>
            <w:r>
              <w:rPr>
                <w:rFonts w:ascii="Times New Roman" w:cs="Times New Roman" w:eastAsia="Times New Roman" w:hAnsi="Times New Roman"/>
                <w:sz w:val="16"/>
                <w:szCs w:val="16"/>
                <w:b w:val="1"/>
                <w:bCs w:val="1"/>
                <w:color w:val="454546"/>
                <w:w w:val="99"/>
              </w:rPr>
              <w:t>Accumulated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245"/>
              <w:spacing w:after="0"/>
              <w:rPr>
                <w:sz w:val="20"/>
                <w:szCs w:val="20"/>
                <w:color w:val="auto"/>
              </w:rPr>
            </w:pPr>
            <w:r>
              <w:rPr>
                <w:rFonts w:ascii="Times New Roman" w:cs="Times New Roman" w:eastAsia="Times New Roman" w:hAnsi="Times New Roman"/>
                <w:sz w:val="16"/>
                <w:szCs w:val="16"/>
                <w:b w:val="1"/>
                <w:bCs w:val="1"/>
                <w:color w:val="454546"/>
              </w:rPr>
              <w:t xml:space="preserve">Net </w:t>
            </w:r>
            <w:r>
              <w:rPr>
                <w:rFonts w:ascii="Times New Roman" w:cs="Times New Roman" w:eastAsia="Times New Roman" w:hAnsi="Times New Roman"/>
                <w:sz w:val="20"/>
                <w:szCs w:val="20"/>
                <w:b w:val="1"/>
                <w:bCs w:val="1"/>
                <w:color w:val="454546"/>
                <w:vertAlign w:val="superscript"/>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6"/>
                <w:szCs w:val="16"/>
                <w:b w:val="1"/>
                <w:bCs w:val="1"/>
                <w:color w:val="454546"/>
              </w:rPr>
              <w:t xml:space="preserve">Gross </w:t>
            </w:r>
            <w:r>
              <w:rPr>
                <w:rFonts w:ascii="Times New Roman" w:cs="Times New Roman" w:eastAsia="Times New Roman" w:hAnsi="Times New Roman"/>
                <w:sz w:val="20"/>
                <w:szCs w:val="20"/>
                <w:b w:val="1"/>
                <w:bCs w:val="1"/>
                <w:color w:val="454546"/>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47"/>
              <w:spacing w:after="0" w:line="171" w:lineRule="exact"/>
              <w:rPr>
                <w:sz w:val="20"/>
                <w:szCs w:val="20"/>
                <w:color w:val="auto"/>
              </w:rPr>
            </w:pPr>
            <w:r>
              <w:rPr>
                <w:rFonts w:ascii="Times New Roman" w:cs="Times New Roman" w:eastAsia="Times New Roman" w:hAnsi="Times New Roman"/>
                <w:sz w:val="16"/>
                <w:szCs w:val="16"/>
                <w:b w:val="1"/>
                <w:bCs w:val="1"/>
                <w:color w:val="454546"/>
              </w:rPr>
              <w:t>Accumulated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183"/>
              <w:spacing w:after="0"/>
              <w:rPr>
                <w:sz w:val="20"/>
                <w:szCs w:val="20"/>
                <w:color w:val="auto"/>
              </w:rPr>
            </w:pPr>
            <w:r>
              <w:rPr>
                <w:rFonts w:ascii="Times New Roman" w:cs="Times New Roman" w:eastAsia="Times New Roman" w:hAnsi="Times New Roman"/>
                <w:sz w:val="16"/>
                <w:szCs w:val="16"/>
                <w:b w:val="1"/>
                <w:bCs w:val="1"/>
                <w:color w:val="454546"/>
              </w:rPr>
              <w:t xml:space="preserve">Net </w:t>
            </w:r>
            <w:r>
              <w:rPr>
                <w:rFonts w:ascii="Times New Roman" w:cs="Times New Roman" w:eastAsia="Times New Roman" w:hAnsi="Times New Roman"/>
                <w:sz w:val="20"/>
                <w:szCs w:val="20"/>
                <w:b w:val="1"/>
                <w:bCs w:val="1"/>
                <w:color w:val="454546"/>
                <w:vertAlign w:val="superscript"/>
              </w:rPr>
              <w:t>(1)</w:t>
            </w:r>
          </w:p>
        </w:tc>
        <w:tc>
          <w:tcPr>
            <w:tcW w:w="0" w:type="dxa"/>
            <w:vAlign w:val="bottom"/>
          </w:tcPr>
          <w:p>
            <w:pPr>
              <w:spacing w:after="0"/>
              <w:rPr>
                <w:sz w:val="1"/>
                <w:szCs w:val="1"/>
                <w:color w:val="auto"/>
              </w:rPr>
            </w:pPr>
          </w:p>
        </w:tc>
      </w:tr>
      <w:tr>
        <w:trPr>
          <w:trHeight w:val="224"/>
        </w:trPr>
        <w:tc>
          <w:tcPr>
            <w:tcW w:w="2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spacing w:after="0" w:line="225" w:lineRule="exact"/>
              <w:rPr>
                <w:sz w:val="20"/>
                <w:szCs w:val="20"/>
                <w:color w:val="auto"/>
              </w:rPr>
            </w:pPr>
            <w:r>
              <w:rPr>
                <w:rFonts w:ascii="Times New Roman" w:cs="Times New Roman" w:eastAsia="Times New Roman" w:hAnsi="Times New Roman"/>
                <w:sz w:val="16"/>
                <w:szCs w:val="16"/>
                <w:b w:val="1"/>
                <w:bCs w:val="1"/>
                <w:color w:val="454546"/>
                <w:w w:val="97"/>
              </w:rPr>
              <w:t xml:space="preserve">Amortization </w:t>
            </w:r>
            <w:r>
              <w:rPr>
                <w:rFonts w:ascii="Times New Roman" w:cs="Times New Roman" w:eastAsia="Times New Roman" w:hAnsi="Times New Roman"/>
                <w:sz w:val="20"/>
                <w:szCs w:val="20"/>
                <w:b w:val="1"/>
                <w:bCs w:val="1"/>
                <w:color w:val="454546"/>
                <w:w w:val="97"/>
                <w:vertAlign w:val="superscript"/>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7"/>
              <w:spacing w:after="0" w:line="225" w:lineRule="exact"/>
              <w:rPr>
                <w:sz w:val="20"/>
                <w:szCs w:val="20"/>
                <w:color w:val="auto"/>
              </w:rPr>
            </w:pPr>
            <w:r>
              <w:rPr>
                <w:rFonts w:ascii="Times New Roman" w:cs="Times New Roman" w:eastAsia="Times New Roman" w:hAnsi="Times New Roman"/>
                <w:sz w:val="16"/>
                <w:szCs w:val="16"/>
                <w:b w:val="1"/>
                <w:bCs w:val="1"/>
                <w:color w:val="454546"/>
                <w:w w:val="95"/>
              </w:rPr>
              <w:t xml:space="preserve">Amortization </w:t>
            </w:r>
            <w:r>
              <w:rPr>
                <w:rFonts w:ascii="Times New Roman" w:cs="Times New Roman" w:eastAsia="Times New Roman" w:hAnsi="Times New Roman"/>
                <w:sz w:val="20"/>
                <w:szCs w:val="20"/>
                <w:b w:val="1"/>
                <w:bCs w:val="1"/>
                <w:color w:val="454546"/>
                <w:w w:val="95"/>
                <w:vertAlign w:val="superscript"/>
              </w:rPr>
              <w:t>(1)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E3E4E5"/>
          </w:tcPr>
          <w:p>
            <w:pPr>
              <w:ind w:left="40"/>
              <w:spacing w:after="0" w:line="192" w:lineRule="exact"/>
              <w:rPr>
                <w:sz w:val="20"/>
                <w:szCs w:val="20"/>
                <w:color w:val="auto"/>
              </w:rPr>
            </w:pPr>
            <w:r>
              <w:rPr>
                <w:rFonts w:ascii="Times New Roman" w:cs="Times New Roman" w:eastAsia="Times New Roman" w:hAnsi="Times New Roman"/>
                <w:sz w:val="20"/>
                <w:szCs w:val="20"/>
                <w:color w:val="454546"/>
              </w:rPr>
              <w:t>Capitalized software development</w:t>
            </w:r>
          </w:p>
        </w:tc>
        <w:tc>
          <w:tcPr>
            <w:tcW w:w="2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1,675</w:t>
            </w:r>
          </w:p>
        </w:tc>
        <w:tc>
          <w:tcPr>
            <w:tcW w:w="260" w:type="dxa"/>
            <w:vAlign w:val="bottom"/>
            <w:gridSpan w:val="2"/>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(677)</w:t>
            </w:r>
          </w:p>
        </w:tc>
        <w:tc>
          <w:tcPr>
            <w:tcW w:w="320" w:type="dxa"/>
            <w:vAlign w:val="bottom"/>
            <w:gridSpan w:val="2"/>
            <w:vMerge w:val="restart"/>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998</w:t>
            </w:r>
          </w:p>
        </w:tc>
        <w:tc>
          <w:tcPr>
            <w:tcW w:w="280" w:type="dxa"/>
            <w:vAlign w:val="bottom"/>
            <w:gridSpan w:val="2"/>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2,575</w:t>
            </w:r>
          </w:p>
        </w:tc>
        <w:tc>
          <w:tcPr>
            <w:tcW w:w="220" w:type="dxa"/>
            <w:vAlign w:val="bottom"/>
            <w:gridSpan w:val="2"/>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2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(1,150)</w:t>
            </w:r>
          </w:p>
        </w:tc>
        <w:tc>
          <w:tcPr>
            <w:tcW w:w="280" w:type="dxa"/>
            <w:vAlign w:val="bottom"/>
            <w:gridSpan w:val="2"/>
            <w:vMerge w:val="restart"/>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740" w:type="dxa"/>
            <w:vAlign w:val="bottom"/>
            <w:vMerge w:val="restart"/>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1,425</w:t>
            </w:r>
          </w:p>
        </w:tc>
        <w:tc>
          <w:tcPr>
            <w:tcW w:w="0" w:type="dxa"/>
            <w:vAlign w:val="bottom"/>
          </w:tcPr>
          <w:p>
            <w:pPr>
              <w:spacing w:after="0"/>
              <w:rPr>
                <w:sz w:val="1"/>
                <w:szCs w:val="1"/>
                <w:color w:val="auto"/>
              </w:rPr>
            </w:pPr>
          </w:p>
        </w:tc>
      </w:tr>
      <w:tr>
        <w:trPr>
          <w:trHeight w:val="273"/>
        </w:trPr>
        <w:tc>
          <w:tcPr>
            <w:tcW w:w="2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costs</w:t>
            </w:r>
          </w:p>
        </w:tc>
        <w:tc>
          <w:tcPr>
            <w:tcW w:w="220" w:type="dxa"/>
            <w:vAlign w:val="bottom"/>
            <w:vMerge w:val="continue"/>
            <w:shd w:val="clear" w:color="auto" w:fill="E3E4E5"/>
          </w:tcPr>
          <w:p>
            <w:pPr>
              <w:spacing w:after="0"/>
              <w:rPr>
                <w:sz w:val="23"/>
                <w:szCs w:val="23"/>
                <w:color w:val="auto"/>
              </w:rPr>
            </w:pPr>
          </w:p>
        </w:tc>
        <w:tc>
          <w:tcPr>
            <w:tcW w:w="880" w:type="dxa"/>
            <w:vAlign w:val="bottom"/>
            <w:vMerge w:val="continue"/>
            <w:shd w:val="clear" w:color="auto" w:fill="E3E4E5"/>
          </w:tcPr>
          <w:p>
            <w:pPr>
              <w:spacing w:after="0"/>
              <w:rPr>
                <w:sz w:val="23"/>
                <w:szCs w:val="23"/>
                <w:color w:val="auto"/>
              </w:rPr>
            </w:pPr>
          </w:p>
        </w:tc>
        <w:tc>
          <w:tcPr>
            <w:tcW w:w="260" w:type="dxa"/>
            <w:vAlign w:val="bottom"/>
            <w:gridSpan w:val="2"/>
            <w:vMerge w:val="continue"/>
            <w:shd w:val="clear" w:color="auto" w:fill="E3E4E5"/>
          </w:tcPr>
          <w:p>
            <w:pPr>
              <w:spacing w:after="0"/>
              <w:rPr>
                <w:sz w:val="23"/>
                <w:szCs w:val="23"/>
                <w:color w:val="auto"/>
              </w:rPr>
            </w:pPr>
          </w:p>
        </w:tc>
        <w:tc>
          <w:tcPr>
            <w:tcW w:w="1140" w:type="dxa"/>
            <w:vAlign w:val="bottom"/>
            <w:vMerge w:val="continue"/>
            <w:shd w:val="clear" w:color="auto" w:fill="E3E4E5"/>
          </w:tcPr>
          <w:p>
            <w:pPr>
              <w:spacing w:after="0"/>
              <w:rPr>
                <w:sz w:val="23"/>
                <w:szCs w:val="23"/>
                <w:color w:val="auto"/>
              </w:rPr>
            </w:pPr>
          </w:p>
        </w:tc>
        <w:tc>
          <w:tcPr>
            <w:tcW w:w="320" w:type="dxa"/>
            <w:vAlign w:val="bottom"/>
            <w:gridSpan w:val="2"/>
            <w:vMerge w:val="continue"/>
            <w:shd w:val="clear" w:color="auto" w:fill="E3E4E5"/>
          </w:tcPr>
          <w:p>
            <w:pPr>
              <w:spacing w:after="0"/>
              <w:rPr>
                <w:sz w:val="23"/>
                <w:szCs w:val="23"/>
                <w:color w:val="auto"/>
              </w:rPr>
            </w:pPr>
          </w:p>
        </w:tc>
        <w:tc>
          <w:tcPr>
            <w:tcW w:w="840" w:type="dxa"/>
            <w:vAlign w:val="bottom"/>
            <w:vMerge w:val="continue"/>
            <w:shd w:val="clear" w:color="auto" w:fill="E3E4E5"/>
          </w:tcPr>
          <w:p>
            <w:pPr>
              <w:spacing w:after="0"/>
              <w:rPr>
                <w:sz w:val="23"/>
                <w:szCs w:val="23"/>
                <w:color w:val="auto"/>
              </w:rPr>
            </w:pPr>
          </w:p>
        </w:tc>
        <w:tc>
          <w:tcPr>
            <w:tcW w:w="280" w:type="dxa"/>
            <w:vAlign w:val="bottom"/>
            <w:gridSpan w:val="2"/>
            <w:vMerge w:val="continue"/>
            <w:shd w:val="clear" w:color="auto" w:fill="E3E4E5"/>
          </w:tcPr>
          <w:p>
            <w:pPr>
              <w:spacing w:after="0"/>
              <w:rPr>
                <w:sz w:val="23"/>
                <w:szCs w:val="23"/>
                <w:color w:val="auto"/>
              </w:rPr>
            </w:pPr>
          </w:p>
        </w:tc>
        <w:tc>
          <w:tcPr>
            <w:tcW w:w="900" w:type="dxa"/>
            <w:vAlign w:val="bottom"/>
            <w:vMerge w:val="continue"/>
            <w:shd w:val="clear" w:color="auto" w:fill="E3E4E5"/>
          </w:tcPr>
          <w:p>
            <w:pPr>
              <w:spacing w:after="0"/>
              <w:rPr>
                <w:sz w:val="23"/>
                <w:szCs w:val="23"/>
                <w:color w:val="auto"/>
              </w:rPr>
            </w:pPr>
          </w:p>
        </w:tc>
        <w:tc>
          <w:tcPr>
            <w:tcW w:w="220" w:type="dxa"/>
            <w:vAlign w:val="bottom"/>
            <w:gridSpan w:val="2"/>
            <w:vMerge w:val="continue"/>
            <w:shd w:val="clear" w:color="auto" w:fill="E3E4E5"/>
          </w:tcPr>
          <w:p>
            <w:pPr>
              <w:spacing w:after="0"/>
              <w:rPr>
                <w:sz w:val="23"/>
                <w:szCs w:val="23"/>
                <w:color w:val="auto"/>
              </w:rPr>
            </w:pPr>
          </w:p>
        </w:tc>
        <w:tc>
          <w:tcPr>
            <w:tcW w:w="1240" w:type="dxa"/>
            <w:vAlign w:val="bottom"/>
            <w:vMerge w:val="continue"/>
            <w:shd w:val="clear" w:color="auto" w:fill="E3E4E5"/>
          </w:tcPr>
          <w:p>
            <w:pPr>
              <w:spacing w:after="0"/>
              <w:rPr>
                <w:sz w:val="23"/>
                <w:szCs w:val="23"/>
                <w:color w:val="auto"/>
              </w:rPr>
            </w:pPr>
          </w:p>
        </w:tc>
        <w:tc>
          <w:tcPr>
            <w:tcW w:w="280" w:type="dxa"/>
            <w:vAlign w:val="bottom"/>
            <w:gridSpan w:val="2"/>
            <w:vMerge w:val="continue"/>
            <w:shd w:val="clear" w:color="auto" w:fill="E3E4E5"/>
          </w:tcPr>
          <w:p>
            <w:pPr>
              <w:spacing w:after="0"/>
              <w:rPr>
                <w:sz w:val="23"/>
                <w:szCs w:val="23"/>
                <w:color w:val="auto"/>
              </w:rPr>
            </w:pPr>
          </w:p>
        </w:tc>
        <w:tc>
          <w:tcPr>
            <w:tcW w:w="74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Customer relationships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(5,250)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(4,526)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1,814</w:t>
            </w:r>
          </w:p>
        </w:tc>
        <w:tc>
          <w:tcPr>
            <w:tcW w:w="0" w:type="dxa"/>
            <w:vAlign w:val="bottom"/>
          </w:tcPr>
          <w:p>
            <w:pPr>
              <w:spacing w:after="0"/>
              <w:rPr>
                <w:sz w:val="1"/>
                <w:szCs w:val="1"/>
                <w:color w:val="auto"/>
              </w:rPr>
            </w:pPr>
          </w:p>
        </w:tc>
      </w:tr>
      <w:tr>
        <w:trPr>
          <w:trHeight w:val="291"/>
        </w:trPr>
        <w:tc>
          <w:tcPr>
            <w:tcW w:w="2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Developed and core technology</w:t>
            </w:r>
          </w:p>
        </w:tc>
        <w:tc>
          <w:tcPr>
            <w:tcW w:w="22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740</w:t>
            </w:r>
          </w:p>
        </w:tc>
        <w:tc>
          <w:tcPr>
            <w:tcW w:w="8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(493)</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247</w:t>
            </w:r>
          </w:p>
        </w:tc>
        <w:tc>
          <w:tcPr>
            <w:tcW w:w="8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740</w:t>
            </w:r>
          </w:p>
        </w:tc>
        <w:tc>
          <w:tcPr>
            <w:tcW w:w="8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(398)</w:t>
            </w:r>
          </w:p>
        </w:tc>
        <w:tc>
          <w:tcPr>
            <w:tcW w:w="6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7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342</w:t>
            </w:r>
          </w:p>
        </w:tc>
        <w:tc>
          <w:tcPr>
            <w:tcW w:w="0" w:type="dxa"/>
            <w:vAlign w:val="bottom"/>
          </w:tcPr>
          <w:p>
            <w:pPr>
              <w:spacing w:after="0"/>
              <w:rPr>
                <w:sz w:val="1"/>
                <w:szCs w:val="1"/>
                <w:color w:val="auto"/>
              </w:rPr>
            </w:pPr>
          </w:p>
        </w:tc>
      </w:tr>
      <w:tr>
        <w:trPr>
          <w:trHeight w:val="294"/>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Patents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35,171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(15,557)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19,614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34,758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(14,339)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20,419</w:t>
            </w:r>
          </w:p>
        </w:tc>
        <w:tc>
          <w:tcPr>
            <w:tcW w:w="0" w:type="dxa"/>
            <w:vAlign w:val="bottom"/>
          </w:tcPr>
          <w:p>
            <w:pPr>
              <w:spacing w:after="0"/>
              <w:rPr>
                <w:sz w:val="1"/>
                <w:szCs w:val="1"/>
                <w:color w:val="auto"/>
              </w:rPr>
            </w:pPr>
          </w:p>
        </w:tc>
      </w:tr>
      <w:tr>
        <w:trPr>
          <w:trHeight w:val="315"/>
        </w:trPr>
        <w:tc>
          <w:tcPr>
            <w:tcW w:w="29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Trademarks and trade names</w:t>
            </w:r>
          </w:p>
        </w:tc>
        <w:tc>
          <w:tcPr>
            <w:tcW w:w="220" w:type="dxa"/>
            <w:vAlign w:val="bottom"/>
            <w:tcBorders>
              <w:bottom w:val="single" w:sz="8" w:color="454546"/>
            </w:tcBorders>
            <w:shd w:val="clear" w:color="auto" w:fill="E3E4E5"/>
          </w:tcPr>
          <w:p>
            <w:pPr>
              <w:spacing w:after="0"/>
              <w:rPr>
                <w:sz w:val="24"/>
                <w:szCs w:val="24"/>
                <w:color w:val="auto"/>
              </w:rPr>
            </w:pPr>
          </w:p>
        </w:tc>
        <w:tc>
          <w:tcPr>
            <w:tcW w:w="88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50</w:t>
            </w:r>
          </w:p>
        </w:tc>
        <w:tc>
          <w:tcPr>
            <w:tcW w:w="80" w:type="dxa"/>
            <w:vAlign w:val="bottom"/>
            <w:tcBorders>
              <w:bottom w:val="single" w:sz="8" w:color="E3E4E5"/>
            </w:tcBorders>
            <w:shd w:val="clear" w:color="auto" w:fill="E3E4E5"/>
          </w:tcPr>
          <w:p>
            <w:pPr>
              <w:spacing w:after="0"/>
              <w:rPr>
                <w:sz w:val="24"/>
                <w:szCs w:val="24"/>
                <w:color w:val="auto"/>
              </w:rPr>
            </w:pPr>
          </w:p>
        </w:tc>
        <w:tc>
          <w:tcPr>
            <w:tcW w:w="18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(31)</w:t>
            </w:r>
          </w:p>
        </w:tc>
        <w:tc>
          <w:tcPr>
            <w:tcW w:w="8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454546"/>
            </w:tcBorders>
            <w:shd w:val="clear" w:color="auto" w:fill="E3E4E5"/>
          </w:tcPr>
          <w:p>
            <w:pPr>
              <w:spacing w:after="0"/>
              <w:rPr>
                <w:sz w:val="24"/>
                <w:szCs w:val="24"/>
                <w:color w:val="auto"/>
              </w:rPr>
            </w:pPr>
          </w:p>
        </w:tc>
        <w:tc>
          <w:tcPr>
            <w:tcW w:w="8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w:t>
            </w:r>
          </w:p>
        </w:tc>
        <w:tc>
          <w:tcPr>
            <w:tcW w:w="80" w:type="dxa"/>
            <w:vAlign w:val="bottom"/>
            <w:tcBorders>
              <w:bottom w:val="single" w:sz="8" w:color="E3E4E5"/>
            </w:tcBorders>
            <w:shd w:val="clear" w:color="auto" w:fill="E3E4E5"/>
          </w:tcPr>
          <w:p>
            <w:pPr>
              <w:spacing w:after="0"/>
              <w:rPr>
                <w:sz w:val="24"/>
                <w:szCs w:val="24"/>
                <w:color w:val="auto"/>
              </w:rPr>
            </w:pPr>
          </w:p>
        </w:tc>
        <w:tc>
          <w:tcPr>
            <w:tcW w:w="200" w:type="dxa"/>
            <w:vAlign w:val="bottom"/>
            <w:tcBorders>
              <w:bottom w:val="single" w:sz="8" w:color="454546"/>
            </w:tcBorders>
            <w:shd w:val="clear" w:color="auto" w:fill="E3E4E5"/>
          </w:tcPr>
          <w:p>
            <w:pPr>
              <w:spacing w:after="0"/>
              <w:rPr>
                <w:sz w:val="24"/>
                <w:szCs w:val="24"/>
                <w:color w:val="auto"/>
              </w:rPr>
            </w:pPr>
          </w:p>
        </w:tc>
        <w:tc>
          <w:tcPr>
            <w:tcW w:w="9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450</w:t>
            </w:r>
          </w:p>
        </w:tc>
        <w:tc>
          <w:tcPr>
            <w:tcW w:w="80" w:type="dxa"/>
            <w:vAlign w:val="bottom"/>
            <w:tcBorders>
              <w:bottom w:val="single" w:sz="8" w:color="E3E4E5"/>
            </w:tcBorders>
            <w:shd w:val="clear" w:color="auto" w:fill="E3E4E5"/>
          </w:tcPr>
          <w:p>
            <w:pPr>
              <w:spacing w:after="0"/>
              <w:rPr>
                <w:sz w:val="24"/>
                <w:szCs w:val="24"/>
                <w:color w:val="auto"/>
              </w:rPr>
            </w:pPr>
          </w:p>
        </w:tc>
        <w:tc>
          <w:tcPr>
            <w:tcW w:w="140" w:type="dxa"/>
            <w:vAlign w:val="bottom"/>
            <w:tcBorders>
              <w:bottom w:val="single" w:sz="8" w:color="454546"/>
            </w:tcBorders>
            <w:shd w:val="clear" w:color="auto" w:fill="E3E4E5"/>
          </w:tcPr>
          <w:p>
            <w:pPr>
              <w:spacing w:after="0"/>
              <w:rPr>
                <w:sz w:val="24"/>
                <w:szCs w:val="24"/>
                <w:color w:val="auto"/>
              </w:rPr>
            </w:pPr>
          </w:p>
        </w:tc>
        <w:tc>
          <w:tcPr>
            <w:tcW w:w="12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(412)</w:t>
            </w:r>
          </w:p>
        </w:tc>
        <w:tc>
          <w:tcPr>
            <w:tcW w:w="6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454546"/>
            </w:tcBorders>
            <w:shd w:val="clear" w:color="auto" w:fill="E3E4E5"/>
          </w:tcPr>
          <w:p>
            <w:pPr>
              <w:spacing w:after="0"/>
              <w:rPr>
                <w:sz w:val="24"/>
                <w:szCs w:val="24"/>
                <w:color w:val="auto"/>
              </w:rPr>
            </w:pPr>
          </w:p>
        </w:tc>
        <w:tc>
          <w:tcPr>
            <w:tcW w:w="740" w:type="dxa"/>
            <w:vAlign w:val="bottom"/>
            <w:tcBorders>
              <w:bottom w:val="single" w:sz="8" w:color="454546"/>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38</w:t>
            </w:r>
          </w:p>
        </w:tc>
        <w:tc>
          <w:tcPr>
            <w:tcW w:w="0" w:type="dxa"/>
            <w:vAlign w:val="bottom"/>
          </w:tcPr>
          <w:p>
            <w:pPr>
              <w:spacing w:after="0"/>
              <w:rPr>
                <w:sz w:val="1"/>
                <w:szCs w:val="1"/>
                <w:color w:val="auto"/>
              </w:rPr>
            </w:pPr>
          </w:p>
        </w:tc>
      </w:tr>
      <w:tr>
        <w:trPr>
          <w:trHeight w:val="241"/>
        </w:trPr>
        <w:tc>
          <w:tcPr>
            <w:tcW w:w="294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 intangible assets, net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43,976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(22,008)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21,968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44,863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(20,825)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24,038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8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454546"/>
              <w:bottom w:val="single" w:sz="8" w:color="454546"/>
            </w:tcBorders>
          </w:tcPr>
          <w:p>
            <w:pPr>
              <w:spacing w:after="0" w:line="20" w:lineRule="exact"/>
              <w:rPr>
                <w:sz w:val="1"/>
                <w:szCs w:val="1"/>
                <w:color w:val="auto"/>
              </w:rPr>
            </w:pPr>
          </w:p>
        </w:tc>
        <w:tc>
          <w:tcPr>
            <w:tcW w:w="8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454546"/>
              <w:bottom w:val="single" w:sz="8" w:color="454546"/>
            </w:tcBorders>
          </w:tcPr>
          <w:p>
            <w:pPr>
              <w:spacing w:after="0" w:line="20" w:lineRule="exact"/>
              <w:rPr>
                <w:sz w:val="1"/>
                <w:szCs w:val="1"/>
                <w:color w:val="auto"/>
              </w:rPr>
            </w:pPr>
          </w:p>
        </w:tc>
        <w:tc>
          <w:tcPr>
            <w:tcW w:w="9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454546"/>
              <w:bottom w:val="single" w:sz="8" w:color="454546"/>
            </w:tcBorders>
          </w:tcPr>
          <w:p>
            <w:pPr>
              <w:spacing w:after="0" w:line="20" w:lineRule="exact"/>
              <w:rPr>
                <w:sz w:val="1"/>
                <w:szCs w:val="1"/>
                <w:color w:val="auto"/>
              </w:rPr>
            </w:pPr>
          </w:p>
        </w:tc>
        <w:tc>
          <w:tcPr>
            <w:tcW w:w="124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74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-234315</wp:posOffset>
            </wp:positionV>
            <wp:extent cx="4064000"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5">
                      <a:extLst>
                        <a:ext uri="{28A0092B-C50C-407E-A947-70E740481C1C}"/>
                      </a:extLst>
                    </a:blip>
                    <a:srcRect/>
                    <a:stretch>
                      <a:fillRect/>
                    </a:stretch>
                  </pic:blipFill>
                  <pic:spPr bwMode="auto">
                    <a:xfrm>
                      <a:off x="0" y="0"/>
                      <a:ext cx="4064000" cy="50800"/>
                    </a:xfrm>
                    <a:prstGeom prst="rect">
                      <a:avLst/>
                    </a:prstGeom>
                    <a:noFill/>
                  </pic:spPr>
                </pic:pic>
              </a:graphicData>
            </a:graphic>
          </wp:anchor>
        </w:drawing>
      </w:r>
    </w:p>
    <w:p>
      <w:pPr>
        <w:spacing w:after="0" w:line="48" w:lineRule="exact"/>
        <w:rPr>
          <w:sz w:val="20"/>
          <w:szCs w:val="20"/>
          <w:color w:val="auto"/>
        </w:rPr>
      </w:pPr>
    </w:p>
    <w:p>
      <w:pPr>
        <w:ind w:left="720" w:hanging="370"/>
        <w:spacing w:after="0" w:line="226" w:lineRule="auto"/>
        <w:tabs>
          <w:tab w:leader="none" w:pos="720" w:val="left"/>
        </w:tabs>
        <w:numPr>
          <w:ilvl w:val="0"/>
          <w:numId w:val="23"/>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This table excludes the gross value of fully amortized intangible assets totaling $52.5 million and $49.3 million on December 31, 2025 and 2024, respectively.</w:t>
      </w:r>
    </w:p>
    <w:p>
      <w:pPr>
        <w:spacing w:after="0" w:line="2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454546"/>
        </w:rPr>
        <w:t>Amortization expense is recorded in SG&amp;A expenses, except amortization expense related to capitalized software development costs, which is recorded in cost of sales. Amortization expense by statement of operations caption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35"/>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Cost of sales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8"/>
              <w:spacing w:after="0"/>
              <w:rPr>
                <w:sz w:val="20"/>
                <w:szCs w:val="20"/>
                <w:color w:val="auto"/>
              </w:rPr>
            </w:pPr>
            <w:r>
              <w:rPr>
                <w:rFonts w:ascii="Times New Roman" w:cs="Times New Roman" w:eastAsia="Times New Roman" w:hAnsi="Times New Roman"/>
                <w:sz w:val="20"/>
                <w:szCs w:val="20"/>
                <w:color w:val="454546"/>
              </w:rPr>
              <w:t>650</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729</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443</w:t>
            </w:r>
          </w:p>
        </w:tc>
      </w:tr>
      <w:tr>
        <w:trPr>
          <w:trHeight w:val="29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Selling, general and administrative expenses</w:t>
            </w: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8"/>
              <w:spacing w:after="0"/>
              <w:rPr>
                <w:sz w:val="20"/>
                <w:szCs w:val="20"/>
                <w:color w:val="auto"/>
              </w:rPr>
            </w:pPr>
            <w:r>
              <w:rPr>
                <w:rFonts w:ascii="Times New Roman" w:cs="Times New Roman" w:eastAsia="Times New Roman" w:hAnsi="Times New Roman"/>
                <w:sz w:val="20"/>
                <w:szCs w:val="20"/>
                <w:color w:val="454546"/>
              </w:rPr>
              <w:t>4,412</w:t>
            </w: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4,438</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4,440</w:t>
            </w:r>
          </w:p>
        </w:tc>
      </w:tr>
      <w:tr>
        <w:trPr>
          <w:trHeight w:val="280"/>
        </w:trPr>
        <w:tc>
          <w:tcPr>
            <w:tcW w:w="618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Total amortization expense</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8"/>
              <w:spacing w:after="0"/>
              <w:rPr>
                <w:sz w:val="20"/>
                <w:szCs w:val="20"/>
                <w:color w:val="auto"/>
              </w:rPr>
            </w:pPr>
            <w:r>
              <w:rPr>
                <w:rFonts w:ascii="Times New Roman" w:cs="Times New Roman" w:eastAsia="Times New Roman" w:hAnsi="Times New Roman"/>
                <w:sz w:val="20"/>
                <w:szCs w:val="20"/>
                <w:color w:val="454546"/>
              </w:rPr>
              <w:t>5,062</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5,167</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4,883</w:t>
            </w:r>
          </w:p>
        </w:tc>
      </w:tr>
      <w:tr>
        <w:trPr>
          <w:trHeight w:val="20"/>
        </w:trPr>
        <w:tc>
          <w:tcPr>
            <w:tcW w:w="61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-615315</wp:posOffset>
            </wp:positionV>
            <wp:extent cx="263207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177800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7">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8">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63</w:t>
      </w:r>
    </w:p>
    <w:p>
      <w:pPr>
        <w:sectPr>
          <w:pgSz w:w="11880" w:h="15480" w:orient="portrait"/>
          <w:cols w:equalWidth="0" w:num="1">
            <w:col w:w="10260"/>
          </w:cols>
          <w:pgMar w:left="820" w:top="213" w:right="800" w:bottom="0" w:gutter="0" w:footer="0" w:header="0"/>
          <w:type w:val="continuous"/>
        </w:sectPr>
      </w:pPr>
    </w:p>
    <w:bookmarkStart w:id="67" w:name="page68"/>
    <w:bookmarkEnd w:id="67"/>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Estimated future annual amortization expense related to our intangible assets at December 31, 2025 is as follows: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2026</w:t>
            </w:r>
          </w:p>
        </w:tc>
        <w:tc>
          <w:tcPr>
            <w:tcW w:w="420" w:type="dxa"/>
            <w:vAlign w:val="bottom"/>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4,913</w:t>
            </w:r>
          </w:p>
        </w:tc>
      </w:tr>
      <w:tr>
        <w:trPr>
          <w:trHeight w:val="294"/>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2027</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4,176</w:t>
            </w:r>
          </w:p>
        </w:tc>
      </w:tr>
      <w:tr>
        <w:trPr>
          <w:trHeight w:val="306"/>
        </w:trPr>
        <w:tc>
          <w:tcPr>
            <w:tcW w:w="8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2028</w:t>
            </w:r>
          </w:p>
        </w:tc>
        <w:tc>
          <w:tcPr>
            <w:tcW w:w="4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3,122</w:t>
            </w:r>
          </w:p>
        </w:tc>
      </w:tr>
      <w:tr>
        <w:trPr>
          <w:trHeight w:val="294"/>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2029</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2,972</w:t>
            </w:r>
          </w:p>
        </w:tc>
      </w:tr>
      <w:tr>
        <w:trPr>
          <w:trHeight w:val="306"/>
        </w:trPr>
        <w:tc>
          <w:tcPr>
            <w:tcW w:w="8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2030</w:t>
            </w:r>
          </w:p>
        </w:tc>
        <w:tc>
          <w:tcPr>
            <w:tcW w:w="4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2,371</w:t>
            </w:r>
          </w:p>
        </w:tc>
      </w:tr>
      <w:tr>
        <w:trPr>
          <w:trHeight w:val="290"/>
        </w:trPr>
        <w:tc>
          <w:tcPr>
            <w:tcW w:w="89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Thereafter</w:t>
            </w:r>
          </w:p>
        </w:tc>
        <w:tc>
          <w:tcPr>
            <w:tcW w:w="420" w:type="dxa"/>
            <w:vAlign w:val="bottom"/>
            <w:tcBorders>
              <w:bottom w:val="single" w:sz="8" w:color="454546"/>
            </w:tcBorders>
          </w:tcPr>
          <w:p>
            <w:pPr>
              <w:spacing w:after="0"/>
              <w:rPr>
                <w:sz w:val="24"/>
                <w:szCs w:val="24"/>
                <w:color w:val="auto"/>
              </w:rPr>
            </w:pPr>
          </w:p>
        </w:tc>
        <w:tc>
          <w:tcPr>
            <w:tcW w:w="9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4,414</w:t>
            </w:r>
          </w:p>
        </w:tc>
      </w:tr>
      <w:tr>
        <w:trPr>
          <w:trHeight w:val="285"/>
        </w:trPr>
        <w:tc>
          <w:tcPr>
            <w:tcW w:w="894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w:t>
            </w:r>
          </w:p>
        </w:tc>
        <w:tc>
          <w:tcPr>
            <w:tcW w:w="420" w:type="dxa"/>
            <w:vAlign w:val="bottom"/>
            <w:tcBorders>
              <w:bottom w:val="single" w:sz="8" w:color="454546"/>
            </w:tcBorders>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21,968</w:t>
            </w:r>
          </w:p>
        </w:tc>
      </w:tr>
      <w:tr>
        <w:trPr>
          <w:trHeight w:val="20"/>
        </w:trPr>
        <w:tc>
          <w:tcPr>
            <w:tcW w:w="8940" w:type="dxa"/>
            <w:vAlign w:val="bottom"/>
            <w:tcBorders>
              <w:top w:val="single" w:sz="8" w:color="E3E4E5"/>
            </w:tcBorders>
          </w:tcPr>
          <w:p>
            <w:pPr>
              <w:spacing w:after="0" w:line="20" w:lineRule="exact"/>
              <w:rPr>
                <w:sz w:val="1"/>
                <w:szCs w:val="1"/>
                <w:color w:val="auto"/>
              </w:rPr>
            </w:pPr>
          </w:p>
        </w:tc>
        <w:tc>
          <w:tcPr>
            <w:tcW w:w="420" w:type="dxa"/>
            <w:vAlign w:val="bottom"/>
            <w:tcBorders>
              <w:top w:val="single" w:sz="8" w:color="E3E4E5"/>
              <w:bottom w:val="single" w:sz="8" w:color="454546"/>
            </w:tcBorders>
          </w:tcPr>
          <w:p>
            <w:pPr>
              <w:spacing w:after="0" w:line="20" w:lineRule="exact"/>
              <w:rPr>
                <w:sz w:val="1"/>
                <w:szCs w:val="1"/>
                <w:color w:val="auto"/>
              </w:rPr>
            </w:pPr>
          </w:p>
        </w:tc>
        <w:tc>
          <w:tcPr>
            <w:tcW w:w="900" w:type="dxa"/>
            <w:vAlign w:val="bottom"/>
            <w:tcBorders>
              <w:top w:val="single" w:sz="8" w:color="E3E4E5"/>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5673090</wp:posOffset>
                </wp:positionH>
                <wp:positionV relativeFrom="paragraph">
                  <wp:posOffset>-215900</wp:posOffset>
                </wp:positionV>
                <wp:extent cx="13335" cy="1333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4E5"/>
                        </a:solidFill>
                      </wps:spPr>
                      <wps:bodyPr/>
                    </wps:wsp>
                  </a:graphicData>
                </a:graphic>
              </wp:anchor>
            </w:drawing>
          </mc:Choice>
          <mc:Fallback>
            <w:pict>
              <v:rect id="Shape 130" o:spid="_x0000_s1155" style="position:absolute;margin-left:446.7pt;margin-top:-17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5667375</wp:posOffset>
            </wp:positionH>
            <wp:positionV relativeFrom="paragraph">
              <wp:posOffset>-43815</wp:posOffset>
            </wp:positionV>
            <wp:extent cx="85407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9">
                      <a:extLst>
                        <a:ext uri="{28A0092B-C50C-407E-A947-70E740481C1C}"/>
                      </a:extLst>
                    </a:blip>
                    <a:srcRect/>
                    <a:stretch>
                      <a:fillRect/>
                    </a:stretch>
                  </pic:blipFill>
                  <pic:spPr bwMode="auto">
                    <a:xfrm>
                      <a:off x="0" y="0"/>
                      <a:ext cx="854075" cy="508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remaining weighted average amortization period of our intangible assets at December 31, 2025 is 6.1 years.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8 — Leases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have entered into various operating lease agreements for automobiles, offices and manufacturing facilities throughout the world. At December 31, 2025, our operating leases had remaining lease terms of up to 35 years, including any reasonably probable extensions.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Lease balances within our consolidated balance sheets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1500" w:type="dxa"/>
            <w:vAlign w:val="bottom"/>
            <w:tcBorders>
              <w:bottom w:val="single" w:sz="8" w:color="454546"/>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454546"/>
              </w:rPr>
              <w:t>December 31, 2025</w:t>
            </w:r>
          </w:p>
        </w:tc>
        <w:tc>
          <w:tcPr>
            <w:tcW w:w="80" w:type="dxa"/>
            <w:vAlign w:val="bottom"/>
            <w:tcBorders>
              <w:bottom w:val="single" w:sz="8" w:color="E3E4E5"/>
            </w:tcBorders>
          </w:tcPr>
          <w:p>
            <w:pPr>
              <w:spacing w:after="0"/>
              <w:rPr>
                <w:sz w:val="18"/>
                <w:szCs w:val="18"/>
                <w:color w:val="auto"/>
              </w:rPr>
            </w:pPr>
          </w:p>
        </w:tc>
        <w:tc>
          <w:tcPr>
            <w:tcW w:w="1500" w:type="dxa"/>
            <w:vAlign w:val="bottom"/>
            <w:tcBorders>
              <w:bottom w:val="single" w:sz="8" w:color="454546"/>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rPr>
              <w:t>December 31, 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Assets:</w:t>
            </w: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r>
      <w:tr>
        <w:trPr>
          <w:trHeight w:val="270"/>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Operating lease right-of-use assets</w:t>
            </w:r>
          </w:p>
        </w:tc>
        <w:tc>
          <w:tcPr>
            <w:tcW w:w="500" w:type="dxa"/>
            <w:vAlign w:val="bottom"/>
          </w:tcPr>
          <w:p>
            <w:pPr>
              <w:jc w:val="right"/>
              <w:ind w:right="265"/>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10,203</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14,322</w:t>
            </w:r>
          </w:p>
        </w:tc>
      </w:tr>
      <w:tr>
        <w:trPr>
          <w:trHeight w:val="20"/>
        </w:trPr>
        <w:tc>
          <w:tcPr>
            <w:tcW w:w="7180" w:type="dxa"/>
            <w:vAlign w:val="bottom"/>
            <w:tcBorders>
              <w:bottom w:val="single" w:sz="8" w:color="E3E4E5"/>
            </w:tcBorders>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r>
        <w:trPr>
          <w:trHeight w:val="27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Liabilities:</w:t>
            </w:r>
          </w:p>
        </w:tc>
        <w:tc>
          <w:tcPr>
            <w:tcW w:w="500" w:type="dxa"/>
            <w:vAlign w:val="bottom"/>
            <w:shd w:val="clear" w:color="auto" w:fill="E3E4E5"/>
          </w:tcPr>
          <w:p>
            <w:pPr>
              <w:spacing w:after="0"/>
              <w:rPr>
                <w:sz w:val="23"/>
                <w:szCs w:val="23"/>
                <w:color w:val="auto"/>
              </w:rPr>
            </w:pPr>
          </w:p>
        </w:tc>
        <w:tc>
          <w:tcPr>
            <w:tcW w:w="100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500" w:type="dxa"/>
            <w:vAlign w:val="bottom"/>
            <w:shd w:val="clear" w:color="auto" w:fill="E3E4E5"/>
          </w:tcPr>
          <w:p>
            <w:pPr>
              <w:spacing w:after="0"/>
              <w:rPr>
                <w:sz w:val="23"/>
                <w:szCs w:val="23"/>
                <w:color w:val="auto"/>
              </w:rPr>
            </w:pPr>
          </w:p>
        </w:tc>
        <w:tc>
          <w:tcPr>
            <w:tcW w:w="1000" w:type="dxa"/>
            <w:vAlign w:val="bottom"/>
            <w:shd w:val="clear" w:color="auto" w:fill="E3E4E5"/>
          </w:tcPr>
          <w:p>
            <w:pPr>
              <w:spacing w:after="0"/>
              <w:rPr>
                <w:sz w:val="23"/>
                <w:szCs w:val="23"/>
                <w:color w:val="auto"/>
              </w:rPr>
            </w:pPr>
          </w:p>
        </w:tc>
      </w:tr>
      <w:tr>
        <w:trPr>
          <w:trHeight w:val="293"/>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Other accrued liabilities</w:t>
            </w:r>
          </w:p>
        </w:tc>
        <w:tc>
          <w:tcPr>
            <w:tcW w:w="500" w:type="dxa"/>
            <w:vAlign w:val="bottom"/>
          </w:tcPr>
          <w:p>
            <w:pPr>
              <w:jc w:val="right"/>
              <w:ind w:right="265"/>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3,213</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3,553</w:t>
            </w:r>
          </w:p>
        </w:tc>
      </w:tr>
      <w:tr>
        <w:trPr>
          <w:trHeight w:val="297"/>
        </w:trPr>
        <w:tc>
          <w:tcPr>
            <w:tcW w:w="718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Long-term operating lease obligations</w:t>
            </w: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6,193</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9,232</w:t>
            </w:r>
          </w:p>
        </w:tc>
      </w:tr>
      <w:tr>
        <w:trPr>
          <w:trHeight w:val="260"/>
        </w:trPr>
        <w:tc>
          <w:tcPr>
            <w:tcW w:w="7180" w:type="dxa"/>
            <w:vAlign w:val="bottom"/>
          </w:tcPr>
          <w:p>
            <w:pPr>
              <w:ind w:left="860"/>
              <w:spacing w:after="0"/>
              <w:rPr>
                <w:sz w:val="20"/>
                <w:szCs w:val="20"/>
                <w:color w:val="auto"/>
              </w:rPr>
            </w:pPr>
            <w:r>
              <w:rPr>
                <w:rFonts w:ascii="Times New Roman" w:cs="Times New Roman" w:eastAsia="Times New Roman" w:hAnsi="Times New Roman"/>
                <w:sz w:val="20"/>
                <w:szCs w:val="20"/>
                <w:color w:val="454546"/>
              </w:rPr>
              <w:t>Total lease liabilities</w:t>
            </w:r>
          </w:p>
        </w:tc>
        <w:tc>
          <w:tcPr>
            <w:tcW w:w="500" w:type="dxa"/>
            <w:vAlign w:val="bottom"/>
          </w:tcPr>
          <w:p>
            <w:pPr>
              <w:jc w:val="right"/>
              <w:ind w:right="265"/>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9,406</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12,785</w:t>
            </w:r>
          </w:p>
        </w:tc>
      </w:tr>
      <w:tr>
        <w:trPr>
          <w:trHeight w:val="20"/>
        </w:trPr>
        <w:tc>
          <w:tcPr>
            <w:tcW w:w="71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-1186815</wp:posOffset>
            </wp:positionV>
            <wp:extent cx="200342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0">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-818515</wp:posOffset>
            </wp:positionV>
            <wp:extent cx="2003425" cy="76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1">
                      <a:extLst>
                        <a:ext uri="{28A0092B-C50C-407E-A947-70E740481C1C}"/>
                      </a:extLst>
                    </a:blip>
                    <a:srcRect/>
                    <a:stretch>
                      <a:fillRect/>
                    </a:stretch>
                  </pic:blipFill>
                  <pic:spPr bwMode="auto">
                    <a:xfrm>
                      <a:off x="0" y="0"/>
                      <a:ext cx="2003425" cy="762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2">
                      <a:extLst>
                        <a:ext uri="{28A0092B-C50C-407E-A947-70E740481C1C}"/>
                      </a:extLst>
                    </a:blip>
                    <a:srcRect/>
                    <a:stretch>
                      <a:fillRect/>
                    </a:stretch>
                  </pic:blipFill>
                  <pic:spPr bwMode="auto">
                    <a:xfrm>
                      <a:off x="0" y="0"/>
                      <a:ext cx="1025525" cy="508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Operating lease expense, operating lease cash flows and supplemental cash flow information were as follows: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top w:val="single" w:sz="8" w:color="454546"/>
              <w:bottom w:val="single" w:sz="8" w:color="454546"/>
            </w:tcBorders>
          </w:tcPr>
          <w:p>
            <w:pPr>
              <w:spacing w:after="0"/>
              <w:rPr>
                <w:sz w:val="19"/>
                <w:szCs w:val="19"/>
                <w:color w:val="auto"/>
              </w:rPr>
            </w:pPr>
          </w:p>
        </w:tc>
        <w:tc>
          <w:tcPr>
            <w:tcW w:w="980" w:type="dxa"/>
            <w:vAlign w:val="bottom"/>
            <w:tcBorders>
              <w:top w:val="single" w:sz="8" w:color="454546"/>
              <w:bottom w:val="single" w:sz="8" w:color="454546"/>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top w:val="single" w:sz="8" w:color="454546"/>
              <w:bottom w:val="single" w:sz="8" w:color="E3E4E5"/>
            </w:tcBorders>
          </w:tcPr>
          <w:p>
            <w:pPr>
              <w:spacing w:after="0"/>
              <w:rPr>
                <w:sz w:val="19"/>
                <w:szCs w:val="19"/>
                <w:color w:val="auto"/>
              </w:rPr>
            </w:pPr>
          </w:p>
        </w:tc>
        <w:tc>
          <w:tcPr>
            <w:tcW w:w="320" w:type="dxa"/>
            <w:vAlign w:val="bottom"/>
            <w:tcBorders>
              <w:top w:val="single" w:sz="8" w:color="454546"/>
              <w:bottom w:val="single" w:sz="8" w:color="454546"/>
            </w:tcBorders>
          </w:tcPr>
          <w:p>
            <w:pPr>
              <w:spacing w:after="0"/>
              <w:rPr>
                <w:sz w:val="19"/>
                <w:szCs w:val="19"/>
                <w:color w:val="auto"/>
              </w:rPr>
            </w:pPr>
          </w:p>
        </w:tc>
        <w:tc>
          <w:tcPr>
            <w:tcW w:w="980" w:type="dxa"/>
            <w:vAlign w:val="bottom"/>
            <w:tcBorders>
              <w:top w:val="single" w:sz="8" w:color="454546"/>
              <w:bottom w:val="single" w:sz="8" w:color="454546"/>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E3E4E5"/>
            </w:tcBorders>
          </w:tcPr>
          <w:p>
            <w:pPr>
              <w:spacing w:after="0"/>
              <w:rPr>
                <w:sz w:val="19"/>
                <w:szCs w:val="19"/>
                <w:color w:val="auto"/>
              </w:rPr>
            </w:pPr>
          </w:p>
        </w:tc>
        <w:tc>
          <w:tcPr>
            <w:tcW w:w="340" w:type="dxa"/>
            <w:vAlign w:val="bottom"/>
            <w:tcBorders>
              <w:top w:val="single" w:sz="8" w:color="454546"/>
              <w:bottom w:val="single" w:sz="8" w:color="454546"/>
            </w:tcBorders>
          </w:tcPr>
          <w:p>
            <w:pPr>
              <w:spacing w:after="0"/>
              <w:rPr>
                <w:sz w:val="19"/>
                <w:szCs w:val="19"/>
                <w:color w:val="auto"/>
              </w:rPr>
            </w:pPr>
          </w:p>
        </w:tc>
        <w:tc>
          <w:tcPr>
            <w:tcW w:w="960" w:type="dxa"/>
            <w:vAlign w:val="bottom"/>
            <w:tcBorders>
              <w:top w:val="single" w:sz="8" w:color="454546"/>
              <w:bottom w:val="single" w:sz="8" w:color="454546"/>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0" w:type="dxa"/>
            <w:vAlign w:val="bottom"/>
          </w:tcPr>
          <w:p>
            <w:pPr>
              <w:spacing w:after="0"/>
              <w:rPr>
                <w:sz w:val="1"/>
                <w:szCs w:val="1"/>
                <w:color w:val="auto"/>
              </w:rPr>
            </w:pPr>
          </w:p>
        </w:tc>
      </w:tr>
      <w:tr>
        <w:trPr>
          <w:trHeight w:val="290"/>
        </w:trPr>
        <w:tc>
          <w:tcPr>
            <w:tcW w:w="61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Cost of sales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1,312</w:t>
            </w:r>
          </w:p>
        </w:tc>
        <w:tc>
          <w:tcPr>
            <w:tcW w:w="40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2,390</w:t>
            </w:r>
          </w:p>
        </w:tc>
        <w:tc>
          <w:tcPr>
            <w:tcW w:w="42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3,012</w:t>
            </w:r>
          </w:p>
        </w:tc>
        <w:tc>
          <w:tcPr>
            <w:tcW w:w="0" w:type="dxa"/>
            <w:vAlign w:val="bottom"/>
          </w:tcPr>
          <w:p>
            <w:pPr>
              <w:spacing w:after="0"/>
              <w:rPr>
                <w:sz w:val="1"/>
                <w:szCs w:val="1"/>
                <w:color w:val="auto"/>
              </w:rPr>
            </w:pPr>
          </w:p>
        </w:tc>
      </w:tr>
      <w:tr>
        <w:trPr>
          <w:trHeight w:val="290"/>
        </w:trPr>
        <w:tc>
          <w:tcPr>
            <w:tcW w:w="61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Selling, general and administrative expenses</w:t>
            </w:r>
          </w:p>
        </w:tc>
        <w:tc>
          <w:tcPr>
            <w:tcW w:w="32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5,954</w:t>
            </w:r>
          </w:p>
        </w:tc>
        <w:tc>
          <w:tcPr>
            <w:tcW w:w="80" w:type="dxa"/>
            <w:vAlign w:val="bottom"/>
            <w:tcBorders>
              <w:bottom w:val="single" w:sz="8" w:color="E3E4E5"/>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5,017</w:t>
            </w:r>
          </w:p>
        </w:tc>
        <w:tc>
          <w:tcPr>
            <w:tcW w:w="8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4,378</w:t>
            </w:r>
          </w:p>
        </w:tc>
        <w:tc>
          <w:tcPr>
            <w:tcW w:w="0" w:type="dxa"/>
            <w:vAlign w:val="bottom"/>
          </w:tcPr>
          <w:p>
            <w:pPr>
              <w:spacing w:after="0"/>
              <w:rPr>
                <w:sz w:val="1"/>
                <w:szCs w:val="1"/>
                <w:color w:val="auto"/>
              </w:rPr>
            </w:pPr>
          </w:p>
        </w:tc>
      </w:tr>
      <w:tr>
        <w:trPr>
          <w:trHeight w:val="280"/>
        </w:trPr>
        <w:tc>
          <w:tcPr>
            <w:tcW w:w="61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operating lease expense</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7,266</w:t>
            </w:r>
          </w:p>
        </w:tc>
        <w:tc>
          <w:tcPr>
            <w:tcW w:w="40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7,407</w:t>
            </w:r>
          </w:p>
        </w:tc>
        <w:tc>
          <w:tcPr>
            <w:tcW w:w="42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7,390</w:t>
            </w:r>
          </w:p>
        </w:tc>
        <w:tc>
          <w:tcPr>
            <w:tcW w:w="0" w:type="dxa"/>
            <w:vAlign w:val="bottom"/>
          </w:tcPr>
          <w:p>
            <w:pPr>
              <w:spacing w:after="0"/>
              <w:rPr>
                <w:sz w:val="1"/>
                <w:szCs w:val="1"/>
                <w:color w:val="auto"/>
              </w:rPr>
            </w:pPr>
          </w:p>
        </w:tc>
      </w:tr>
      <w:tr>
        <w:trPr>
          <w:trHeight w:val="20"/>
        </w:trPr>
        <w:tc>
          <w:tcPr>
            <w:tcW w:w="614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61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Operating lease expenses from variable and short-term lease costs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1,401</w:t>
            </w:r>
          </w:p>
        </w:tc>
        <w:tc>
          <w:tcPr>
            <w:tcW w:w="40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1,146</w:t>
            </w:r>
          </w:p>
        </w:tc>
        <w:tc>
          <w:tcPr>
            <w:tcW w:w="42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1,033</w:t>
            </w:r>
          </w:p>
        </w:tc>
        <w:tc>
          <w:tcPr>
            <w:tcW w:w="0" w:type="dxa"/>
            <w:vAlign w:val="bottom"/>
          </w:tcPr>
          <w:p>
            <w:pPr>
              <w:spacing w:after="0"/>
              <w:rPr>
                <w:sz w:val="1"/>
                <w:szCs w:val="1"/>
                <w:color w:val="auto"/>
              </w:rPr>
            </w:pPr>
          </w:p>
        </w:tc>
      </w:tr>
      <w:tr>
        <w:trPr>
          <w:trHeight w:val="294"/>
        </w:trPr>
        <w:tc>
          <w:tcPr>
            <w:tcW w:w="614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Operating cash outflows from operating leases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6,002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8,152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7,736</w:t>
            </w:r>
          </w:p>
        </w:tc>
        <w:tc>
          <w:tcPr>
            <w:tcW w:w="0" w:type="dxa"/>
            <w:vAlign w:val="bottom"/>
          </w:tcPr>
          <w:p>
            <w:pPr>
              <w:spacing w:after="0"/>
              <w:rPr>
                <w:sz w:val="1"/>
                <w:szCs w:val="1"/>
                <w:color w:val="auto"/>
              </w:rPr>
            </w:pPr>
          </w:p>
        </w:tc>
      </w:tr>
      <w:tr>
        <w:trPr>
          <w:trHeight w:val="199"/>
        </w:trPr>
        <w:tc>
          <w:tcPr>
            <w:tcW w:w="6140" w:type="dxa"/>
            <w:vAlign w:val="bottom"/>
            <w:shd w:val="clear" w:color="auto" w:fill="E3E4E5"/>
          </w:tcPr>
          <w:p>
            <w:pPr>
              <w:ind w:left="40"/>
              <w:spacing w:after="0" w:line="199" w:lineRule="exact"/>
              <w:rPr>
                <w:sz w:val="20"/>
                <w:szCs w:val="20"/>
                <w:color w:val="auto"/>
              </w:rPr>
            </w:pPr>
            <w:r>
              <w:rPr>
                <w:rFonts w:ascii="Times New Roman" w:cs="Times New Roman" w:eastAsia="Times New Roman" w:hAnsi="Times New Roman"/>
                <w:sz w:val="20"/>
                <w:szCs w:val="20"/>
                <w:color w:val="454546"/>
              </w:rPr>
              <w:t>Operating lease right-of-use assets obtained in exchange for lease</w:t>
            </w:r>
          </w:p>
        </w:tc>
        <w:tc>
          <w:tcPr>
            <w:tcW w:w="320" w:type="dxa"/>
            <w:vAlign w:val="bottom"/>
            <w:vMerge w:val="restart"/>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4,806</w:t>
            </w:r>
          </w:p>
        </w:tc>
        <w:tc>
          <w:tcPr>
            <w:tcW w:w="400" w:type="dxa"/>
            <w:vAlign w:val="bottom"/>
            <w:gridSpan w:val="2"/>
            <w:vMerge w:val="restart"/>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1,249</w:t>
            </w:r>
          </w:p>
        </w:tc>
        <w:tc>
          <w:tcPr>
            <w:tcW w:w="420" w:type="dxa"/>
            <w:vAlign w:val="bottom"/>
            <w:gridSpan w:val="2"/>
            <w:vMerge w:val="restart"/>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4,360</w:t>
            </w:r>
          </w:p>
        </w:tc>
        <w:tc>
          <w:tcPr>
            <w:tcW w:w="0" w:type="dxa"/>
            <w:vAlign w:val="bottom"/>
          </w:tcPr>
          <w:p>
            <w:pPr>
              <w:spacing w:after="0"/>
              <w:rPr>
                <w:sz w:val="1"/>
                <w:szCs w:val="1"/>
                <w:color w:val="auto"/>
              </w:rPr>
            </w:pPr>
          </w:p>
        </w:tc>
      </w:tr>
      <w:tr>
        <w:trPr>
          <w:trHeight w:val="273"/>
        </w:trPr>
        <w:tc>
          <w:tcPr>
            <w:tcW w:w="61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obligations</w:t>
            </w:r>
          </w:p>
        </w:tc>
        <w:tc>
          <w:tcPr>
            <w:tcW w:w="320" w:type="dxa"/>
            <w:vAlign w:val="bottom"/>
            <w:vMerge w:val="continue"/>
            <w:shd w:val="clear" w:color="auto" w:fill="E3E4E5"/>
          </w:tcPr>
          <w:p>
            <w:pPr>
              <w:spacing w:after="0"/>
              <w:rPr>
                <w:sz w:val="23"/>
                <w:szCs w:val="23"/>
                <w:color w:val="auto"/>
              </w:rPr>
            </w:pPr>
          </w:p>
        </w:tc>
        <w:tc>
          <w:tcPr>
            <w:tcW w:w="980" w:type="dxa"/>
            <w:vAlign w:val="bottom"/>
            <w:vMerge w:val="continue"/>
            <w:shd w:val="clear" w:color="auto" w:fill="E3E4E5"/>
          </w:tcPr>
          <w:p>
            <w:pPr>
              <w:spacing w:after="0"/>
              <w:rPr>
                <w:sz w:val="23"/>
                <w:szCs w:val="23"/>
                <w:color w:val="auto"/>
              </w:rPr>
            </w:pPr>
          </w:p>
        </w:tc>
        <w:tc>
          <w:tcPr>
            <w:tcW w:w="400" w:type="dxa"/>
            <w:vAlign w:val="bottom"/>
            <w:gridSpan w:val="2"/>
            <w:vMerge w:val="continue"/>
            <w:shd w:val="clear" w:color="auto" w:fill="E3E4E5"/>
          </w:tcPr>
          <w:p>
            <w:pPr>
              <w:spacing w:after="0"/>
              <w:rPr>
                <w:sz w:val="23"/>
                <w:szCs w:val="23"/>
                <w:color w:val="auto"/>
              </w:rPr>
            </w:pPr>
          </w:p>
        </w:tc>
        <w:tc>
          <w:tcPr>
            <w:tcW w:w="980" w:type="dxa"/>
            <w:vAlign w:val="bottom"/>
            <w:vMerge w:val="continue"/>
            <w:shd w:val="clear" w:color="auto" w:fill="E3E4E5"/>
          </w:tcPr>
          <w:p>
            <w:pPr>
              <w:spacing w:after="0"/>
              <w:rPr>
                <w:sz w:val="23"/>
                <w:szCs w:val="23"/>
                <w:color w:val="auto"/>
              </w:rPr>
            </w:pPr>
          </w:p>
        </w:tc>
        <w:tc>
          <w:tcPr>
            <w:tcW w:w="420" w:type="dxa"/>
            <w:vAlign w:val="bottom"/>
            <w:gridSpan w:val="2"/>
            <w:vMerge w:val="continue"/>
            <w:shd w:val="clear" w:color="auto" w:fill="E3E4E5"/>
          </w:tcPr>
          <w:p>
            <w:pPr>
              <w:spacing w:after="0"/>
              <w:rPr>
                <w:sz w:val="23"/>
                <w:szCs w:val="23"/>
                <w:color w:val="auto"/>
              </w:rPr>
            </w:pPr>
          </w:p>
        </w:tc>
        <w:tc>
          <w:tcPr>
            <w:tcW w:w="96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-1463040</wp:posOffset>
            </wp:positionV>
            <wp:extent cx="263207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3">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-1082040</wp:posOffset>
            </wp:positionV>
            <wp:extent cx="1778000"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4">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-904240</wp:posOffset>
            </wp:positionV>
            <wp:extent cx="2632075" cy="76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5">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3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As part of our continued evaluation of our global manufacturing footprint and our overall cost optimization and return to profitability strategy, we ceased production activities and shut down our manufacturing facility in Mexico and vacated and abandoned our office space in Carlsbad, California. As a result of these actions, we reassessed our Mexico factory lease and recorded a decrease of $0.7 million and $0.8 million to our Mexico operating lease ROU asset and lease liability, respectively, during the year ended December 31, 2025. In addition, the estimated useful lives of the Mexico and Carlsbad related ROU assets were revised to reflect shorter lease terms than those originally estimated at lease inception. A change in the estimated useful life of a long-lived asset represents a change in accounting estimate and is accounted for prospectively. The Mexico</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64</w:t>
      </w:r>
    </w:p>
    <w:p>
      <w:pPr>
        <w:sectPr>
          <w:pgSz w:w="11880" w:h="15480" w:orient="portrait"/>
          <w:cols w:equalWidth="0" w:num="1">
            <w:col w:w="10260"/>
          </w:cols>
          <w:pgMar w:left="820" w:top="213" w:right="800" w:bottom="0" w:gutter="0" w:footer="0" w:header="0"/>
          <w:type w:val="continuous"/>
        </w:sectPr>
      </w:pPr>
    </w:p>
    <w:bookmarkStart w:id="68" w:name="page69"/>
    <w:bookmarkEnd w:id="68"/>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ROU asset was fully amortized by December 31, 2025. The Carlsbad ROU asset was fully amortized by December 31, 2025 and we recognized accelerated amortization of $1.3 million during the year ended December 31, 2025.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weighted average remaining lease liability term and the weighted average discount rate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080" w:type="dxa"/>
            <w:vAlign w:val="bottom"/>
            <w:tcBorders>
              <w:bottom w:val="single" w:sz="8" w:color="454546"/>
            </w:tcBorders>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20"/>
        </w:trPr>
        <w:tc>
          <w:tcPr>
            <w:tcW w:w="7180" w:type="dxa"/>
            <w:vAlign w:val="bottom"/>
          </w:tcPr>
          <w:p>
            <w:pPr>
              <w:spacing w:after="0"/>
              <w:rPr>
                <w:sz w:val="19"/>
                <w:szCs w:val="19"/>
                <w:color w:val="auto"/>
              </w:rPr>
            </w:pPr>
          </w:p>
        </w:tc>
        <w:tc>
          <w:tcPr>
            <w:tcW w:w="150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tcBorders>
              <w:top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Weighted average lease liability term (in years)</w:t>
            </w:r>
          </w:p>
        </w:tc>
        <w:tc>
          <w:tcPr>
            <w:tcW w:w="150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4.3</w:t>
            </w:r>
          </w:p>
        </w:tc>
        <w:tc>
          <w:tcPr>
            <w:tcW w:w="80" w:type="dxa"/>
            <w:vAlign w:val="bottom"/>
            <w:tcBorders>
              <w:top w:val="single" w:sz="8" w:color="E3E4E5"/>
            </w:tcBorders>
            <w:shd w:val="clear" w:color="auto" w:fill="E3E4E5"/>
          </w:tcPr>
          <w:p>
            <w:pPr>
              <w:spacing w:after="0"/>
              <w:rPr>
                <w:sz w:val="24"/>
                <w:szCs w:val="24"/>
                <w:color w:val="auto"/>
              </w:rPr>
            </w:pPr>
          </w:p>
        </w:tc>
        <w:tc>
          <w:tcPr>
            <w:tcW w:w="150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4.6</w:t>
            </w:r>
          </w:p>
        </w:tc>
      </w:tr>
      <w:tr>
        <w:trPr>
          <w:trHeight w:val="287"/>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Weighted average discount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5.80 %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-397510</wp:posOffset>
            </wp:positionV>
            <wp:extent cx="200342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6">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The following table reconciles the undiscounted cash flows for each of the first five years and thereafter to the operating lease liabilities recognized in our consolidated balance sheet at December 31, 2025. The reconciliation excludes short-term leases that are not recorded on the balance sheet.</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2026</w:t>
            </w:r>
          </w:p>
        </w:tc>
        <w:tc>
          <w:tcPr>
            <w:tcW w:w="760" w:type="dxa"/>
            <w:vAlign w:val="bottom"/>
            <w:shd w:val="clear" w:color="auto" w:fill="E3E4E5"/>
          </w:tcPr>
          <w:p>
            <w:pPr>
              <w:jc w:val="right"/>
              <w:ind w:right="520"/>
              <w:spacing w:after="0"/>
              <w:rPr>
                <w:sz w:val="20"/>
                <w:szCs w:val="20"/>
                <w:color w:val="auto"/>
              </w:rPr>
            </w:pPr>
            <w:r>
              <w:rPr>
                <w:rFonts w:ascii="Times New Roman" w:cs="Times New Roman" w:eastAsia="Times New Roman" w:hAnsi="Times New Roman"/>
                <w:sz w:val="20"/>
                <w:szCs w:val="20"/>
                <w:color w:val="454546"/>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3,519</w:t>
            </w:r>
          </w:p>
        </w:tc>
      </w:tr>
      <w:tr>
        <w:trPr>
          <w:trHeight w:val="279"/>
        </w:trPr>
        <w:tc>
          <w:tcPr>
            <w:tcW w:w="826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2027</w:t>
            </w:r>
          </w:p>
        </w:tc>
        <w:tc>
          <w:tcPr>
            <w:tcW w:w="7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2,958</w:t>
            </w:r>
          </w:p>
        </w:tc>
      </w:tr>
      <w:tr>
        <w:trPr>
          <w:trHeight w:val="292"/>
        </w:trPr>
        <w:tc>
          <w:tcPr>
            <w:tcW w:w="8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2028</w:t>
            </w:r>
          </w:p>
        </w:tc>
        <w:tc>
          <w:tcPr>
            <w:tcW w:w="760" w:type="dxa"/>
            <w:vAlign w:val="bottom"/>
            <w:shd w:val="clear" w:color="auto" w:fill="E3E4E5"/>
          </w:tcPr>
          <w:p>
            <w:pPr>
              <w:spacing w:after="0"/>
              <w:rPr>
                <w:sz w:val="24"/>
                <w:szCs w:val="24"/>
                <w:color w:val="auto"/>
              </w:rPr>
            </w:pP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1,201</w:t>
            </w:r>
          </w:p>
        </w:tc>
      </w:tr>
      <w:tr>
        <w:trPr>
          <w:trHeight w:val="278"/>
        </w:trPr>
        <w:tc>
          <w:tcPr>
            <w:tcW w:w="826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2029</w:t>
            </w:r>
          </w:p>
        </w:tc>
        <w:tc>
          <w:tcPr>
            <w:tcW w:w="7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584</w:t>
            </w:r>
          </w:p>
        </w:tc>
      </w:tr>
      <w:tr>
        <w:trPr>
          <w:trHeight w:val="292"/>
        </w:trPr>
        <w:tc>
          <w:tcPr>
            <w:tcW w:w="8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2030</w:t>
            </w:r>
          </w:p>
        </w:tc>
        <w:tc>
          <w:tcPr>
            <w:tcW w:w="760" w:type="dxa"/>
            <w:vAlign w:val="bottom"/>
            <w:shd w:val="clear" w:color="auto" w:fill="E3E4E5"/>
          </w:tcPr>
          <w:p>
            <w:pPr>
              <w:spacing w:after="0"/>
              <w:rPr>
                <w:sz w:val="24"/>
                <w:szCs w:val="24"/>
                <w:color w:val="auto"/>
              </w:rPr>
            </w:pP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487</w:t>
            </w:r>
          </w:p>
        </w:tc>
      </w:tr>
      <w:tr>
        <w:trPr>
          <w:trHeight w:val="275"/>
        </w:trPr>
        <w:tc>
          <w:tcPr>
            <w:tcW w:w="826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Thereafter</w:t>
            </w:r>
          </w:p>
        </w:tc>
        <w:tc>
          <w:tcPr>
            <w:tcW w:w="760" w:type="dxa"/>
            <w:vAlign w:val="bottom"/>
            <w:tcBorders>
              <w:bottom w:val="single" w:sz="8" w:color="454546"/>
            </w:tcBorders>
          </w:tcPr>
          <w:p>
            <w:pPr>
              <w:spacing w:after="0"/>
              <w:rPr>
                <w:sz w:val="23"/>
                <w:szCs w:val="23"/>
                <w:color w:val="auto"/>
              </w:rPr>
            </w:pPr>
          </w:p>
        </w:tc>
        <w:tc>
          <w:tcPr>
            <w:tcW w:w="12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1,661</w:t>
            </w:r>
          </w:p>
        </w:tc>
      </w:tr>
      <w:tr>
        <w:trPr>
          <w:trHeight w:val="275"/>
        </w:trPr>
        <w:tc>
          <w:tcPr>
            <w:tcW w:w="826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lease payments</w:t>
            </w:r>
          </w:p>
        </w:tc>
        <w:tc>
          <w:tcPr>
            <w:tcW w:w="760" w:type="dxa"/>
            <w:vAlign w:val="bottom"/>
            <w:shd w:val="clear" w:color="auto" w:fill="E3E4E5"/>
          </w:tcPr>
          <w:p>
            <w:pPr>
              <w:spacing w:after="0"/>
              <w:rPr>
                <w:sz w:val="23"/>
                <w:szCs w:val="23"/>
                <w:color w:val="auto"/>
              </w:rPr>
            </w:pP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10,410</w:t>
            </w:r>
          </w:p>
        </w:tc>
      </w:tr>
      <w:tr>
        <w:trPr>
          <w:trHeight w:val="275"/>
        </w:trPr>
        <w:tc>
          <w:tcPr>
            <w:tcW w:w="826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Less: imputed interest</w:t>
            </w:r>
          </w:p>
        </w:tc>
        <w:tc>
          <w:tcPr>
            <w:tcW w:w="760" w:type="dxa"/>
            <w:vAlign w:val="bottom"/>
            <w:tcBorders>
              <w:bottom w:val="single" w:sz="8" w:color="454546"/>
            </w:tcBorders>
          </w:tcPr>
          <w:p>
            <w:pPr>
              <w:spacing w:after="0"/>
              <w:rPr>
                <w:sz w:val="23"/>
                <w:szCs w:val="23"/>
                <w:color w:val="auto"/>
              </w:rPr>
            </w:pPr>
          </w:p>
        </w:tc>
        <w:tc>
          <w:tcPr>
            <w:tcW w:w="12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(1,004)</w:t>
            </w:r>
          </w:p>
        </w:tc>
      </w:tr>
      <w:tr>
        <w:trPr>
          <w:trHeight w:val="270"/>
        </w:trPr>
        <w:tc>
          <w:tcPr>
            <w:tcW w:w="826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lease liabilities</w:t>
            </w:r>
          </w:p>
        </w:tc>
        <w:tc>
          <w:tcPr>
            <w:tcW w:w="760" w:type="dxa"/>
            <w:vAlign w:val="bottom"/>
            <w:tcBorders>
              <w:bottom w:val="single" w:sz="8" w:color="454546"/>
            </w:tcBorders>
            <w:shd w:val="clear" w:color="auto" w:fill="E3E4E5"/>
          </w:tcPr>
          <w:p>
            <w:pPr>
              <w:jc w:val="right"/>
              <w:ind w:right="520"/>
              <w:spacing w:after="0"/>
              <w:rPr>
                <w:sz w:val="20"/>
                <w:szCs w:val="20"/>
                <w:color w:val="auto"/>
              </w:rPr>
            </w:pPr>
            <w:r>
              <w:rPr>
                <w:rFonts w:ascii="Times New Roman" w:cs="Times New Roman" w:eastAsia="Times New Roman" w:hAnsi="Times New Roman"/>
                <w:sz w:val="20"/>
                <w:szCs w:val="20"/>
                <w:color w:val="454546"/>
              </w:rPr>
              <w:t>$</w:t>
            </w:r>
          </w:p>
        </w:tc>
        <w:tc>
          <w:tcPr>
            <w:tcW w:w="12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9,406</w:t>
            </w:r>
          </w:p>
        </w:tc>
      </w:tr>
      <w:tr>
        <w:trPr>
          <w:trHeight w:val="20"/>
        </w:trPr>
        <w:tc>
          <w:tcPr>
            <w:tcW w:w="8260" w:type="dxa"/>
            <w:vAlign w:val="bottom"/>
            <w:tcBorders>
              <w:top w:val="single" w:sz="8" w:color="E3E4E5"/>
            </w:tcBorders>
          </w:tcPr>
          <w:p>
            <w:pPr>
              <w:spacing w:after="0" w:line="20" w:lineRule="exact"/>
              <w:rPr>
                <w:sz w:val="1"/>
                <w:szCs w:val="1"/>
                <w:color w:val="auto"/>
              </w:rPr>
            </w:pPr>
          </w:p>
        </w:tc>
        <w:tc>
          <w:tcPr>
            <w:tcW w:w="760" w:type="dxa"/>
            <w:vAlign w:val="bottom"/>
            <w:tcBorders>
              <w:top w:val="single" w:sz="8" w:color="E3E4E5"/>
              <w:bottom w:val="single" w:sz="8" w:color="454546"/>
            </w:tcBorders>
          </w:tcPr>
          <w:p>
            <w:pPr>
              <w:spacing w:after="0" w:line="20" w:lineRule="exact"/>
              <w:rPr>
                <w:sz w:val="1"/>
                <w:szCs w:val="1"/>
                <w:color w:val="auto"/>
              </w:rPr>
            </w:pPr>
          </w:p>
        </w:tc>
        <w:tc>
          <w:tcPr>
            <w:tcW w:w="1240" w:type="dxa"/>
            <w:vAlign w:val="bottom"/>
            <w:tcBorders>
              <w:top w:val="single" w:sz="8" w:color="E3E4E5"/>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5234940</wp:posOffset>
                </wp:positionH>
                <wp:positionV relativeFrom="paragraph">
                  <wp:posOffset>-568325</wp:posOffset>
                </wp:positionV>
                <wp:extent cx="13335" cy="1333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4E5"/>
                        </a:solidFill>
                      </wps:spPr>
                      <wps:bodyPr/>
                    </wps:wsp>
                  </a:graphicData>
                </a:graphic>
              </wp:anchor>
            </w:drawing>
          </mc:Choice>
          <mc:Fallback>
            <w:pict>
              <v:rect id="Shape 139" o:spid="_x0000_s1164" style="position:absolute;margin-left:412.2pt;margin-top:-44.74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5234940</wp:posOffset>
                </wp:positionH>
                <wp:positionV relativeFrom="paragraph">
                  <wp:posOffset>-206375</wp:posOffset>
                </wp:positionV>
                <wp:extent cx="13335" cy="1333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4E5"/>
                        </a:solidFill>
                      </wps:spPr>
                      <wps:bodyPr/>
                    </wps:wsp>
                  </a:graphicData>
                </a:graphic>
              </wp:anchor>
            </w:drawing>
          </mc:Choice>
          <mc:Fallback>
            <w:pict>
              <v:rect id="Shape 140" o:spid="_x0000_s1165" style="position:absolute;margin-left:412.2pt;margin-top:-16.24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5216525</wp:posOffset>
            </wp:positionH>
            <wp:positionV relativeFrom="paragraph">
              <wp:posOffset>-56515</wp:posOffset>
            </wp:positionV>
            <wp:extent cx="1317625" cy="762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7">
                      <a:extLst>
                        <a:ext uri="{28A0092B-C50C-407E-A947-70E740481C1C}"/>
                      </a:extLst>
                    </a:blip>
                    <a:srcRect/>
                    <a:stretch>
                      <a:fillRect/>
                    </a:stretch>
                  </pic:blipFill>
                  <pic:spPr bwMode="auto">
                    <a:xfrm>
                      <a:off x="0" y="0"/>
                      <a:ext cx="1317625" cy="762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At December 31, 2025, we did not have any operating leases that had not yet commenced.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Prepaid Land Lease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operate one factory within the PRC on which the land is leased from the government as of December 31, 2025. This land lease was prepaid to the PRC government at the time our subsidiary occupied the land. We have obtained a land-use right certificate for the land pertaining to this factory.</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 factory is located in the city of Yangzhou in the Jiangsu province. The remaining net book value of this operating lease ROU asset was $2.1 million at December 31, 2025, and is being amortized on a straight-line basis over the remaining term of approximately 33 years. The buildings located on this land had a net book value of $10.6 million at December 31, 2025 and are being depreciated over a remaining weighted average period of approximately 14 years.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65</w:t>
      </w:r>
    </w:p>
    <w:p>
      <w:pPr>
        <w:sectPr>
          <w:pgSz w:w="11880" w:h="15480" w:orient="portrait"/>
          <w:cols w:equalWidth="0" w:num="1">
            <w:col w:w="10260"/>
          </w:cols>
          <w:pgMar w:left="820" w:top="213" w:right="800" w:bottom="0" w:gutter="0" w:footer="0" w:header="0"/>
          <w:type w:val="continuous"/>
        </w:sectPr>
      </w:pPr>
    </w:p>
    <w:bookmarkStart w:id="69" w:name="page70"/>
    <w:bookmarkEnd w:id="69"/>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9 — Lines of Credit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U.S. Line of Credit</w:t>
      </w:r>
    </w:p>
    <w:p>
      <w:pPr>
        <w:spacing w:after="0" w:line="2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454546"/>
        </w:rPr>
        <w:t>On November 17, 2025, we executed an amendment to our Second Amended and Restated Credit Agreement ("Second Amended Credit Agreement") with U.S. Bank National Association ("U.S. Bank"), which provides for a revolving line of credit ("U.S. Credit Line") through September 30, 2027. The U.S. Credit Line may be used for working capital and other general corporate purposes including acquisitions, share repurchases and capital expenditures.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 U.S. Credit Line has a maximum availability up to $60.0 million, subject to meeting certain financial conditions. Availability is based on Borrowing Base defined as 75% of accounts receivable aged less than 90 days less reserves for doubtful accounts and returns. The Borrowing Base is calculated monthly. At December 31, 2025, the U.S. Credit Line availability was $48.5 million. At February 24, 2026, the U.S. Credit Line total availability was $47.1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Amounts available for borrowing under the U.S. Credit Line are reduced by the balance of any outstanding letters of credit, of which there was $0.5 million at December 31, 2025 and none at December 31, 2024. At February 19, 2026 the balance of the letter of credit was $1.9 million.</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All obligations under the U.S. Credit Line are secured by substantially all of our U.S. personal property and tangible and intangible assets, as well as a guaranty of the U.S. Credit Line by our wholly-owned subsidiary, Universal Electronics BV.</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Under the Second Amended Credit Agreement, we pay interest on the U.S. Credit Line based on the Secured Overnight Financing Rate ("SOFR") plus a 3.00% margin. The Second Amended Credit Agreement also contains a facility fee of 0.25%. The interest rates in effect at December 31, 2025 and 2024 were 6.65% and 7.31%, respectively.</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 Second Amended Credit Agreement includes financial covenants and contains other customary affirmative and negative covenants and events of default. Our covenants are based upon a minimum fixed charge coverage ratio and a maximum cash flow leverage ratio. We were in compliance with the covenants and conditions of the Second Amended Credit Agreement at and during the years ended December 31, 2025 and 2024.</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On March 11, 2026, the Company entered into a Twelfth Amendment (the "Twelfth Amendment") to the Second Amended Credit Agreement with U.S. Bank. The Twelfth Amendment increases the limit on Restricted Payments (as defined in the Second Amended Credit Agreement) from $4.0 million to $8.0 million. All other provisions of the Second Amended Credit Agreement remain substantially the same.</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At December 31, 2025, we had $5.5 million outstanding under the U.S. Credit Line. At December 31, 2025, our remaining availability under the U.S. Credit Line was $42.5 million. Our total interest expense on borrowings under the U.S. Credit Line was $1.6 million, $4.2 million and $6.0 million during the years ended December 31, 2025, 2024 and 2023, respectively. Our total facility fee expense under the U.S. Credit Line was $0.2 million during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China Line of Credit</w:t>
      </w: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In August 2024, our subsidiary, Gemstar Technology (Yangzhou) Co. Ltd. ("GTY"), executed a Line of Credit Agreement (the "Line of Credit Agreement") with the Bank of China, which provides for a revolving line of credit (the "China Credit Line"). As a continuation of the agreement, on July 30, 2025, we executed an amendment to the Line of Credit Agreement, which extended the term of the China Credit Line to July 16, 2026. We expect to renew our China Credit Line prior to its expiration; however, no assurance can be given that future financing will be available or, if available, that we will be offered terms satisfactory to us. The China Credit Line may be used for working capital purposes.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The China Credit Line has a maximum availability up to RMB 130.0 million (approximately $18.6 million), subject to meeting certain financial conditions.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Amounts available for borrowing under the China Credit Line are reduced by the balance of any outstanding letters of credit, of which there were none at December 31, 2025 or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All obligations under the China Credit Line are secured by GTY's buildings and land use rights.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66</w:t>
      </w:r>
    </w:p>
    <w:p>
      <w:pPr>
        <w:sectPr>
          <w:pgSz w:w="11880" w:h="15480" w:orient="portrait"/>
          <w:cols w:equalWidth="0" w:num="1">
            <w:col w:w="10260"/>
          </w:cols>
          <w:pgMar w:left="820" w:top="213" w:right="800" w:bottom="0" w:gutter="0" w:footer="0" w:header="0"/>
          <w:type w:val="continuous"/>
        </w:sectPr>
      </w:pPr>
    </w:p>
    <w:bookmarkStart w:id="70" w:name="page71"/>
    <w:bookmarkEnd w:id="70"/>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Under the Line of Credit Agreement, we pay interest on the China Credit Line based on the one-year rate from the National Interbank Funding Center less a 0.1% margin. There are no associated commitment fees on the China Credit Line. The interest rate in effect at December 31, 2025 and December 31, 2024 was 2.92% and 3.07%, respectively.</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year ended December 31, 2025.</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At December 31, 2025, we had RMB 130.0 million (approximately $18.6 million) outstanding under the China Credit Line. At December 31, 2025, we had no remaining availability under our China Credit Line. Our total interest expense on borrowings under the China Credit Line was RMB 3.0 million (approximately $0.4 million) and RMB 0.5 million (approximately $0.1 million) during the years ended December 31, 2025 and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10 — Income Taxes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In 2025, 2024 and 2023, pre-tax income (loss) was attributed to the following jurisdictions: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35"/>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Domestic operations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(47,871)</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(53,708)</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(95,876)</w:t>
            </w:r>
          </w:p>
        </w:tc>
      </w:tr>
      <w:tr>
        <w:trPr>
          <w:trHeight w:val="29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Foreign operations</w:t>
            </w: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8"/>
              <w:spacing w:after="0"/>
              <w:rPr>
                <w:sz w:val="20"/>
                <w:szCs w:val="20"/>
                <w:color w:val="auto"/>
              </w:rPr>
            </w:pPr>
            <w:r>
              <w:rPr>
                <w:rFonts w:ascii="Times New Roman" w:cs="Times New Roman" w:eastAsia="Times New Roman" w:hAnsi="Times New Roman"/>
                <w:sz w:val="20"/>
                <w:szCs w:val="20"/>
                <w:color w:val="454546"/>
              </w:rPr>
              <w:t>35,911</w:t>
            </w: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35,110</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3,622</w:t>
            </w:r>
          </w:p>
        </w:tc>
      </w:tr>
      <w:tr>
        <w:trPr>
          <w:trHeight w:val="280"/>
        </w:trPr>
        <w:tc>
          <w:tcPr>
            <w:tcW w:w="6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pre-tax income (loss)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(11,960)</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(18,598)</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(92,254)</w:t>
            </w:r>
          </w:p>
        </w:tc>
      </w:tr>
      <w:tr>
        <w:trPr>
          <w:trHeight w:val="20"/>
        </w:trPr>
        <w:tc>
          <w:tcPr>
            <w:tcW w:w="61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-615315</wp:posOffset>
            </wp:positionV>
            <wp:extent cx="263207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8">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1778000"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9">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0">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provision for income taxes charged to operations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35"/>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70"/>
        </w:trPr>
        <w:tc>
          <w:tcPr>
            <w:tcW w:w="6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Current tax expense:</w:t>
            </w:r>
          </w:p>
        </w:tc>
        <w:tc>
          <w:tcPr>
            <w:tcW w:w="320" w:type="dxa"/>
            <w:vAlign w:val="bottom"/>
            <w:tcBorders>
              <w:bottom w:val="single" w:sz="8" w:color="E3E4E5"/>
            </w:tcBorders>
            <w:shd w:val="clear" w:color="auto" w:fill="E3E4E5"/>
          </w:tcPr>
          <w:p>
            <w:pPr>
              <w:spacing w:after="0"/>
              <w:rPr>
                <w:sz w:val="23"/>
                <w:szCs w:val="23"/>
                <w:color w:val="auto"/>
              </w:rPr>
            </w:pPr>
          </w:p>
        </w:tc>
        <w:tc>
          <w:tcPr>
            <w:tcW w:w="100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100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34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spacing w:after="0"/>
              <w:rPr>
                <w:sz w:val="23"/>
                <w:szCs w:val="23"/>
                <w:color w:val="auto"/>
              </w:rPr>
            </w:pPr>
          </w:p>
        </w:tc>
      </w:tr>
      <w:tr>
        <w:trPr>
          <w:trHeight w:val="293"/>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U.S. federal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90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37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23</w:t>
            </w:r>
          </w:p>
        </w:tc>
      </w:tr>
      <w:tr>
        <w:trPr>
          <w:trHeight w:val="307"/>
        </w:trPr>
        <w:tc>
          <w:tcPr>
            <w:tcW w:w="6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State and local</w:t>
            </w: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35</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45</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44</w:t>
            </w:r>
          </w:p>
        </w:tc>
      </w:tr>
      <w:tr>
        <w:trPr>
          <w:trHeight w:val="290"/>
        </w:trPr>
        <w:tc>
          <w:tcPr>
            <w:tcW w:w="618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454546"/>
              </w:rPr>
              <w:t>Foreign</w:t>
            </w: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4"/>
              <w:spacing w:after="0"/>
              <w:rPr>
                <w:sz w:val="20"/>
                <w:szCs w:val="20"/>
                <w:color w:val="auto"/>
              </w:rPr>
            </w:pPr>
            <w:r>
              <w:rPr>
                <w:rFonts w:ascii="Times New Roman" w:cs="Times New Roman" w:eastAsia="Times New Roman" w:hAnsi="Times New Roman"/>
                <w:sz w:val="20"/>
                <w:szCs w:val="20"/>
                <w:color w:val="454546"/>
              </w:rPr>
              <w:t>6,012</w:t>
            </w: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2"/>
              <w:spacing w:after="0"/>
              <w:rPr>
                <w:sz w:val="20"/>
                <w:szCs w:val="20"/>
                <w:color w:val="auto"/>
              </w:rPr>
            </w:pPr>
            <w:r>
              <w:rPr>
                <w:rFonts w:ascii="Times New Roman" w:cs="Times New Roman" w:eastAsia="Times New Roman" w:hAnsi="Times New Roman"/>
                <w:sz w:val="20"/>
                <w:szCs w:val="20"/>
                <w:color w:val="454546"/>
              </w:rPr>
              <w:t>5,068</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ind w:right="2"/>
              <w:spacing w:after="0"/>
              <w:rPr>
                <w:sz w:val="20"/>
                <w:szCs w:val="20"/>
                <w:color w:val="auto"/>
              </w:rPr>
            </w:pPr>
            <w:r>
              <w:rPr>
                <w:rFonts w:ascii="Times New Roman" w:cs="Times New Roman" w:eastAsia="Times New Roman" w:hAnsi="Times New Roman"/>
                <w:sz w:val="20"/>
                <w:szCs w:val="20"/>
                <w:color w:val="454546"/>
              </w:rPr>
              <w:t>7,193</w:t>
            </w:r>
          </w:p>
        </w:tc>
      </w:tr>
      <w:tr>
        <w:trPr>
          <w:trHeight w:val="298"/>
        </w:trPr>
        <w:tc>
          <w:tcPr>
            <w:tcW w:w="6180" w:type="dxa"/>
            <w:vAlign w:val="bottom"/>
            <w:tcBorders>
              <w:bottom w:val="single" w:sz="8" w:color="E3E4E5"/>
            </w:tcBorders>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Total current</w:t>
            </w: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6,137</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5,150</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7,260</w:t>
            </w:r>
          </w:p>
        </w:tc>
      </w:tr>
      <w:tr>
        <w:trPr>
          <w:trHeight w:val="232"/>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Deferred tax (benefit) expense: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
        </w:trPr>
        <w:tc>
          <w:tcPr>
            <w:tcW w:w="6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0"/>
        </w:trPr>
        <w:tc>
          <w:tcPr>
            <w:tcW w:w="6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U.S. federal</w:t>
            </w: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269</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(813)</w:t>
            </w:r>
          </w:p>
        </w:tc>
      </w:tr>
      <w:tr>
        <w:trPr>
          <w:trHeight w:val="293"/>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State and local</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(126)</w:t>
            </w:r>
          </w:p>
        </w:tc>
      </w:tr>
      <w:tr>
        <w:trPr>
          <w:trHeight w:val="315"/>
        </w:trPr>
        <w:tc>
          <w:tcPr>
            <w:tcW w:w="618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Foreign</w:t>
            </w: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502</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12</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(337)</w:t>
            </w:r>
          </w:p>
        </w:tc>
      </w:tr>
      <w:tr>
        <w:trPr>
          <w:trHeight w:val="262"/>
        </w:trPr>
        <w:tc>
          <w:tcPr>
            <w:tcW w:w="6180" w:type="dxa"/>
            <w:vAlign w:val="bottom"/>
            <w:tcBorders>
              <w:bottom w:val="single" w:sz="8" w:color="E3E4E5"/>
            </w:tcBorders>
          </w:tcPr>
          <w:p>
            <w:pPr>
              <w:ind w:left="760"/>
              <w:spacing w:after="0"/>
              <w:rPr>
                <w:sz w:val="20"/>
                <w:szCs w:val="20"/>
                <w:color w:val="auto"/>
              </w:rPr>
            </w:pPr>
            <w:r>
              <w:rPr>
                <w:rFonts w:ascii="Times New Roman" w:cs="Times New Roman" w:eastAsia="Times New Roman" w:hAnsi="Times New Roman"/>
                <w:sz w:val="20"/>
                <w:szCs w:val="20"/>
                <w:color w:val="454546"/>
              </w:rPr>
              <w:t>Total deferred</w:t>
            </w:r>
          </w:p>
        </w:tc>
        <w:tc>
          <w:tcPr>
            <w:tcW w:w="320" w:type="dxa"/>
            <w:vAlign w:val="bottom"/>
            <w:tcBorders>
              <w:bottom w:val="single" w:sz="8" w:color="454546"/>
            </w:tcBorders>
          </w:tcPr>
          <w:p>
            <w:pPr>
              <w:spacing w:after="0"/>
              <w:rPr>
                <w:sz w:val="22"/>
                <w:szCs w:val="22"/>
                <w:color w:val="auto"/>
              </w:rPr>
            </w:pPr>
          </w:p>
        </w:tc>
        <w:tc>
          <w:tcPr>
            <w:tcW w:w="1000" w:type="dxa"/>
            <w:vAlign w:val="bottom"/>
            <w:tcBorders>
              <w:bottom w:val="single" w:sz="8" w:color="454546"/>
            </w:tcBorders>
          </w:tcPr>
          <w:p>
            <w:pPr>
              <w:jc w:val="right"/>
              <w:ind w:right="4"/>
              <w:spacing w:after="0"/>
              <w:rPr>
                <w:sz w:val="20"/>
                <w:szCs w:val="20"/>
                <w:color w:val="auto"/>
              </w:rPr>
            </w:pPr>
            <w:r>
              <w:rPr>
                <w:rFonts w:ascii="Times New Roman" w:cs="Times New Roman" w:eastAsia="Times New Roman" w:hAnsi="Times New Roman"/>
                <w:sz w:val="20"/>
                <w:szCs w:val="20"/>
                <w:color w:val="454546"/>
              </w:rPr>
              <w:t>502</w:t>
            </w:r>
          </w:p>
        </w:tc>
        <w:tc>
          <w:tcPr>
            <w:tcW w:w="60" w:type="dxa"/>
            <w:vAlign w:val="bottom"/>
            <w:tcBorders>
              <w:bottom w:val="single" w:sz="8" w:color="E3E4E5"/>
            </w:tcBorders>
          </w:tcPr>
          <w:p>
            <w:pPr>
              <w:spacing w:after="0"/>
              <w:rPr>
                <w:sz w:val="22"/>
                <w:szCs w:val="22"/>
                <w:color w:val="auto"/>
              </w:rPr>
            </w:pPr>
          </w:p>
        </w:tc>
        <w:tc>
          <w:tcPr>
            <w:tcW w:w="320" w:type="dxa"/>
            <w:vAlign w:val="bottom"/>
            <w:tcBorders>
              <w:bottom w:val="single" w:sz="8" w:color="454546"/>
            </w:tcBorders>
          </w:tcPr>
          <w:p>
            <w:pPr>
              <w:spacing w:after="0"/>
              <w:rPr>
                <w:sz w:val="22"/>
                <w:szCs w:val="22"/>
                <w:color w:val="auto"/>
              </w:rPr>
            </w:pPr>
          </w:p>
        </w:tc>
        <w:tc>
          <w:tcPr>
            <w:tcW w:w="1000" w:type="dxa"/>
            <w:vAlign w:val="bottom"/>
            <w:tcBorders>
              <w:bottom w:val="single" w:sz="8" w:color="454546"/>
            </w:tcBorders>
          </w:tcPr>
          <w:p>
            <w:pPr>
              <w:jc w:val="right"/>
              <w:ind w:right="2"/>
              <w:spacing w:after="0"/>
              <w:rPr>
                <w:sz w:val="20"/>
                <w:szCs w:val="20"/>
                <w:color w:val="auto"/>
              </w:rPr>
            </w:pPr>
            <w:r>
              <w:rPr>
                <w:rFonts w:ascii="Times New Roman" w:cs="Times New Roman" w:eastAsia="Times New Roman" w:hAnsi="Times New Roman"/>
                <w:sz w:val="20"/>
                <w:szCs w:val="20"/>
                <w:color w:val="454546"/>
              </w:rPr>
              <w:t>281</w:t>
            </w:r>
          </w:p>
        </w:tc>
        <w:tc>
          <w:tcPr>
            <w:tcW w:w="60" w:type="dxa"/>
            <w:vAlign w:val="bottom"/>
            <w:tcBorders>
              <w:bottom w:val="single" w:sz="8" w:color="E3E4E5"/>
            </w:tcBorders>
          </w:tcPr>
          <w:p>
            <w:pPr>
              <w:spacing w:after="0"/>
              <w:rPr>
                <w:sz w:val="22"/>
                <w:szCs w:val="22"/>
                <w:color w:val="auto"/>
              </w:rPr>
            </w:pPr>
          </w:p>
        </w:tc>
        <w:tc>
          <w:tcPr>
            <w:tcW w:w="340" w:type="dxa"/>
            <w:vAlign w:val="bottom"/>
            <w:tcBorders>
              <w:bottom w:val="single" w:sz="8" w:color="454546"/>
            </w:tcBorders>
          </w:tcPr>
          <w:p>
            <w:pPr>
              <w:spacing w:after="0"/>
              <w:rPr>
                <w:sz w:val="22"/>
                <w:szCs w:val="22"/>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(1,276)</w:t>
            </w:r>
          </w:p>
        </w:tc>
      </w:tr>
      <w:tr>
        <w:trPr>
          <w:trHeight w:val="280"/>
        </w:trPr>
        <w:tc>
          <w:tcPr>
            <w:tcW w:w="6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provision for income taxes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6,639</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5,431</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5,984</w:t>
            </w:r>
          </w:p>
        </w:tc>
      </w:tr>
      <w:tr>
        <w:trPr>
          <w:trHeight w:val="20"/>
        </w:trPr>
        <w:tc>
          <w:tcPr>
            <w:tcW w:w="61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-2139315</wp:posOffset>
            </wp:positionV>
            <wp:extent cx="263207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1">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-1377315</wp:posOffset>
            </wp:positionV>
            <wp:extent cx="1778000"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2">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-1186815</wp:posOffset>
            </wp:positionV>
            <wp:extent cx="177800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3">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-424815</wp:posOffset>
            </wp:positionV>
            <wp:extent cx="177800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4">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177800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5">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6">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Reconciliation of Statutory Federal Income Tax Rate to the Effective Income Tax Rate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Below is a tabular rate reconciliation for the year ended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60" w:type="dxa"/>
            <w:vAlign w:val="bottom"/>
          </w:tcPr>
          <w:p>
            <w:pPr>
              <w:spacing w:after="0"/>
              <w:rPr>
                <w:sz w:val="18"/>
                <w:szCs w:val="18"/>
                <w:color w:val="auto"/>
              </w:rPr>
            </w:pPr>
          </w:p>
        </w:tc>
        <w:tc>
          <w:tcPr>
            <w:tcW w:w="260" w:type="dxa"/>
            <w:vAlign w:val="bottom"/>
            <w:tcBorders>
              <w:bottom w:val="single" w:sz="8" w:color="454546"/>
            </w:tcBorders>
          </w:tcPr>
          <w:p>
            <w:pPr>
              <w:spacing w:after="0"/>
              <w:rPr>
                <w:sz w:val="18"/>
                <w:szCs w:val="18"/>
                <w:color w:val="auto"/>
              </w:rPr>
            </w:pPr>
          </w:p>
        </w:tc>
        <w:tc>
          <w:tcPr>
            <w:tcW w:w="2660" w:type="dxa"/>
            <w:vAlign w:val="bottom"/>
            <w:tcBorders>
              <w:bottom w:val="single" w:sz="8" w:color="454546"/>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35"/>
        </w:trPr>
        <w:tc>
          <w:tcPr>
            <w:tcW w:w="726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260" w:type="dxa"/>
            <w:vAlign w:val="bottom"/>
            <w:tcBorders>
              <w:bottom w:val="single" w:sz="8" w:color="454546"/>
            </w:tcBorders>
          </w:tcPr>
          <w:p>
            <w:pPr>
              <w:spacing w:after="0"/>
              <w:rPr>
                <w:sz w:val="20"/>
                <w:szCs w:val="20"/>
                <w:color w:val="auto"/>
              </w:rPr>
            </w:pPr>
          </w:p>
        </w:tc>
        <w:tc>
          <w:tcPr>
            <w:tcW w:w="1080" w:type="dxa"/>
            <w:vAlign w:val="bottom"/>
            <w:tcBorders>
              <w:bottom w:val="single" w:sz="8" w:color="454546"/>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454546"/>
              </w:rPr>
              <w:t>Amount</w:t>
            </w:r>
          </w:p>
        </w:tc>
        <w:tc>
          <w:tcPr>
            <w:tcW w:w="220" w:type="dxa"/>
            <w:vAlign w:val="bottom"/>
            <w:tcBorders>
              <w:bottom w:val="single" w:sz="8" w:color="E3E4E5"/>
            </w:tcBorders>
          </w:tcPr>
          <w:p>
            <w:pPr>
              <w:spacing w:after="0"/>
              <w:rPr>
                <w:sz w:val="20"/>
                <w:szCs w:val="20"/>
                <w:color w:val="auto"/>
              </w:rPr>
            </w:pPr>
          </w:p>
        </w:tc>
        <w:tc>
          <w:tcPr>
            <w:tcW w:w="1360" w:type="dxa"/>
            <w:vAlign w:val="bottom"/>
            <w:tcBorders>
              <w:bottom w:val="single" w:sz="8" w:color="454546"/>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454546"/>
              </w:rPr>
              <w:t>Percent</w:t>
            </w:r>
          </w:p>
        </w:tc>
      </w:tr>
      <w:tr>
        <w:trPr>
          <w:trHeight w:val="290"/>
        </w:trPr>
        <w:tc>
          <w:tcPr>
            <w:tcW w:w="7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Tax provision at U.S. federal statutory rate</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(2,512)</w:t>
            </w:r>
          </w:p>
        </w:tc>
        <w:tc>
          <w:tcPr>
            <w:tcW w:w="15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21.0 %</w:t>
            </w:r>
          </w:p>
        </w:tc>
      </w:tr>
      <w:tr>
        <w:trPr>
          <w:trHeight w:val="294"/>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State and local income taxes, net of U.S. federal income tax effect *</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(0.2)%</w:t>
            </w:r>
          </w:p>
        </w:tc>
      </w:tr>
      <w:tr>
        <w:trPr>
          <w:trHeight w:val="286"/>
        </w:trPr>
        <w:tc>
          <w:tcPr>
            <w:tcW w:w="7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454546"/>
              </w:rPr>
              <w:t>Foreign tax effect</w:t>
            </w:r>
          </w:p>
        </w:tc>
        <w:tc>
          <w:tcPr>
            <w:tcW w:w="26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360" w:type="dxa"/>
            <w:vAlign w:val="bottom"/>
            <w:tcBorders>
              <w:bottom w:val="single" w:sz="8" w:color="E3E4E5"/>
            </w:tcBorders>
            <w:shd w:val="clear" w:color="auto" w:fill="E3E4E5"/>
          </w:tcPr>
          <w:p>
            <w:pPr>
              <w:spacing w:after="0"/>
              <w:rPr>
                <w:sz w:val="24"/>
                <w:szCs w:val="24"/>
                <w:color w:val="auto"/>
              </w:rPr>
            </w:pPr>
          </w:p>
        </w:tc>
      </w:tr>
      <w:tr>
        <w:trPr>
          <w:trHeight w:val="294"/>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54546"/>
              </w:rPr>
              <w:t>Brazil</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6"/>
        </w:trPr>
        <w:tc>
          <w:tcPr>
            <w:tcW w:w="726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Statutory tax rate difference between Brazil &amp; the United States</w:t>
            </w:r>
          </w:p>
        </w:tc>
        <w:tc>
          <w:tcPr>
            <w:tcW w:w="260" w:type="dxa"/>
            <w:vAlign w:val="bottom"/>
            <w:shd w:val="clear" w:color="auto" w:fill="E3E4E5"/>
          </w:tcPr>
          <w:p>
            <w:pPr>
              <w:spacing w:after="0"/>
              <w:rPr>
                <w:sz w:val="24"/>
                <w:szCs w:val="24"/>
                <w:color w:val="auto"/>
              </w:rPr>
            </w:pPr>
          </w:p>
        </w:tc>
        <w:tc>
          <w:tcPr>
            <w:tcW w:w="10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301</w:t>
            </w:r>
          </w:p>
        </w:tc>
        <w:tc>
          <w:tcPr>
            <w:tcW w:w="15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-977265</wp:posOffset>
            </wp:positionV>
            <wp:extent cx="190817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7">
                      <a:extLst>
                        <a:ext uri="{28A0092B-C50C-407E-A947-70E740481C1C}"/>
                      </a:extLst>
                    </a:blip>
                    <a:srcRect/>
                    <a:stretch>
                      <a:fillRect/>
                    </a:stretch>
                  </pic:blipFill>
                  <pic:spPr bwMode="auto">
                    <a:xfrm>
                      <a:off x="0" y="0"/>
                      <a:ext cx="1908175" cy="50800"/>
                    </a:xfrm>
                    <a:prstGeom prst="rect">
                      <a:avLst/>
                    </a:prstGeom>
                    <a:noFill/>
                  </pic:spPr>
                </pic:pic>
              </a:graphicData>
            </a:graphic>
          </wp:anchor>
        </w:drawing>
      </w:r>
    </w:p>
    <w:p>
      <w:pPr>
        <w:sectPr>
          <w:pgSz w:w="11880" w:h="15480" w:orient="portrait"/>
          <w:cols w:equalWidth="0" w:num="1">
            <w:col w:w="10260"/>
          </w:cols>
          <w:pgMar w:left="820" w:top="213" w:right="800" w:bottom="0" w:gutter="0" w:footer="0" w:header="0"/>
        </w:sect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67</w:t>
      </w:r>
    </w:p>
    <w:p>
      <w:pPr>
        <w:sectPr>
          <w:pgSz w:w="11880" w:h="15480" w:orient="portrait"/>
          <w:cols w:equalWidth="0" w:num="1">
            <w:col w:w="10260"/>
          </w:cols>
          <w:pgMar w:left="820" w:top="213" w:right="800" w:bottom="0" w:gutter="0" w:footer="0" w:header="0"/>
          <w:type w:val="continuous"/>
        </w:sectPr>
      </w:pPr>
    </w:p>
    <w:bookmarkStart w:id="71" w:name="page72"/>
    <w:bookmarkEnd w:id="71"/>
    <w:p>
      <w:pPr>
        <w:jc w:val="center"/>
        <w:ind w:left="244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Preferential income tax rate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Non-taxable and nondeductible items: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52" o:spid="_x0000_s1177"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Non-taxable legal settlement income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Other adjustments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53" o:spid="_x0000_s1178"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China</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Statutory tax rate difference between China &amp; the 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54" o:spid="_x0000_s1179"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Research and development super deduction</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Changes in unrecognized tax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55" o:spid="_x0000_s1180"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Changes in valuation allowance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Effect of cross-border tax 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56" o:spid="_x0000_s1181"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Withholding taxes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Other adjustments: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57" o:spid="_x0000_s1182"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DTA write-off from factory shutdown</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Miscellaneous other items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58" o:spid="_x0000_s1183"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Hong Kong</w:t>
      </w:r>
    </w:p>
    <w:p>
      <w:pPr>
        <w:spacing w:after="0" w:line="38" w:lineRule="exact"/>
        <w:rPr>
          <w:sz w:val="20"/>
          <w:szCs w:val="20"/>
          <w:color w:val="auto"/>
        </w:rPr>
      </w:pPr>
    </w:p>
    <w:p>
      <w:pPr>
        <w:ind w:left="360" w:right="1800"/>
        <w:spacing w:after="0" w:line="313" w:lineRule="auto"/>
        <w:rPr>
          <w:sz w:val="20"/>
          <w:szCs w:val="20"/>
          <w:color w:val="auto"/>
        </w:rPr>
      </w:pPr>
      <w:r>
        <w:rPr>
          <w:rFonts w:ascii="Times New Roman" w:cs="Times New Roman" w:eastAsia="Times New Roman" w:hAnsi="Times New Roman"/>
          <w:sz w:val="20"/>
          <w:szCs w:val="20"/>
          <w:color w:val="454546"/>
        </w:rPr>
        <w:t>Statutory tax rate difference between Hong Kong &amp; the United States Non-taxable and nondeductible items: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-374650</wp:posOffset>
                </wp:positionV>
                <wp:extent cx="6466840" cy="1905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90500"/>
                        </a:xfrm>
                        <a:prstGeom prst="rect">
                          <a:avLst/>
                        </a:prstGeom>
                        <a:solidFill>
                          <a:srgbClr val="E3E4E5"/>
                        </a:solidFill>
                      </wps:spPr>
                      <wps:bodyPr/>
                    </wps:wsp>
                  </a:graphicData>
                </a:graphic>
              </wp:anchor>
            </w:drawing>
          </mc:Choice>
          <mc:Fallback>
            <w:pict>
              <v:rect id="Shape 159" o:spid="_x0000_s1184" style="position:absolute;margin-left:-2.4499pt;margin-top:-29.4999pt;width:509.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ind w:left="620"/>
        <w:spacing w:after="0"/>
        <w:rPr>
          <w:sz w:val="20"/>
          <w:szCs w:val="20"/>
          <w:color w:val="auto"/>
        </w:rPr>
      </w:pPr>
      <w:r>
        <w:rPr>
          <w:rFonts w:ascii="Times New Roman" w:cs="Times New Roman" w:eastAsia="Times New Roman" w:hAnsi="Times New Roman"/>
          <w:sz w:val="20"/>
          <w:szCs w:val="20"/>
          <w:color w:val="454546"/>
        </w:rPr>
        <w:t>Non-territorial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0" o:spid="_x0000_s1185"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Non-taxable foreign exchange gain</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Other adjustments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1" o:spid="_x0000_s1186"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Korea</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Effect of cross-border tax 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2" o:spid="_x0000_s1187"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Withholding taxes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Other adjustments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3" o:spid="_x0000_s1188"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Mexico</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Statutory tax rate difference between Mexico &amp; the 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4" o:spid="_x0000_s1189"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Non-taxable and nondeductible items: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Annual inflationary adjustment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5" o:spid="_x0000_s1190"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Employee fringe benefits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Other adjustments: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6" o:spid="_x0000_s1191"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Fixed asset provision to return adjustment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Intercompany sale of fixed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67" o:spid="_x0000_s1192"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454546"/>
        </w:rPr>
        <w:t>Miscellaneous other items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50165</wp:posOffset>
                </wp:positionV>
                <wp:extent cx="6466840" cy="19050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90500"/>
                        </a:xfrm>
                        <a:prstGeom prst="rect">
                          <a:avLst/>
                        </a:prstGeom>
                        <a:solidFill>
                          <a:srgbClr val="E3E4E5"/>
                        </a:solidFill>
                      </wps:spPr>
                      <wps:bodyPr/>
                    </wps:wsp>
                  </a:graphicData>
                </a:graphic>
              </wp:anchor>
            </w:drawing>
          </mc:Choice>
          <mc:Fallback>
            <w:pict>
              <v:rect id="Shape 168" o:spid="_x0000_s1193" style="position:absolute;margin-left:-2.4499pt;margin-top:3.95pt;width:509.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Netherlands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Other foreign jurisdictions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29845</wp:posOffset>
                </wp:positionV>
                <wp:extent cx="6466840" cy="19050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90500"/>
                        </a:xfrm>
                        <a:prstGeom prst="rect">
                          <a:avLst/>
                        </a:prstGeom>
                        <a:solidFill>
                          <a:srgbClr val="E3E4E5"/>
                        </a:solidFill>
                      </wps:spPr>
                      <wps:bodyPr/>
                    </wps:wsp>
                  </a:graphicData>
                </a:graphic>
              </wp:anchor>
            </w:drawing>
          </mc:Choice>
          <mc:Fallback>
            <w:pict>
              <v:rect id="Shape 169" o:spid="_x0000_s1194" style="position:absolute;margin-left:-2.4499pt;margin-top:2.35pt;width:509.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Effect of changes in taw laws or rates enacted in the current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Effect of cross-border tax laws:</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Global intangible low-taxed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70" o:spid="_x0000_s1195"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Subpart F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50165</wp:posOffset>
                </wp:positionV>
                <wp:extent cx="6466840" cy="19050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90500"/>
                        </a:xfrm>
                        <a:prstGeom prst="rect">
                          <a:avLst/>
                        </a:prstGeom>
                        <a:solidFill>
                          <a:srgbClr val="E3E4E5"/>
                        </a:solidFill>
                      </wps:spPr>
                      <wps:bodyPr/>
                    </wps:wsp>
                  </a:graphicData>
                </a:graphic>
              </wp:anchor>
            </w:drawing>
          </mc:Choice>
          <mc:Fallback>
            <w:pict>
              <v:rect id="Shape 171" o:spid="_x0000_s1196" style="position:absolute;margin-left:-2.4499pt;margin-top:3.95pt;width:509.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Tax credits: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Changes in valuation allowance: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29845</wp:posOffset>
                </wp:positionV>
                <wp:extent cx="6466840" cy="19050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90500"/>
                        </a:xfrm>
                        <a:prstGeom prst="rect">
                          <a:avLst/>
                        </a:prstGeom>
                        <a:solidFill>
                          <a:srgbClr val="E3E4E5"/>
                        </a:solidFill>
                      </wps:spPr>
                      <wps:bodyPr/>
                    </wps:wsp>
                  </a:graphicData>
                </a:graphic>
              </wp:anchor>
            </w:drawing>
          </mc:Choice>
          <mc:Fallback>
            <w:pict>
              <v:rect id="Shape 172" o:spid="_x0000_s1197" style="position:absolute;margin-left:-2.4499pt;margin-top:2.35pt;width:509.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Non-taxable or nondeductible items:</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Stock-based compensation</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Provision to return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-139700</wp:posOffset>
                </wp:positionV>
                <wp:extent cx="6466840" cy="18986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6840" cy="189865"/>
                        </a:xfrm>
                        <a:prstGeom prst="rect">
                          <a:avLst/>
                        </a:prstGeom>
                        <a:solidFill>
                          <a:srgbClr val="E3E4E5"/>
                        </a:solidFill>
                      </wps:spPr>
                      <wps:bodyPr/>
                    </wps:wsp>
                  </a:graphicData>
                </a:graphic>
              </wp:anchor>
            </w:drawing>
          </mc:Choice>
          <mc:Fallback>
            <w:pict>
              <v:rect id="Shape 173" o:spid="_x0000_s1198" style="position:absolute;margin-left:-2.4499pt;margin-top:-11pt;width:509.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454546"/>
        </w:rPr>
        <w:t>Miscellaneous other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80" w:hanging="1528"/>
        <w:spacing w:after="0"/>
        <w:tabs>
          <w:tab w:leader="none" w:pos="168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2.4 %</w:t>
      </w:r>
    </w:p>
    <w:p>
      <w:pPr>
        <w:spacing w:after="0" w:line="370" w:lineRule="exact"/>
        <w:rPr>
          <w:sz w:val="20"/>
          <w:szCs w:val="20"/>
          <w:color w:val="auto"/>
        </w:rPr>
      </w:pPr>
    </w:p>
    <w:p>
      <w:pPr>
        <w:ind w:left="1680" w:hanging="1528"/>
        <w:spacing w:after="0"/>
        <w:tabs>
          <w:tab w:leader="none" w:pos="168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1.1 %</w:t>
      </w:r>
    </w:p>
    <w:p>
      <w:pPr>
        <w:spacing w:after="0" w:line="70" w:lineRule="exact"/>
        <w:rPr>
          <w:sz w:val="20"/>
          <w:szCs w:val="20"/>
          <w:color w:val="auto"/>
        </w:rPr>
      </w:pPr>
    </w:p>
    <w:p>
      <w:pPr>
        <w:jc w:val="both"/>
        <w:ind w:left="320"/>
        <w:spacing w:after="0"/>
        <w:tabs>
          <w:tab w:leader="none" w:pos="1600" w:val="left"/>
        </w:tabs>
        <w:rPr>
          <w:sz w:val="20"/>
          <w:szCs w:val="20"/>
          <w:color w:val="auto"/>
        </w:rPr>
      </w:pPr>
      <w:r>
        <w:rPr>
          <w:rFonts w:ascii="Times New Roman" w:cs="Times New Roman" w:eastAsia="Times New Roman" w:hAnsi="Times New Roman"/>
          <w:sz w:val="20"/>
          <w:szCs w:val="20"/>
          <w:color w:val="454546"/>
        </w:rPr>
        <w:t>11</w:t>
      </w:r>
      <w:r>
        <w:rPr>
          <w:sz w:val="20"/>
          <w:szCs w:val="20"/>
          <w:color w:val="auto"/>
        </w:rPr>
        <w:tab/>
      </w:r>
      <w:r>
        <w:rPr>
          <w:rFonts w:ascii="Times New Roman" w:cs="Times New Roman" w:eastAsia="Times New Roman" w:hAnsi="Times New Roman"/>
          <w:sz w:val="20"/>
          <w:szCs w:val="20"/>
          <w:color w:val="454546"/>
        </w:rPr>
        <w:t>(0.1)%</w:t>
      </w:r>
    </w:p>
    <w:p>
      <w:pPr>
        <w:spacing w:after="0" w:line="370" w:lineRule="exact"/>
        <w:rPr>
          <w:sz w:val="20"/>
          <w:szCs w:val="20"/>
          <w:color w:val="auto"/>
        </w:rPr>
      </w:pPr>
    </w:p>
    <w:p>
      <w:pPr>
        <w:jc w:val="both"/>
        <w:ind w:left="220"/>
        <w:spacing w:after="0"/>
        <w:tabs>
          <w:tab w:leader="none" w:pos="1600" w:val="left"/>
        </w:tabs>
        <w:rPr>
          <w:sz w:val="20"/>
          <w:szCs w:val="20"/>
          <w:color w:val="auto"/>
        </w:rPr>
      </w:pPr>
      <w:r>
        <w:rPr>
          <w:rFonts w:ascii="Times New Roman" w:cs="Times New Roman" w:eastAsia="Times New Roman" w:hAnsi="Times New Roman"/>
          <w:sz w:val="20"/>
          <w:szCs w:val="20"/>
          <w:color w:val="454546"/>
        </w:rPr>
        <w:t>230</w:t>
      </w:r>
      <w:r>
        <w:rPr>
          <w:sz w:val="20"/>
          <w:szCs w:val="20"/>
          <w:color w:val="auto"/>
        </w:rPr>
        <w:tab/>
      </w:r>
      <w:r>
        <w:rPr>
          <w:rFonts w:ascii="Times New Roman" w:cs="Times New Roman" w:eastAsia="Times New Roman" w:hAnsi="Times New Roman"/>
          <w:sz w:val="20"/>
          <w:szCs w:val="20"/>
          <w:color w:val="454546"/>
        </w:rPr>
        <w:t>(1.9)%</w:t>
      </w:r>
    </w:p>
    <w:p>
      <w:pPr>
        <w:spacing w:after="0" w:line="70" w:lineRule="exact"/>
        <w:rPr>
          <w:sz w:val="20"/>
          <w:szCs w:val="20"/>
          <w:color w:val="auto"/>
        </w:rPr>
      </w:pPr>
    </w:p>
    <w:p>
      <w:pPr>
        <w:ind w:left="1680" w:hanging="1528"/>
        <w:spacing w:after="0"/>
        <w:tabs>
          <w:tab w:leader="none" w:pos="1680" w:val="left"/>
        </w:tabs>
        <w:numPr>
          <w:ilvl w:val="0"/>
          <w:numId w:val="2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3.7 %</w:t>
      </w:r>
    </w:p>
    <w:p>
      <w:pPr>
        <w:spacing w:after="0" w:line="70" w:lineRule="exact"/>
        <w:rPr>
          <w:sz w:val="20"/>
          <w:szCs w:val="20"/>
          <w:color w:val="auto"/>
        </w:rPr>
      </w:pPr>
    </w:p>
    <w:p>
      <w:pPr>
        <w:ind w:left="1680" w:hanging="1528"/>
        <w:spacing w:after="0"/>
        <w:tabs>
          <w:tab w:leader="none" w:pos="1680" w:val="left"/>
        </w:tabs>
        <w:numPr>
          <w:ilvl w:val="0"/>
          <w:numId w:val="2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1.3 %</w:t>
      </w:r>
    </w:p>
    <w:p>
      <w:pPr>
        <w:spacing w:after="0" w:line="7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454546"/>
        </w:rPr>
        <w:t>(2,013)</w:t>
      </w:r>
      <w:r>
        <w:rPr>
          <w:sz w:val="20"/>
          <w:szCs w:val="20"/>
          <w:color w:val="auto"/>
        </w:rPr>
        <w:tab/>
      </w:r>
      <w:r>
        <w:rPr>
          <w:rFonts w:ascii="Times New Roman" w:cs="Times New Roman" w:eastAsia="Times New Roman" w:hAnsi="Times New Roman"/>
          <w:sz w:val="20"/>
          <w:szCs w:val="20"/>
          <w:color w:val="454546"/>
        </w:rPr>
        <w:t>16.8 %</w:t>
      </w:r>
    </w:p>
    <w:p>
      <w:pPr>
        <w:spacing w:after="0" w:line="370" w:lineRule="exact"/>
        <w:rPr>
          <w:sz w:val="20"/>
          <w:szCs w:val="20"/>
          <w:color w:val="auto"/>
        </w:rPr>
      </w:pPr>
    </w:p>
    <w:p>
      <w:pPr>
        <w:jc w:val="both"/>
        <w:ind w:left="220"/>
        <w:spacing w:after="0"/>
        <w:tabs>
          <w:tab w:leader="none" w:pos="1600" w:val="left"/>
        </w:tabs>
        <w:rPr>
          <w:sz w:val="20"/>
          <w:szCs w:val="20"/>
          <w:color w:val="auto"/>
        </w:rPr>
      </w:pPr>
      <w:r>
        <w:rPr>
          <w:rFonts w:ascii="Times New Roman" w:cs="Times New Roman" w:eastAsia="Times New Roman" w:hAnsi="Times New Roman"/>
          <w:sz w:val="20"/>
          <w:szCs w:val="20"/>
          <w:color w:val="454546"/>
        </w:rPr>
        <w:t>312</w:t>
      </w:r>
      <w:r>
        <w:rPr>
          <w:sz w:val="20"/>
          <w:szCs w:val="20"/>
          <w:color w:val="auto"/>
        </w:rPr>
        <w:tab/>
      </w:r>
      <w:r>
        <w:rPr>
          <w:rFonts w:ascii="Times New Roman" w:cs="Times New Roman" w:eastAsia="Times New Roman" w:hAnsi="Times New Roman"/>
          <w:sz w:val="20"/>
          <w:szCs w:val="20"/>
          <w:color w:val="454546"/>
        </w:rPr>
        <w:t>(2.6)%</w:t>
      </w:r>
    </w:p>
    <w:p>
      <w:pPr>
        <w:spacing w:after="0" w:line="370" w:lineRule="exact"/>
        <w:rPr>
          <w:sz w:val="20"/>
          <w:szCs w:val="20"/>
          <w:color w:val="auto"/>
        </w:rPr>
      </w:pPr>
    </w:p>
    <w:p>
      <w:pPr>
        <w:ind w:left="60"/>
        <w:spacing w:after="0"/>
        <w:tabs>
          <w:tab w:leader="none" w:pos="1500" w:val="left"/>
        </w:tabs>
        <w:rPr>
          <w:sz w:val="20"/>
          <w:szCs w:val="20"/>
          <w:color w:val="auto"/>
        </w:rPr>
      </w:pPr>
      <w:r>
        <w:rPr>
          <w:rFonts w:ascii="Times New Roman" w:cs="Times New Roman" w:eastAsia="Times New Roman" w:hAnsi="Times New Roman"/>
          <w:sz w:val="19"/>
          <w:szCs w:val="19"/>
          <w:color w:val="454546"/>
        </w:rPr>
        <w:t>1,743</w:t>
      </w:r>
      <w:r>
        <w:rPr>
          <w:sz w:val="20"/>
          <w:szCs w:val="20"/>
          <w:color w:val="auto"/>
        </w:rPr>
        <w:tab/>
      </w:r>
      <w:r>
        <w:rPr>
          <w:rFonts w:ascii="Times New Roman" w:cs="Times New Roman" w:eastAsia="Times New Roman" w:hAnsi="Times New Roman"/>
          <w:sz w:val="19"/>
          <w:szCs w:val="19"/>
          <w:color w:val="454546"/>
        </w:rPr>
        <w:t>(14.6)%</w:t>
      </w:r>
    </w:p>
    <w:p>
      <w:pPr>
        <w:spacing w:after="0" w:line="82" w:lineRule="exact"/>
        <w:rPr>
          <w:sz w:val="20"/>
          <w:szCs w:val="20"/>
          <w:color w:val="auto"/>
        </w:rPr>
      </w:pPr>
    </w:p>
    <w:p>
      <w:pPr>
        <w:ind w:left="1680" w:hanging="1428"/>
        <w:spacing w:after="0"/>
        <w:tabs>
          <w:tab w:leader="none" w:pos="168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0.3 %</w:t>
      </w:r>
    </w:p>
    <w:p>
      <w:pPr>
        <w:spacing w:after="0" w:line="370" w:lineRule="exact"/>
        <w:rPr>
          <w:sz w:val="20"/>
          <w:szCs w:val="20"/>
          <w:color w:val="auto"/>
        </w:rPr>
      </w:pPr>
    </w:p>
    <w:p>
      <w:pPr>
        <w:ind w:left="1680" w:hanging="1528"/>
        <w:spacing w:after="0"/>
        <w:tabs>
          <w:tab w:leader="none" w:pos="16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6.5 %</w:t>
      </w:r>
    </w:p>
    <w:p>
      <w:pPr>
        <w:spacing w:after="0" w:line="37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454546"/>
        </w:rPr>
        <w:t>(1,812)</w:t>
      </w:r>
      <w:r>
        <w:rPr>
          <w:sz w:val="20"/>
          <w:szCs w:val="20"/>
          <w:color w:val="auto"/>
        </w:rPr>
        <w:tab/>
      </w:r>
      <w:r>
        <w:rPr>
          <w:rFonts w:ascii="Times New Roman" w:cs="Times New Roman" w:eastAsia="Times New Roman" w:hAnsi="Times New Roman"/>
          <w:sz w:val="20"/>
          <w:szCs w:val="20"/>
          <w:color w:val="454546"/>
        </w:rPr>
        <w:t>15.2 %</w:t>
      </w:r>
    </w:p>
    <w:p>
      <w:pPr>
        <w:spacing w:after="0" w:line="70" w:lineRule="exact"/>
        <w:rPr>
          <w:sz w:val="20"/>
          <w:szCs w:val="20"/>
          <w:color w:val="auto"/>
        </w:rPr>
      </w:pPr>
    </w:p>
    <w:p>
      <w:pPr>
        <w:ind w:left="1680" w:hanging="1528"/>
        <w:spacing w:after="0"/>
        <w:tabs>
          <w:tab w:leader="none" w:pos="168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2.4 %</w:t>
      </w:r>
    </w:p>
    <w:p>
      <w:pPr>
        <w:spacing w:after="0" w:line="70" w:lineRule="exact"/>
        <w:rPr>
          <w:sz w:val="20"/>
          <w:szCs w:val="20"/>
          <w:color w:val="auto"/>
        </w:rPr>
      </w:pPr>
    </w:p>
    <w:p>
      <w:pPr>
        <w:jc w:val="both"/>
        <w:ind w:left="220"/>
        <w:spacing w:after="0"/>
        <w:tabs>
          <w:tab w:leader="none" w:pos="1600" w:val="left"/>
        </w:tabs>
        <w:rPr>
          <w:sz w:val="20"/>
          <w:szCs w:val="20"/>
          <w:color w:val="auto"/>
        </w:rPr>
      </w:pPr>
      <w:r>
        <w:rPr>
          <w:rFonts w:ascii="Times New Roman" w:cs="Times New Roman" w:eastAsia="Times New Roman" w:hAnsi="Times New Roman"/>
          <w:sz w:val="20"/>
          <w:szCs w:val="20"/>
          <w:color w:val="454546"/>
        </w:rPr>
        <w:t>107</w:t>
      </w:r>
      <w:r>
        <w:rPr>
          <w:sz w:val="20"/>
          <w:szCs w:val="20"/>
          <w:color w:val="auto"/>
        </w:rPr>
        <w:tab/>
      </w:r>
      <w:r>
        <w:rPr>
          <w:rFonts w:ascii="Times New Roman" w:cs="Times New Roman" w:eastAsia="Times New Roman" w:hAnsi="Times New Roman"/>
          <w:sz w:val="20"/>
          <w:szCs w:val="20"/>
          <w:color w:val="454546"/>
        </w:rPr>
        <w:t>(0.9)%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w w:val="97"/>
              </w:rPr>
              <w:t>1,227</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(10.3)%</w:t>
            </w:r>
          </w:p>
        </w:tc>
      </w:tr>
      <w:tr>
        <w:trPr>
          <w:trHeight w:val="30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rPr>
              <w:t>21</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(0.2)%</w:t>
            </w:r>
          </w:p>
        </w:tc>
      </w:tr>
      <w:tr>
        <w:trPr>
          <w:trHeight w:val="60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rPr>
              <w:t>197</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w:t>
            </w:r>
          </w:p>
        </w:tc>
      </w:tr>
    </w:tbl>
    <w:p>
      <w:pPr>
        <w:spacing w:after="0" w:line="340" w:lineRule="exact"/>
        <w:rPr>
          <w:sz w:val="20"/>
          <w:szCs w:val="20"/>
          <w:color w:val="auto"/>
        </w:rPr>
      </w:pPr>
    </w:p>
    <w:p>
      <w:pPr>
        <w:ind w:left="1680" w:hanging="1528"/>
        <w:spacing w:after="0"/>
        <w:tabs>
          <w:tab w:leader="none" w:pos="168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1.6 %</w:t>
      </w:r>
    </w:p>
    <w:p>
      <w:pPr>
        <w:spacing w:after="0" w:line="70" w:lineRule="exact"/>
        <w:rPr>
          <w:sz w:val="20"/>
          <w:szCs w:val="20"/>
          <w:color w:val="auto"/>
        </w:rPr>
      </w:pPr>
    </w:p>
    <w:p>
      <w:pPr>
        <w:jc w:val="both"/>
        <w:ind w:left="220"/>
        <w:spacing w:after="0"/>
        <w:tabs>
          <w:tab w:leader="none" w:pos="1600" w:val="left"/>
        </w:tabs>
        <w:rPr>
          <w:sz w:val="20"/>
          <w:szCs w:val="20"/>
          <w:color w:val="auto"/>
        </w:rPr>
      </w:pPr>
      <w:r>
        <w:rPr>
          <w:rFonts w:ascii="Times New Roman" w:cs="Times New Roman" w:eastAsia="Times New Roman" w:hAnsi="Times New Roman"/>
          <w:sz w:val="20"/>
          <w:szCs w:val="20"/>
          <w:color w:val="454546"/>
        </w:rPr>
        <w:t>174</w:t>
      </w:r>
      <w:r>
        <w:rPr>
          <w:sz w:val="20"/>
          <w:szCs w:val="20"/>
          <w:color w:val="auto"/>
        </w:rPr>
        <w:tab/>
      </w:r>
      <w:r>
        <w:rPr>
          <w:rFonts w:ascii="Times New Roman" w:cs="Times New Roman" w:eastAsia="Times New Roman" w:hAnsi="Times New Roman"/>
          <w:sz w:val="20"/>
          <w:szCs w:val="20"/>
          <w:color w:val="454546"/>
        </w:rPr>
        <w:t>(1.5)%</w:t>
      </w:r>
    </w:p>
    <w:p>
      <w:pPr>
        <w:spacing w:after="0" w:line="370" w:lineRule="exact"/>
        <w:rPr>
          <w:sz w:val="20"/>
          <w:szCs w:val="20"/>
          <w:color w:val="auto"/>
        </w:rPr>
      </w:pPr>
    </w:p>
    <w:p>
      <w:pPr>
        <w:jc w:val="both"/>
        <w:ind w:left="220"/>
        <w:spacing w:after="0"/>
        <w:tabs>
          <w:tab w:leader="none" w:pos="1600" w:val="left"/>
        </w:tabs>
        <w:rPr>
          <w:sz w:val="20"/>
          <w:szCs w:val="20"/>
          <w:color w:val="auto"/>
        </w:rPr>
      </w:pPr>
      <w:r>
        <w:rPr>
          <w:rFonts w:ascii="Times New Roman" w:cs="Times New Roman" w:eastAsia="Times New Roman" w:hAnsi="Times New Roman"/>
          <w:sz w:val="20"/>
          <w:szCs w:val="20"/>
          <w:color w:val="454546"/>
        </w:rPr>
        <w:t>192</w:t>
      </w:r>
      <w:r>
        <w:rPr>
          <w:sz w:val="20"/>
          <w:szCs w:val="20"/>
          <w:color w:val="auto"/>
        </w:rPr>
        <w:tab/>
      </w:r>
      <w:r>
        <w:rPr>
          <w:rFonts w:ascii="Times New Roman" w:cs="Times New Roman" w:eastAsia="Times New Roman" w:hAnsi="Times New Roman"/>
          <w:sz w:val="20"/>
          <w:szCs w:val="20"/>
          <w:color w:val="454546"/>
        </w:rPr>
        <w:t>(1.6)%</w:t>
      </w:r>
    </w:p>
    <w:p>
      <w:pPr>
        <w:spacing w:after="0" w:line="70" w:lineRule="exact"/>
        <w:rPr>
          <w:sz w:val="20"/>
          <w:szCs w:val="20"/>
          <w:color w:val="auto"/>
        </w:rPr>
      </w:pPr>
    </w:p>
    <w:p>
      <w:pPr>
        <w:ind w:left="1680" w:hanging="1528"/>
        <w:spacing w:after="0"/>
        <w:tabs>
          <w:tab w:leader="none" w:pos="168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1.9 %</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rPr>
              <w:t>168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w:t>
            </w:r>
          </w:p>
        </w:tc>
      </w:tr>
      <w:tr>
        <w:trPr>
          <w:trHeight w:val="30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rPr>
              <w:t>318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w:t>
            </w:r>
          </w:p>
        </w:tc>
      </w:tr>
      <w:tr>
        <w:trPr>
          <w:trHeight w:val="30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rPr>
              <w:t>323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w:t>
            </w:r>
          </w:p>
        </w:tc>
      </w:tr>
      <w:tr>
        <w:trPr>
          <w:trHeight w:val="90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w w:val="97"/>
              </w:rPr>
              <w:t>6,459</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(54.0)%</w:t>
            </w:r>
          </w:p>
        </w:tc>
      </w:tr>
      <w:tr>
        <w:trPr>
          <w:trHeight w:val="300"/>
        </w:trPr>
        <w:tc>
          <w:tcPr>
            <w:tcW w:w="9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454546"/>
              </w:rPr>
              <w:t>331</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w:t>
            </w:r>
          </w:p>
        </w:tc>
      </w:tr>
    </w:tbl>
    <w:p>
      <w:pPr>
        <w:spacing w:after="0" w:line="40" w:lineRule="exact"/>
        <w:rPr>
          <w:sz w:val="20"/>
          <w:szCs w:val="20"/>
          <w:color w:val="auto"/>
        </w:rPr>
      </w:pPr>
    </w:p>
    <w:p>
      <w:pPr>
        <w:ind w:left="1680" w:hanging="1528"/>
        <w:spacing w:after="0"/>
        <w:tabs>
          <w:tab w:leader="none" w:pos="168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4.8 %</w:t>
      </w:r>
    </w:p>
    <w:p>
      <w:pPr>
        <w:spacing w:after="0" w:line="70" w:lineRule="exact"/>
        <w:rPr>
          <w:sz w:val="20"/>
          <w:szCs w:val="20"/>
          <w:color w:val="auto"/>
        </w:rPr>
      </w:pPr>
    </w:p>
    <w:p>
      <w:pPr>
        <w:ind w:left="60"/>
        <w:spacing w:after="0"/>
        <w:tabs>
          <w:tab w:leader="none" w:pos="1500" w:val="left"/>
        </w:tabs>
        <w:rPr>
          <w:sz w:val="20"/>
          <w:szCs w:val="20"/>
          <w:color w:val="auto"/>
        </w:rPr>
      </w:pPr>
      <w:r>
        <w:rPr>
          <w:rFonts w:ascii="Times New Roman" w:cs="Times New Roman" w:eastAsia="Times New Roman" w:hAnsi="Times New Roman"/>
          <w:sz w:val="19"/>
          <w:szCs w:val="19"/>
          <w:color w:val="454546"/>
        </w:rPr>
        <w:t>2,606</w:t>
      </w:r>
      <w:r>
        <w:rPr>
          <w:sz w:val="20"/>
          <w:szCs w:val="20"/>
          <w:color w:val="auto"/>
        </w:rPr>
        <w:tab/>
      </w:r>
      <w:r>
        <w:rPr>
          <w:rFonts w:ascii="Times New Roman" w:cs="Times New Roman" w:eastAsia="Times New Roman" w:hAnsi="Times New Roman"/>
          <w:sz w:val="19"/>
          <w:szCs w:val="19"/>
          <w:color w:val="454546"/>
        </w:rPr>
        <w:t>(21.8)%</w:t>
      </w:r>
    </w:p>
    <w:p>
      <w:pPr>
        <w:spacing w:after="0" w:line="382" w:lineRule="exact"/>
        <w:rPr>
          <w:sz w:val="20"/>
          <w:szCs w:val="20"/>
          <w:color w:val="auto"/>
        </w:rPr>
      </w:pPr>
    </w:p>
    <w:p>
      <w:pPr>
        <w:jc w:val="both"/>
        <w:ind w:left="220"/>
        <w:spacing w:after="0"/>
        <w:tabs>
          <w:tab w:leader="none" w:pos="1600" w:val="left"/>
        </w:tabs>
        <w:rPr>
          <w:sz w:val="20"/>
          <w:szCs w:val="20"/>
          <w:color w:val="auto"/>
        </w:rPr>
      </w:pPr>
      <w:r>
        <w:rPr>
          <w:rFonts w:ascii="Times New Roman" w:cs="Times New Roman" w:eastAsia="Times New Roman" w:hAnsi="Times New Roman"/>
          <w:sz w:val="20"/>
          <w:szCs w:val="20"/>
          <w:color w:val="454546"/>
        </w:rPr>
        <w:t>872</w:t>
      </w:r>
      <w:r>
        <w:rPr>
          <w:sz w:val="20"/>
          <w:szCs w:val="20"/>
          <w:color w:val="auto"/>
        </w:rPr>
        <w:tab/>
      </w:r>
      <w:r>
        <w:rPr>
          <w:rFonts w:ascii="Times New Roman" w:cs="Times New Roman" w:eastAsia="Times New Roman" w:hAnsi="Times New Roman"/>
          <w:sz w:val="20"/>
          <w:szCs w:val="20"/>
          <w:color w:val="454546"/>
        </w:rPr>
        <w:t>(7.3)%</w:t>
      </w:r>
    </w:p>
    <w:p>
      <w:pPr>
        <w:spacing w:after="0" w:line="70" w:lineRule="exact"/>
        <w:rPr>
          <w:sz w:val="20"/>
          <w:szCs w:val="20"/>
          <w:color w:val="auto"/>
        </w:rPr>
      </w:pPr>
    </w:p>
    <w:p>
      <w:pPr>
        <w:ind w:left="1620" w:hanging="1402"/>
        <w:spacing w:after="0"/>
        <w:tabs>
          <w:tab w:leader="none" w:pos="1620" w:val="left"/>
        </w:tabs>
        <w:numPr>
          <w:ilvl w:val="0"/>
          <w:numId w:val="34"/>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color w:val="454546"/>
        </w:rPr>
        <w:t>(3.4)%</w:t>
      </w:r>
    </w:p>
    <w:p>
      <w:pPr>
        <w:spacing w:after="0" w:line="81" w:lineRule="exact"/>
        <w:rPr>
          <w:rFonts w:ascii="Times New Roman" w:cs="Times New Roman" w:eastAsia="Times New Roman" w:hAnsi="Times New Roman"/>
          <w:sz w:val="19"/>
          <w:szCs w:val="19"/>
          <w:color w:val="454546"/>
        </w:rPr>
      </w:pPr>
    </w:p>
    <w:p>
      <w:pPr>
        <w:ind w:left="1620" w:hanging="1302"/>
        <w:spacing w:after="0"/>
        <w:tabs>
          <w:tab w:leader="none" w:pos="1620" w:val="left"/>
        </w:tabs>
        <w:numPr>
          <w:ilvl w:val="0"/>
          <w:numId w:val="35"/>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color w:val="454546"/>
        </w:rPr>
        <w:t>(0.4)%</w:t>
      </w:r>
    </w:p>
    <w:p>
      <w:pPr>
        <w:spacing w:after="0" w:line="200" w:lineRule="exact"/>
        <w:rPr>
          <w:sz w:val="20"/>
          <w:szCs w:val="20"/>
          <w:color w:val="auto"/>
        </w:rPr>
      </w:pPr>
    </w:p>
    <w:p>
      <w:pPr>
        <w:sectPr>
          <w:pgSz w:w="11880" w:h="15480" w:orient="portrait"/>
          <w:cols w:equalWidth="0" w:num="2">
            <w:col w:w="7720" w:space="240"/>
            <w:col w:w="2160"/>
          </w:cols>
          <w:pgMar w:left="860" w:top="213" w:right="900" w:bottom="0" w:gutter="0" w:footer="0" w:header="0"/>
        </w:sectPr>
      </w:pP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68</w:t>
      </w:r>
    </w:p>
    <w:p>
      <w:pPr>
        <w:sectPr>
          <w:pgSz w:w="11880" w:h="15480" w:orient="portrait"/>
          <w:cols w:equalWidth="0" w:num="1">
            <w:col w:w="10120"/>
          </w:cols>
          <w:pgMar w:left="860" w:top="213" w:right="900" w:bottom="0" w:gutter="0" w:footer="0" w:header="0"/>
          <w:type w:val="continuous"/>
        </w:sectPr>
      </w:pPr>
    </w:p>
    <w:bookmarkStart w:id="72" w:name="page73"/>
    <w:bookmarkEnd w:id="72"/>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7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454546"/>
              </w:rPr>
              <w:t>Changes in unrecognized tax benefits</w:t>
            </w:r>
          </w:p>
        </w:tc>
        <w:tc>
          <w:tcPr>
            <w:tcW w:w="4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w:t>
            </w:r>
          </w:p>
        </w:tc>
        <w:tc>
          <w:tcPr>
            <w:tcW w:w="220" w:type="dxa"/>
            <w:vAlign w:val="bottom"/>
            <w:shd w:val="clear" w:color="auto" w:fill="E3E4E5"/>
          </w:tcPr>
          <w:p>
            <w:pPr>
              <w:spacing w:after="0"/>
              <w:rPr>
                <w:sz w:val="24"/>
                <w:szCs w:val="24"/>
                <w:color w:val="auto"/>
              </w:rPr>
            </w:pPr>
          </w:p>
        </w:tc>
        <w:tc>
          <w:tcPr>
            <w:tcW w:w="1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 %</w:t>
            </w:r>
          </w:p>
        </w:tc>
      </w:tr>
      <w:tr>
        <w:trPr>
          <w:trHeight w:val="290"/>
        </w:trPr>
        <w:tc>
          <w:tcPr>
            <w:tcW w:w="726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b w:val="1"/>
                <w:bCs w:val="1"/>
                <w:color w:val="454546"/>
              </w:rPr>
              <w:t>Other adjustments</w:t>
            </w:r>
          </w:p>
        </w:tc>
        <w:tc>
          <w:tcPr>
            <w:tcW w:w="480" w:type="dxa"/>
            <w:vAlign w:val="bottom"/>
            <w:tcBorders>
              <w:bottom w:val="single" w:sz="8" w:color="454546"/>
            </w:tcBorders>
          </w:tcPr>
          <w:p>
            <w:pPr>
              <w:spacing w:after="0"/>
              <w:rPr>
                <w:sz w:val="24"/>
                <w:szCs w:val="24"/>
                <w:color w:val="auto"/>
              </w:rPr>
            </w:pPr>
          </w:p>
        </w:tc>
        <w:tc>
          <w:tcPr>
            <w:tcW w:w="8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w:t>
            </w:r>
          </w:p>
        </w:tc>
        <w:tc>
          <w:tcPr>
            <w:tcW w:w="1580" w:type="dxa"/>
            <w:vAlign w:val="bottom"/>
            <w:tcBorders>
              <w:bottom w:val="single" w:sz="8" w:color="454546"/>
            </w:tcBorders>
            <w:gridSpan w:val="2"/>
          </w:tcPr>
          <w:p>
            <w:pPr>
              <w:jc w:val="right"/>
              <w:spacing w:after="0"/>
              <w:rPr>
                <w:sz w:val="20"/>
                <w:szCs w:val="20"/>
                <w:color w:val="auto"/>
              </w:rPr>
            </w:pPr>
            <w:r>
              <w:rPr>
                <w:rFonts w:ascii="Times New Roman" w:cs="Times New Roman" w:eastAsia="Times New Roman" w:hAnsi="Times New Roman"/>
                <w:sz w:val="20"/>
                <w:szCs w:val="20"/>
                <w:color w:val="454546"/>
              </w:rPr>
              <w:t>0.1 %</w:t>
            </w:r>
          </w:p>
        </w:tc>
      </w:tr>
      <w:tr>
        <w:trPr>
          <w:trHeight w:val="280"/>
        </w:trPr>
        <w:tc>
          <w:tcPr>
            <w:tcW w:w="7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454546"/>
              </w:rPr>
              <w:t>Total provision for income taxes</w:t>
            </w:r>
          </w:p>
        </w:tc>
        <w:tc>
          <w:tcPr>
            <w:tcW w:w="480" w:type="dxa"/>
            <w:vAlign w:val="bottom"/>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6,639</w:t>
            </w:r>
          </w:p>
        </w:tc>
        <w:tc>
          <w:tcPr>
            <w:tcW w:w="15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(55.5)%</w:t>
            </w:r>
          </w:p>
        </w:tc>
      </w:tr>
      <w:tr>
        <w:trPr>
          <w:trHeight w:val="20"/>
        </w:trPr>
        <w:tc>
          <w:tcPr>
            <w:tcW w:w="7260" w:type="dxa"/>
            <w:vAlign w:val="bottom"/>
            <w:tcBorders>
              <w:top w:val="single" w:sz="8" w:color="E3E4E5"/>
            </w:tcBorders>
          </w:tcPr>
          <w:p>
            <w:pPr>
              <w:spacing w:after="0" w:line="20" w:lineRule="exact"/>
              <w:rPr>
                <w:sz w:val="1"/>
                <w:szCs w:val="1"/>
                <w:color w:val="auto"/>
              </w:rPr>
            </w:pPr>
          </w:p>
        </w:tc>
        <w:tc>
          <w:tcPr>
            <w:tcW w:w="480" w:type="dxa"/>
            <w:vAlign w:val="bottom"/>
            <w:tcBorders>
              <w:top w:val="single" w:sz="8" w:color="454546"/>
              <w:bottom w:val="single" w:sz="8" w:color="454546"/>
            </w:tcBorders>
          </w:tcPr>
          <w:p>
            <w:pPr>
              <w:spacing w:after="0" w:line="20" w:lineRule="exact"/>
              <w:rPr>
                <w:sz w:val="1"/>
                <w:szCs w:val="1"/>
                <w:color w:val="auto"/>
              </w:rPr>
            </w:pPr>
          </w:p>
        </w:tc>
        <w:tc>
          <w:tcPr>
            <w:tcW w:w="860" w:type="dxa"/>
            <w:vAlign w:val="bottom"/>
            <w:tcBorders>
              <w:top w:val="single" w:sz="8" w:color="454546"/>
              <w:bottom w:val="single" w:sz="8" w:color="454546"/>
            </w:tcBorders>
          </w:tcPr>
          <w:p>
            <w:pPr>
              <w:spacing w:after="0" w:line="20" w:lineRule="exact"/>
              <w:rPr>
                <w:sz w:val="1"/>
                <w:szCs w:val="1"/>
                <w:color w:val="auto"/>
              </w:rPr>
            </w:pPr>
          </w:p>
        </w:tc>
        <w:tc>
          <w:tcPr>
            <w:tcW w:w="220" w:type="dxa"/>
            <w:vAlign w:val="bottom"/>
            <w:tcBorders>
              <w:top w:val="single" w:sz="8" w:color="E3E4E5"/>
            </w:tcBorders>
          </w:tcPr>
          <w:p>
            <w:pPr>
              <w:spacing w:after="0" w:line="20" w:lineRule="exact"/>
              <w:rPr>
                <w:sz w:val="1"/>
                <w:szCs w:val="1"/>
                <w:color w:val="auto"/>
              </w:rPr>
            </w:pPr>
          </w:p>
        </w:tc>
        <w:tc>
          <w:tcPr>
            <w:tcW w:w="136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4596765</wp:posOffset>
                </wp:positionH>
                <wp:positionV relativeFrom="paragraph">
                  <wp:posOffset>-215900</wp:posOffset>
                </wp:positionV>
                <wp:extent cx="13335" cy="13335"/>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4E5"/>
                        </a:solidFill>
                      </wps:spPr>
                      <wps:bodyPr/>
                    </wps:wsp>
                  </a:graphicData>
                </a:graphic>
              </wp:anchor>
            </w:drawing>
          </mc:Choice>
          <mc:Fallback>
            <w:pict>
              <v:rect id="Shape 174" o:spid="_x0000_s1199" style="position:absolute;margin-left:361.95pt;margin-top:-17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4591050</wp:posOffset>
            </wp:positionH>
            <wp:positionV relativeFrom="paragraph">
              <wp:posOffset>-56515</wp:posOffset>
            </wp:positionV>
            <wp:extent cx="1895475" cy="762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8">
                      <a:extLst>
                        <a:ext uri="{28A0092B-C50C-407E-A947-70E740481C1C}"/>
                      </a:extLst>
                    </a:blip>
                    <a:srcRect/>
                    <a:stretch>
                      <a:fillRect/>
                    </a:stretch>
                  </pic:blipFill>
                  <pic:spPr bwMode="auto">
                    <a:xfrm>
                      <a:off x="0" y="0"/>
                      <a:ext cx="1895475" cy="7620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54546"/>
        </w:rPr>
        <w:t>* The Company is subject to state &amp; local minimum taxes, with Texas, Mississippi, and North Carolina comprising greater than 50%</w:t>
      </w:r>
      <w:r>
        <w:rPr>
          <w:rFonts w:ascii="Times New Roman" w:cs="Times New Roman" w:eastAsia="Times New Roman" w:hAnsi="Times New Roman"/>
          <w:sz w:val="20"/>
          <w:szCs w:val="20"/>
          <w:color w:val="454546"/>
        </w:rPr>
        <w:t>.</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The provision for income taxes differs from the amount of income tax determined by applying the applicable U.S. statutory federal income tax rate to pre-tax income from operations, for the years ended December 31, 2024 and December 31, 2023, as a result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80" w:type="dxa"/>
            <w:vAlign w:val="bottom"/>
            <w:tcBorders>
              <w:bottom w:val="single" w:sz="8" w:color="454546"/>
            </w:tcBorders>
          </w:tcPr>
          <w:p>
            <w:pPr>
              <w:spacing w:after="0"/>
              <w:rPr>
                <w:sz w:val="18"/>
                <w:szCs w:val="18"/>
                <w:color w:val="auto"/>
              </w:rPr>
            </w:pPr>
          </w:p>
        </w:tc>
        <w:tc>
          <w:tcPr>
            <w:tcW w:w="340" w:type="dxa"/>
            <w:vAlign w:val="bottom"/>
            <w:tcBorders>
              <w:bottom w:val="single" w:sz="8" w:color="454546"/>
            </w:tcBorders>
          </w:tcPr>
          <w:p>
            <w:pPr>
              <w:spacing w:after="0"/>
              <w:rPr>
                <w:sz w:val="18"/>
                <w:szCs w:val="18"/>
                <w:color w:val="auto"/>
              </w:rPr>
            </w:pPr>
          </w:p>
        </w:tc>
        <w:tc>
          <w:tcPr>
            <w:tcW w:w="2560" w:type="dxa"/>
            <w:vAlign w:val="bottom"/>
            <w:tcBorders>
              <w:bottom w:val="single" w:sz="8" w:color="454546"/>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60" w:type="dxa"/>
            <w:vAlign w:val="bottom"/>
            <w:tcBorders>
              <w:bottom w:val="single" w:sz="8" w:color="454546"/>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454546"/>
            </w:tcBorders>
          </w:tcPr>
          <w:p>
            <w:pPr>
              <w:spacing w:after="0"/>
              <w:rPr>
                <w:sz w:val="18"/>
                <w:szCs w:val="18"/>
                <w:color w:val="auto"/>
              </w:rPr>
            </w:pPr>
          </w:p>
        </w:tc>
      </w:tr>
      <w:tr>
        <w:trPr>
          <w:trHeight w:val="235"/>
        </w:trPr>
        <w:tc>
          <w:tcPr>
            <w:tcW w:w="52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8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1020" w:type="dxa"/>
            <w:vAlign w:val="bottom"/>
            <w:tcBorders>
              <w:bottom w:val="single" w:sz="8" w:color="454546"/>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1000" w:type="dxa"/>
            <w:vAlign w:val="bottom"/>
            <w:tcBorders>
              <w:bottom w:val="single" w:sz="8" w:color="454546"/>
            </w:tcBorders>
          </w:tcPr>
          <w:p>
            <w:pPr>
              <w:ind w:left="240"/>
              <w:spacing w:after="0"/>
              <w:rPr>
                <w:sz w:val="20"/>
                <w:szCs w:val="20"/>
                <w:color w:val="auto"/>
              </w:rPr>
            </w:pPr>
            <w:r>
              <w:rPr>
                <w:rFonts w:ascii="Times New Roman" w:cs="Times New Roman" w:eastAsia="Times New Roman" w:hAnsi="Times New Roman"/>
                <w:sz w:val="16"/>
                <w:szCs w:val="16"/>
                <w:b w:val="1"/>
                <w:bCs w:val="1"/>
                <w:color w:val="454546"/>
              </w:rPr>
              <w:t>Percent</w:t>
            </w:r>
          </w:p>
        </w:tc>
        <w:tc>
          <w:tcPr>
            <w:tcW w:w="80" w:type="dxa"/>
            <w:vAlign w:val="bottom"/>
            <w:tcBorders>
              <w:bottom w:val="single" w:sz="8" w:color="E3E4E5"/>
            </w:tcBorders>
          </w:tcPr>
          <w:p>
            <w:pPr>
              <w:spacing w:after="0"/>
              <w:rPr>
                <w:sz w:val="20"/>
                <w:szCs w:val="20"/>
                <w:color w:val="auto"/>
              </w:rPr>
            </w:pPr>
          </w:p>
        </w:tc>
        <w:tc>
          <w:tcPr>
            <w:tcW w:w="400" w:type="dxa"/>
            <w:vAlign w:val="bottom"/>
            <w:tcBorders>
              <w:bottom w:val="single" w:sz="8" w:color="454546"/>
            </w:tcBorders>
          </w:tcPr>
          <w:p>
            <w:pPr>
              <w:spacing w:after="0"/>
              <w:rPr>
                <w:sz w:val="20"/>
                <w:szCs w:val="20"/>
                <w:color w:val="auto"/>
              </w:rPr>
            </w:pPr>
          </w:p>
        </w:tc>
        <w:tc>
          <w:tcPr>
            <w:tcW w:w="960" w:type="dxa"/>
            <w:vAlign w:val="bottom"/>
            <w:tcBorders>
              <w:bottom w:val="single" w:sz="8" w:color="454546"/>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60" w:type="dxa"/>
            <w:vAlign w:val="bottom"/>
            <w:tcBorders>
              <w:bottom w:val="single" w:sz="8" w:color="E3E4E5"/>
            </w:tcBorders>
          </w:tcPr>
          <w:p>
            <w:pPr>
              <w:spacing w:after="0"/>
              <w:rPr>
                <w:sz w:val="20"/>
                <w:szCs w:val="20"/>
                <w:color w:val="auto"/>
              </w:rPr>
            </w:pPr>
          </w:p>
        </w:tc>
        <w:tc>
          <w:tcPr>
            <w:tcW w:w="1020" w:type="dxa"/>
            <w:vAlign w:val="bottom"/>
            <w:tcBorders>
              <w:bottom w:val="single" w:sz="8" w:color="454546"/>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454546"/>
              </w:rPr>
              <w:t>Percent</w:t>
            </w:r>
          </w:p>
        </w:tc>
      </w:tr>
      <w:tr>
        <w:trPr>
          <w:trHeight w:val="275"/>
        </w:trPr>
        <w:tc>
          <w:tcPr>
            <w:tcW w:w="5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Tax provision (benefit) at statutory U.S. rate</w:t>
            </w:r>
          </w:p>
        </w:tc>
        <w:tc>
          <w:tcPr>
            <w:tcW w:w="420" w:type="dxa"/>
            <w:vAlign w:val="bottom"/>
            <w:gridSpan w:val="2"/>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(3,906)</w:t>
            </w:r>
          </w:p>
        </w:tc>
        <w:tc>
          <w:tcPr>
            <w:tcW w:w="1540" w:type="dxa"/>
            <w:vAlign w:val="bottom"/>
            <w:gridSpan w:val="4"/>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454546"/>
              </w:rPr>
              <w:t>21.0 %  $</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(19,373)</w:t>
            </w:r>
          </w:p>
        </w:tc>
        <w:tc>
          <w:tcPr>
            <w:tcW w:w="10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-205740</wp:posOffset>
            </wp:positionV>
            <wp:extent cx="318452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9">
                      <a:extLst>
                        <a:ext uri="{28A0092B-C50C-407E-A947-70E740481C1C}"/>
                      </a:extLst>
                    </a:blip>
                    <a:srcRect/>
                    <a:stretch>
                      <a:fillRect/>
                    </a:stretch>
                  </pic:blipFill>
                  <pic:spPr bwMode="auto">
                    <a:xfrm>
                      <a:off x="0" y="0"/>
                      <a:ext cx="3184525" cy="5080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0"/>
          <w:szCs w:val="20"/>
          <w:color w:val="454546"/>
        </w:rPr>
        <w:t>Increase (decrease) in tax provision (benefit) resulting from: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Distribution of previously taxed foreign earnings and</w:t>
            </w:r>
          </w:p>
        </w:tc>
        <w:tc>
          <w:tcPr>
            <w:tcW w:w="460" w:type="dxa"/>
            <w:vAlign w:val="bottom"/>
            <w:shd w:val="clear" w:color="auto" w:fill="E3E4E5"/>
          </w:tcPr>
          <w:p>
            <w:pPr>
              <w:spacing w:after="0"/>
              <w:rPr>
                <w:sz w:val="19"/>
                <w:szCs w:val="19"/>
                <w:color w:val="auto"/>
              </w:rPr>
            </w:pP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19"/>
                <w:szCs w:val="19"/>
                <w:color w:val="auto"/>
              </w:rPr>
            </w:pPr>
          </w:p>
        </w:tc>
        <w:tc>
          <w:tcPr>
            <w:tcW w:w="8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400" w:type="dxa"/>
            <w:vAlign w:val="bottom"/>
            <w:shd w:val="clear" w:color="auto" w:fill="E3E4E5"/>
          </w:tcPr>
          <w:p>
            <w:pPr>
              <w:spacing w:after="0"/>
              <w:rPr>
                <w:sz w:val="19"/>
                <w:szCs w:val="19"/>
                <w:color w:val="auto"/>
              </w:rPr>
            </w:pPr>
          </w:p>
        </w:tc>
        <w:tc>
          <w:tcPr>
            <w:tcW w:w="9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(9,450)</w:t>
            </w:r>
          </w:p>
        </w:tc>
        <w:tc>
          <w:tcPr>
            <w:tcW w:w="1080" w:type="dxa"/>
            <w:vAlign w:val="bottom"/>
            <w:gridSpan w:val="2"/>
            <w:vMerge w:val="restart"/>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10.2</w:t>
            </w:r>
          </w:p>
        </w:tc>
        <w:tc>
          <w:tcPr>
            <w:tcW w:w="0" w:type="dxa"/>
            <w:vAlign w:val="bottom"/>
          </w:tcPr>
          <w:p>
            <w:pPr>
              <w:spacing w:after="0"/>
              <w:rPr>
                <w:sz w:val="1"/>
                <w:szCs w:val="1"/>
                <w:color w:val="auto"/>
              </w:rPr>
            </w:pPr>
          </w:p>
        </w:tc>
      </w:tr>
      <w:tr>
        <w:trPr>
          <w:trHeight w:val="274"/>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profits</w:t>
            </w:r>
          </w:p>
        </w:tc>
        <w:tc>
          <w:tcPr>
            <w:tcW w:w="460" w:type="dxa"/>
            <w:vAlign w:val="bottom"/>
            <w:shd w:val="clear" w:color="auto" w:fill="E3E4E5"/>
          </w:tcPr>
          <w:p>
            <w:pPr>
              <w:spacing w:after="0"/>
              <w:rPr>
                <w:sz w:val="23"/>
                <w:szCs w:val="23"/>
                <w:color w:val="auto"/>
              </w:rPr>
            </w:pPr>
          </w:p>
        </w:tc>
        <w:tc>
          <w:tcPr>
            <w:tcW w:w="900" w:type="dxa"/>
            <w:vAlign w:val="bottom"/>
            <w:vMerge w:val="continue"/>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820" w:type="dxa"/>
            <w:vAlign w:val="bottom"/>
            <w:vMerge w:val="continue"/>
            <w:shd w:val="clear" w:color="auto" w:fill="E3E4E5"/>
          </w:tcPr>
          <w:p>
            <w:pPr>
              <w:spacing w:after="0"/>
              <w:rPr>
                <w:sz w:val="23"/>
                <w:szCs w:val="23"/>
                <w:color w:val="auto"/>
              </w:rPr>
            </w:pPr>
          </w:p>
        </w:tc>
        <w:tc>
          <w:tcPr>
            <w:tcW w:w="18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400" w:type="dxa"/>
            <w:vAlign w:val="bottom"/>
            <w:shd w:val="clear" w:color="auto" w:fill="E3E4E5"/>
          </w:tcPr>
          <w:p>
            <w:pPr>
              <w:spacing w:after="0"/>
              <w:rPr>
                <w:sz w:val="23"/>
                <w:szCs w:val="23"/>
                <w:color w:val="auto"/>
              </w:rPr>
            </w:pPr>
          </w:p>
        </w:tc>
        <w:tc>
          <w:tcPr>
            <w:tcW w:w="960" w:type="dxa"/>
            <w:vAlign w:val="bottom"/>
            <w:vMerge w:val="continue"/>
            <w:shd w:val="clear" w:color="auto" w:fill="E3E4E5"/>
          </w:tcPr>
          <w:p>
            <w:pPr>
              <w:spacing w:after="0"/>
              <w:rPr>
                <w:sz w:val="23"/>
                <w:szCs w:val="23"/>
                <w:color w:val="auto"/>
              </w:rPr>
            </w:pPr>
          </w:p>
        </w:tc>
        <w:tc>
          <w:tcPr>
            <w:tcW w:w="1080" w:type="dxa"/>
            <w:vAlign w:val="bottom"/>
            <w:gridSpan w:val="2"/>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Federal research and development credits</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(816)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4.3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(1,043)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1.1</w:t>
            </w:r>
          </w:p>
        </w:tc>
        <w:tc>
          <w:tcPr>
            <w:tcW w:w="0" w:type="dxa"/>
            <w:vAlign w:val="bottom"/>
          </w:tcPr>
          <w:p>
            <w:pPr>
              <w:spacing w:after="0"/>
              <w:rPr>
                <w:sz w:val="1"/>
                <w:szCs w:val="1"/>
                <w:color w:val="auto"/>
              </w:rPr>
            </w:pPr>
          </w:p>
        </w:tc>
      </w:tr>
      <w:tr>
        <w:trPr>
          <w:trHeight w:val="292"/>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Foreign participation exemption</w:t>
            </w:r>
          </w:p>
        </w:tc>
        <w:tc>
          <w:tcPr>
            <w:tcW w:w="4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(12,571)</w:t>
            </w:r>
          </w:p>
        </w:tc>
        <w:tc>
          <w:tcPr>
            <w:tcW w:w="10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13.6</w:t>
            </w:r>
          </w:p>
        </w:tc>
        <w:tc>
          <w:tcPr>
            <w:tcW w:w="0" w:type="dxa"/>
            <w:vAlign w:val="bottom"/>
          </w:tcPr>
          <w:p>
            <w:pPr>
              <w:spacing w:after="0"/>
              <w:rPr>
                <w:sz w:val="1"/>
                <w:szCs w:val="1"/>
                <w:color w:val="auto"/>
              </w:rPr>
            </w:pPr>
          </w:p>
        </w:tc>
      </w:tr>
      <w:tr>
        <w:trPr>
          <w:trHeight w:val="278"/>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Foreign permanent benefit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5"/>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(1,426)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1.6</w:t>
            </w:r>
          </w:p>
        </w:tc>
        <w:tc>
          <w:tcPr>
            <w:tcW w:w="0" w:type="dxa"/>
            <w:vAlign w:val="bottom"/>
          </w:tcPr>
          <w:p>
            <w:pPr>
              <w:spacing w:after="0"/>
              <w:rPr>
                <w:sz w:val="1"/>
                <w:szCs w:val="1"/>
                <w:color w:val="auto"/>
              </w:rPr>
            </w:pPr>
          </w:p>
        </w:tc>
      </w:tr>
      <w:tr>
        <w:trPr>
          <w:trHeight w:val="307"/>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Foreign tax rate differential</w:t>
            </w:r>
          </w:p>
        </w:tc>
        <w:tc>
          <w:tcPr>
            <w:tcW w:w="4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(295)</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w:t>
            </w:r>
          </w:p>
        </w:tc>
        <w:tc>
          <w:tcPr>
            <w:tcW w:w="1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21,794</w:t>
            </w:r>
          </w:p>
        </w:tc>
        <w:tc>
          <w:tcPr>
            <w:tcW w:w="108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(23.6)</w:t>
            </w:r>
          </w:p>
        </w:tc>
        <w:tc>
          <w:tcPr>
            <w:tcW w:w="0" w:type="dxa"/>
            <w:vAlign w:val="bottom"/>
          </w:tcPr>
          <w:p>
            <w:pPr>
              <w:spacing w:after="0"/>
              <w:rPr>
                <w:sz w:val="1"/>
                <w:szCs w:val="1"/>
                <w:color w:val="auto"/>
              </w:rPr>
            </w:pPr>
          </w:p>
        </w:tc>
      </w:tr>
      <w:tr>
        <w:trPr>
          <w:trHeight w:val="260"/>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Foreign undistributed earnings, net of credits</w:t>
            </w:r>
          </w:p>
        </w:tc>
        <w:tc>
          <w:tcPr>
            <w:tcW w:w="46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6,231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(33.2)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7,198</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454546"/>
              </w:rPr>
              <w:t>(7.8)</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Goodwill impairment</w:t>
            </w:r>
          </w:p>
        </w:tc>
        <w:tc>
          <w:tcPr>
            <w:tcW w:w="4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5,383</w:t>
            </w:r>
          </w:p>
        </w:tc>
        <w:tc>
          <w:tcPr>
            <w:tcW w:w="108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(5.8)</w:t>
            </w:r>
          </w:p>
        </w:tc>
        <w:tc>
          <w:tcPr>
            <w:tcW w:w="0" w:type="dxa"/>
            <w:vAlign w:val="bottom"/>
          </w:tcPr>
          <w:p>
            <w:pPr>
              <w:spacing w:after="0"/>
              <w:rPr>
                <w:sz w:val="1"/>
                <w:szCs w:val="1"/>
                <w:color w:val="auto"/>
              </w:rPr>
            </w:pPr>
          </w:p>
        </w:tc>
      </w:tr>
      <w:tr>
        <w:trPr>
          <w:trHeight w:val="293"/>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Non-deductible items</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594</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(0.6)</w:t>
            </w:r>
          </w:p>
        </w:tc>
        <w:tc>
          <w:tcPr>
            <w:tcW w:w="0" w:type="dxa"/>
            <w:vAlign w:val="bottom"/>
          </w:tcPr>
          <w:p>
            <w:pPr>
              <w:spacing w:after="0"/>
              <w:rPr>
                <w:sz w:val="1"/>
                <w:szCs w:val="1"/>
                <w:color w:val="auto"/>
              </w:rPr>
            </w:pPr>
          </w:p>
        </w:tc>
      </w:tr>
      <w:tr>
        <w:trPr>
          <w:trHeight w:val="307"/>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Non-territorial income</w:t>
            </w:r>
          </w:p>
        </w:tc>
        <w:tc>
          <w:tcPr>
            <w:tcW w:w="4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(2,088)</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11.1</w:t>
            </w:r>
          </w:p>
        </w:tc>
        <w:tc>
          <w:tcPr>
            <w:tcW w:w="1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(945)</w:t>
            </w:r>
          </w:p>
        </w:tc>
        <w:tc>
          <w:tcPr>
            <w:tcW w:w="10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1.0</w:t>
            </w:r>
          </w:p>
        </w:tc>
        <w:tc>
          <w:tcPr>
            <w:tcW w:w="0" w:type="dxa"/>
            <w:vAlign w:val="bottom"/>
          </w:tcPr>
          <w:p>
            <w:pPr>
              <w:spacing w:after="0"/>
              <w:rPr>
                <w:sz w:val="1"/>
                <w:szCs w:val="1"/>
                <w:color w:val="auto"/>
              </w:rPr>
            </w:pPr>
          </w:p>
        </w:tc>
      </w:tr>
      <w:tr>
        <w:trPr>
          <w:trHeight w:val="293"/>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Provision to return</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w:t>
            </w:r>
          </w:p>
        </w:tc>
        <w:tc>
          <w:tcPr>
            <w:tcW w:w="60" w:type="dxa"/>
            <w:vAlign w:val="bottom"/>
          </w:tcPr>
          <w:p>
            <w:pPr>
              <w:spacing w:after="0"/>
              <w:rPr>
                <w:sz w:val="24"/>
                <w:szCs w:val="24"/>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307"/>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State and local taxes, net</w:t>
            </w:r>
          </w:p>
        </w:tc>
        <w:tc>
          <w:tcPr>
            <w:tcW w:w="4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(992)</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5.3</w:t>
            </w:r>
          </w:p>
        </w:tc>
        <w:tc>
          <w:tcPr>
            <w:tcW w:w="1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(2,629)</w:t>
            </w:r>
          </w:p>
        </w:tc>
        <w:tc>
          <w:tcPr>
            <w:tcW w:w="10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2.9</w:t>
            </w:r>
          </w:p>
        </w:tc>
        <w:tc>
          <w:tcPr>
            <w:tcW w:w="0" w:type="dxa"/>
            <w:vAlign w:val="bottom"/>
          </w:tcPr>
          <w:p>
            <w:pPr>
              <w:spacing w:after="0"/>
              <w:rPr>
                <w:sz w:val="1"/>
                <w:szCs w:val="1"/>
                <w:color w:val="auto"/>
              </w:rPr>
            </w:pPr>
          </w:p>
        </w:tc>
      </w:tr>
      <w:tr>
        <w:trPr>
          <w:trHeight w:val="293"/>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Stock-based compensation</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2,045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(10.9)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980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(1.1)</w:t>
            </w:r>
          </w:p>
        </w:tc>
        <w:tc>
          <w:tcPr>
            <w:tcW w:w="0" w:type="dxa"/>
            <w:vAlign w:val="bottom"/>
          </w:tcPr>
          <w:p>
            <w:pPr>
              <w:spacing w:after="0"/>
              <w:rPr>
                <w:sz w:val="1"/>
                <w:szCs w:val="1"/>
                <w:color w:val="auto"/>
              </w:rPr>
            </w:pPr>
          </w:p>
        </w:tc>
      </w:tr>
      <w:tr>
        <w:trPr>
          <w:trHeight w:val="292"/>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Tax rate change</w:t>
            </w:r>
          </w:p>
        </w:tc>
        <w:tc>
          <w:tcPr>
            <w:tcW w:w="4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(2,286)</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12.2</w:t>
            </w:r>
          </w:p>
        </w:tc>
        <w:tc>
          <w:tcPr>
            <w:tcW w:w="1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1,648</w:t>
            </w:r>
          </w:p>
        </w:tc>
        <w:tc>
          <w:tcPr>
            <w:tcW w:w="108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(1.8)</w:t>
            </w:r>
          </w:p>
        </w:tc>
        <w:tc>
          <w:tcPr>
            <w:tcW w:w="0" w:type="dxa"/>
            <w:vAlign w:val="bottom"/>
          </w:tcPr>
          <w:p>
            <w:pPr>
              <w:spacing w:after="0"/>
              <w:rPr>
                <w:sz w:val="1"/>
                <w:szCs w:val="1"/>
                <w:color w:val="auto"/>
              </w:rPr>
            </w:pPr>
          </w:p>
        </w:tc>
      </w:tr>
      <w:tr>
        <w:trPr>
          <w:trHeight w:val="293"/>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Valuation allowance</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5,943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(31.8)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15,090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(16.4)</w:t>
            </w:r>
          </w:p>
        </w:tc>
        <w:tc>
          <w:tcPr>
            <w:tcW w:w="0" w:type="dxa"/>
            <w:vAlign w:val="bottom"/>
          </w:tcPr>
          <w:p>
            <w:pPr>
              <w:spacing w:after="0"/>
              <w:rPr>
                <w:sz w:val="1"/>
                <w:szCs w:val="1"/>
                <w:color w:val="auto"/>
              </w:rPr>
            </w:pPr>
          </w:p>
        </w:tc>
      </w:tr>
      <w:tr>
        <w:trPr>
          <w:trHeight w:val="307"/>
        </w:trPr>
        <w:tc>
          <w:tcPr>
            <w:tcW w:w="532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Withholding tax</w:t>
            </w:r>
          </w:p>
        </w:tc>
        <w:tc>
          <w:tcPr>
            <w:tcW w:w="4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1,521</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(8.1)</w:t>
            </w:r>
          </w:p>
        </w:tc>
        <w:tc>
          <w:tcPr>
            <w:tcW w:w="1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1,229</w:t>
            </w:r>
          </w:p>
        </w:tc>
        <w:tc>
          <w:tcPr>
            <w:tcW w:w="108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(1.3)</w:t>
            </w:r>
          </w:p>
        </w:tc>
        <w:tc>
          <w:tcPr>
            <w:tcW w:w="0" w:type="dxa"/>
            <w:vAlign w:val="bottom"/>
          </w:tcPr>
          <w:p>
            <w:pPr>
              <w:spacing w:after="0"/>
              <w:rPr>
                <w:sz w:val="1"/>
                <w:szCs w:val="1"/>
                <w:color w:val="auto"/>
              </w:rPr>
            </w:pPr>
          </w:p>
        </w:tc>
      </w:tr>
      <w:tr>
        <w:trPr>
          <w:trHeight w:val="290"/>
        </w:trPr>
        <w:tc>
          <w:tcPr>
            <w:tcW w:w="532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454546"/>
              </w:rPr>
              <w:t>Other</w:t>
            </w:r>
          </w:p>
        </w:tc>
        <w:tc>
          <w:tcPr>
            <w:tcW w:w="460" w:type="dxa"/>
            <w:vAlign w:val="bottom"/>
            <w:tcBorders>
              <w:bottom w:val="single" w:sz="8" w:color="454546"/>
            </w:tcBorders>
          </w:tcPr>
          <w:p>
            <w:pPr>
              <w:spacing w:after="0"/>
              <w:rPr>
                <w:sz w:val="24"/>
                <w:szCs w:val="24"/>
                <w:color w:val="auto"/>
              </w:rPr>
            </w:pPr>
          </w:p>
        </w:tc>
        <w:tc>
          <w:tcPr>
            <w:tcW w:w="9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439</w:t>
            </w:r>
          </w:p>
        </w:tc>
        <w:tc>
          <w:tcPr>
            <w:tcW w:w="60" w:type="dxa"/>
            <w:vAlign w:val="bottom"/>
            <w:tcBorders>
              <w:bottom w:val="single" w:sz="8" w:color="E3E4E5"/>
            </w:tcBorders>
          </w:tcPr>
          <w:p>
            <w:pPr>
              <w:spacing w:after="0"/>
              <w:rPr>
                <w:sz w:val="24"/>
                <w:szCs w:val="24"/>
                <w:color w:val="auto"/>
              </w:rPr>
            </w:pPr>
          </w:p>
        </w:tc>
        <w:tc>
          <w:tcPr>
            <w:tcW w:w="8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(2.2)</w:t>
            </w:r>
          </w:p>
        </w:tc>
        <w:tc>
          <w:tcPr>
            <w:tcW w:w="180" w:type="dxa"/>
            <w:vAlign w:val="bottom"/>
            <w:tcBorders>
              <w:bottom w:val="single" w:sz="8" w:color="454546"/>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400" w:type="dxa"/>
            <w:vAlign w:val="bottom"/>
            <w:tcBorders>
              <w:bottom w:val="single" w:sz="8" w:color="454546"/>
            </w:tcBorders>
          </w:tcPr>
          <w:p>
            <w:pPr>
              <w:spacing w:after="0"/>
              <w:rPr>
                <w:sz w:val="24"/>
                <w:szCs w:val="24"/>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(476)</w:t>
            </w:r>
          </w:p>
        </w:tc>
        <w:tc>
          <w:tcPr>
            <w:tcW w:w="60" w:type="dxa"/>
            <w:vAlign w:val="bottom"/>
            <w:tcBorders>
              <w:bottom w:val="single" w:sz="8" w:color="E3E4E5"/>
            </w:tcBorders>
          </w:tcPr>
          <w:p>
            <w:pPr>
              <w:spacing w:after="0"/>
              <w:rPr>
                <w:sz w:val="24"/>
                <w:szCs w:val="24"/>
                <w:color w:val="auto"/>
              </w:rPr>
            </w:pPr>
          </w:p>
        </w:tc>
        <w:tc>
          <w:tcPr>
            <w:tcW w:w="1020" w:type="dxa"/>
            <w:vAlign w:val="bottom"/>
            <w:tcBorders>
              <w:bottom w:val="single" w:sz="8" w:color="454546"/>
            </w:tcBorders>
          </w:tcPr>
          <w:p>
            <w:pPr>
              <w:jc w:val="right"/>
              <w:ind w:right="160"/>
              <w:spacing w:after="0"/>
              <w:rPr>
                <w:sz w:val="20"/>
                <w:szCs w:val="20"/>
                <w:color w:val="auto"/>
              </w:rPr>
            </w:pPr>
            <w:r>
              <w:rPr>
                <w:rFonts w:ascii="Times New Roman" w:cs="Times New Roman" w:eastAsia="Times New Roman" w:hAnsi="Times New Roman"/>
                <w:sz w:val="20"/>
                <w:szCs w:val="20"/>
                <w:color w:val="454546"/>
              </w:rPr>
              <w:t>0.5</w:t>
            </w:r>
          </w:p>
        </w:tc>
        <w:tc>
          <w:tcPr>
            <w:tcW w:w="0" w:type="dxa"/>
            <w:vAlign w:val="bottom"/>
          </w:tcPr>
          <w:p>
            <w:pPr>
              <w:spacing w:after="0"/>
              <w:rPr>
                <w:sz w:val="1"/>
                <w:szCs w:val="1"/>
                <w:color w:val="auto"/>
              </w:rPr>
            </w:pPr>
          </w:p>
        </w:tc>
      </w:tr>
      <w:tr>
        <w:trPr>
          <w:trHeight w:val="280"/>
        </w:trPr>
        <w:tc>
          <w:tcPr>
            <w:tcW w:w="5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Tax provision</w:t>
            </w:r>
          </w:p>
        </w:tc>
        <w:tc>
          <w:tcPr>
            <w:tcW w:w="460" w:type="dxa"/>
            <w:vAlign w:val="bottom"/>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5,431</w:t>
            </w:r>
          </w:p>
        </w:tc>
        <w:tc>
          <w:tcPr>
            <w:tcW w:w="1540" w:type="dxa"/>
            <w:vAlign w:val="bottom"/>
            <w:gridSpan w:val="5"/>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454546"/>
              </w:rPr>
              <w:t>(28.7)%  $</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5,984</w:t>
            </w:r>
          </w:p>
        </w:tc>
        <w:tc>
          <w:tcPr>
            <w:tcW w:w="10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(6.5)%</w:t>
            </w:r>
          </w:p>
        </w:tc>
        <w:tc>
          <w:tcPr>
            <w:tcW w:w="0" w:type="dxa"/>
            <w:vAlign w:val="bottom"/>
          </w:tcPr>
          <w:p>
            <w:pPr>
              <w:spacing w:after="0"/>
              <w:rPr>
                <w:sz w:val="1"/>
                <w:szCs w:val="1"/>
                <w:color w:val="auto"/>
              </w:rPr>
            </w:pPr>
          </w:p>
        </w:tc>
      </w:tr>
      <w:tr>
        <w:trPr>
          <w:trHeight w:val="20"/>
        </w:trPr>
        <w:tc>
          <w:tcPr>
            <w:tcW w:w="5320" w:type="dxa"/>
            <w:vAlign w:val="bottom"/>
            <w:tcBorders>
              <w:top w:val="single" w:sz="8" w:color="E3E4E5"/>
            </w:tcBorders>
          </w:tcPr>
          <w:p>
            <w:pPr>
              <w:spacing w:after="0" w:line="20" w:lineRule="exact"/>
              <w:rPr>
                <w:sz w:val="1"/>
                <w:szCs w:val="1"/>
                <w:color w:val="auto"/>
              </w:rPr>
            </w:pPr>
          </w:p>
        </w:tc>
        <w:tc>
          <w:tcPr>
            <w:tcW w:w="460" w:type="dxa"/>
            <w:vAlign w:val="bottom"/>
            <w:tcBorders>
              <w:top w:val="single" w:sz="8" w:color="454546"/>
              <w:bottom w:val="single" w:sz="8" w:color="454546"/>
            </w:tcBorders>
          </w:tcPr>
          <w:p>
            <w:pPr>
              <w:spacing w:after="0" w:line="20" w:lineRule="exact"/>
              <w:rPr>
                <w:sz w:val="1"/>
                <w:szCs w:val="1"/>
                <w:color w:val="auto"/>
              </w:rPr>
            </w:pPr>
          </w:p>
        </w:tc>
        <w:tc>
          <w:tcPr>
            <w:tcW w:w="9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820" w:type="dxa"/>
            <w:vAlign w:val="bottom"/>
            <w:tcBorders>
              <w:top w:val="single" w:sz="8" w:color="454546"/>
              <w:bottom w:val="single" w:sz="8" w:color="454546"/>
            </w:tcBorders>
          </w:tcPr>
          <w:p>
            <w:pPr>
              <w:spacing w:after="0" w:line="20" w:lineRule="exact"/>
              <w:rPr>
                <w:sz w:val="1"/>
                <w:szCs w:val="1"/>
                <w:color w:val="auto"/>
              </w:rPr>
            </w:pPr>
          </w:p>
        </w:tc>
        <w:tc>
          <w:tcPr>
            <w:tcW w:w="1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40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02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-234315</wp:posOffset>
            </wp:positionV>
            <wp:extent cx="2520950"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0">
                      <a:extLst>
                        <a:ext uri="{28A0092B-C50C-407E-A947-70E740481C1C}"/>
                      </a:extLst>
                    </a:blip>
                    <a:srcRect/>
                    <a:stretch>
                      <a:fillRect/>
                    </a:stretch>
                  </pic:blipFill>
                  <pic:spPr bwMode="auto">
                    <a:xfrm>
                      <a:off x="0" y="0"/>
                      <a:ext cx="2520950"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-56515</wp:posOffset>
            </wp:positionV>
            <wp:extent cx="3184525" cy="7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1">
                      <a:extLst>
                        <a:ext uri="{28A0092B-C50C-407E-A947-70E740481C1C}"/>
                      </a:extLst>
                    </a:blip>
                    <a:srcRect/>
                    <a:stretch>
                      <a:fillRect/>
                    </a:stretch>
                  </pic:blipFill>
                  <pic:spPr bwMode="auto">
                    <a:xfrm>
                      <a:off x="0" y="0"/>
                      <a:ext cx="3184525" cy="76200"/>
                    </a:xfrm>
                    <a:prstGeom prst="rect">
                      <a:avLst/>
                    </a:prstGeom>
                    <a:noFill/>
                  </pic:spPr>
                </pic:pic>
              </a:graphicData>
            </a:graphic>
          </wp:anchor>
        </w:drawing>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69</w:t>
      </w:r>
    </w:p>
    <w:p>
      <w:pPr>
        <w:sectPr>
          <w:pgSz w:w="11880" w:h="15480" w:orient="portrait"/>
          <w:cols w:equalWidth="0" w:num="1">
            <w:col w:w="10260"/>
          </w:cols>
          <w:pgMar w:left="820" w:top="213" w:right="800" w:bottom="0" w:gutter="0" w:footer="0" w:header="0"/>
          <w:type w:val="continuous"/>
        </w:sectPr>
      </w:pPr>
    </w:p>
    <w:bookmarkStart w:id="73" w:name="page74"/>
    <w:bookmarkEnd w:id="73"/>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Net deferred tax assets were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1720" w:type="dxa"/>
            <w:vAlign w:val="bottom"/>
            <w:tcBorders>
              <w:bottom w:val="single" w:sz="8" w:color="454546"/>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Borders>
              <w:bottom w:val="single" w:sz="8" w:color="454546"/>
            </w:tcBorders>
          </w:tcPr>
          <w:p>
            <w:pPr>
              <w:spacing w:after="0"/>
              <w:rPr>
                <w:sz w:val="18"/>
                <w:szCs w:val="18"/>
                <w:color w:val="auto"/>
              </w:rPr>
            </w:pP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50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70"/>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Deferred tax assets:</w:t>
            </w:r>
          </w:p>
        </w:tc>
        <w:tc>
          <w:tcPr>
            <w:tcW w:w="360" w:type="dxa"/>
            <w:vAlign w:val="bottom"/>
            <w:tcBorders>
              <w:bottom w:val="single" w:sz="8" w:color="E3E4E5"/>
            </w:tcBorders>
            <w:shd w:val="clear" w:color="auto" w:fill="E3E4E5"/>
          </w:tcPr>
          <w:p>
            <w:pPr>
              <w:spacing w:after="0"/>
              <w:rPr>
                <w:sz w:val="23"/>
                <w:szCs w:val="23"/>
                <w:color w:val="auto"/>
              </w:rPr>
            </w:pPr>
          </w:p>
        </w:tc>
        <w:tc>
          <w:tcPr>
            <w:tcW w:w="1140" w:type="dxa"/>
            <w:vAlign w:val="bottom"/>
            <w:tcBorders>
              <w:bottom w:val="single" w:sz="8" w:color="E3E4E5"/>
            </w:tcBorders>
            <w:shd w:val="clear" w:color="auto" w:fill="E3E4E5"/>
          </w:tcPr>
          <w:p>
            <w:pPr>
              <w:spacing w:after="0"/>
              <w:rPr>
                <w:sz w:val="23"/>
                <w:szCs w:val="23"/>
                <w:color w:val="auto"/>
              </w:rPr>
            </w:pPr>
          </w:p>
        </w:tc>
        <w:tc>
          <w:tcPr>
            <w:tcW w:w="80" w:type="dxa"/>
            <w:vAlign w:val="bottom"/>
            <w:tcBorders>
              <w:bottom w:val="single" w:sz="8" w:color="E3E4E5"/>
            </w:tcBorders>
            <w:shd w:val="clear" w:color="auto" w:fill="E3E4E5"/>
          </w:tcPr>
          <w:p>
            <w:pPr>
              <w:spacing w:after="0"/>
              <w:rPr>
                <w:sz w:val="23"/>
                <w:szCs w:val="23"/>
                <w:color w:val="auto"/>
              </w:rPr>
            </w:pPr>
          </w:p>
        </w:tc>
        <w:tc>
          <w:tcPr>
            <w:tcW w:w="500" w:type="dxa"/>
            <w:vAlign w:val="bottom"/>
            <w:tcBorders>
              <w:bottom w:val="single" w:sz="8" w:color="E3E4E5"/>
            </w:tcBorders>
            <w:shd w:val="clear" w:color="auto" w:fill="E3E4E5"/>
          </w:tcPr>
          <w:p>
            <w:pPr>
              <w:spacing w:after="0"/>
              <w:rPr>
                <w:sz w:val="23"/>
                <w:szCs w:val="23"/>
                <w:color w:val="auto"/>
              </w:rPr>
            </w:pPr>
          </w:p>
        </w:tc>
        <w:tc>
          <w:tcPr>
            <w:tcW w:w="1000" w:type="dxa"/>
            <w:vAlign w:val="bottom"/>
            <w:tcBorders>
              <w:bottom w:val="single" w:sz="8" w:color="E3E4E5"/>
            </w:tcBorders>
            <w:shd w:val="clear" w:color="auto" w:fill="E3E4E5"/>
          </w:tcPr>
          <w:p>
            <w:pPr>
              <w:spacing w:after="0"/>
              <w:rPr>
                <w:sz w:val="23"/>
                <w:szCs w:val="23"/>
                <w:color w:val="auto"/>
              </w:rPr>
            </w:pPr>
          </w:p>
        </w:tc>
      </w:tr>
      <w:tr>
        <w:trPr>
          <w:trHeight w:val="294"/>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Accounts receivable</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2,245</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464</w:t>
            </w:r>
          </w:p>
        </w:tc>
      </w:tr>
      <w:tr>
        <w:trPr>
          <w:trHeight w:val="306"/>
        </w:trPr>
        <w:tc>
          <w:tcPr>
            <w:tcW w:w="7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Accrued liabilities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1,850</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4,820</w:t>
            </w:r>
          </w:p>
        </w:tc>
      </w:tr>
      <w:tr>
        <w:trPr>
          <w:trHeight w:val="294"/>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Amortization of intangible assets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8,404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9,223</w:t>
            </w:r>
          </w:p>
        </w:tc>
      </w:tr>
      <w:tr>
        <w:trPr>
          <w:trHeight w:val="306"/>
        </w:trPr>
        <w:tc>
          <w:tcPr>
            <w:tcW w:w="7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Capitalized inventory costs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3,391</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3,553</w:t>
            </w:r>
          </w:p>
        </w:tc>
      </w:tr>
      <w:tr>
        <w:trPr>
          <w:trHeight w:val="294"/>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Capitalized research and development costs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10,744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10,245</w:t>
            </w:r>
          </w:p>
        </w:tc>
      </w:tr>
      <w:tr>
        <w:trPr>
          <w:trHeight w:val="306"/>
        </w:trPr>
        <w:tc>
          <w:tcPr>
            <w:tcW w:w="7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Depreciation</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3,510</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3,797</w:t>
            </w:r>
          </w:p>
        </w:tc>
      </w:tr>
      <w:tr>
        <w:trPr>
          <w:trHeight w:val="294"/>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Income tax credits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21,560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20,375</w:t>
            </w:r>
          </w:p>
        </w:tc>
      </w:tr>
      <w:tr>
        <w:trPr>
          <w:trHeight w:val="306"/>
        </w:trPr>
        <w:tc>
          <w:tcPr>
            <w:tcW w:w="7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Inventory reserves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3,143</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2,371</w:t>
            </w:r>
          </w:p>
        </w:tc>
      </w:tr>
      <w:tr>
        <w:trPr>
          <w:trHeight w:val="294"/>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Net operating losses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15,296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14,003</w:t>
            </w:r>
          </w:p>
        </w:tc>
      </w:tr>
      <w:tr>
        <w:trPr>
          <w:trHeight w:val="306"/>
        </w:trPr>
        <w:tc>
          <w:tcPr>
            <w:tcW w:w="7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Operating lease obligations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1,953</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2,865</w:t>
            </w:r>
          </w:p>
        </w:tc>
      </w:tr>
      <w:tr>
        <w:trPr>
          <w:trHeight w:val="290"/>
        </w:trPr>
        <w:tc>
          <w:tcPr>
            <w:tcW w:w="718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454546"/>
              </w:rPr>
              <w:t>Stock-based compensation</w:t>
            </w: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2,664</w:t>
            </w:r>
          </w:p>
        </w:tc>
        <w:tc>
          <w:tcPr>
            <w:tcW w:w="80" w:type="dxa"/>
            <w:vAlign w:val="bottom"/>
            <w:tcBorders>
              <w:bottom w:val="single" w:sz="8" w:color="E3E4E5"/>
            </w:tcBorders>
          </w:tcPr>
          <w:p>
            <w:pPr>
              <w:spacing w:after="0"/>
              <w:rPr>
                <w:sz w:val="24"/>
                <w:szCs w:val="24"/>
                <w:color w:val="auto"/>
              </w:rPr>
            </w:pPr>
          </w:p>
        </w:tc>
        <w:tc>
          <w:tcPr>
            <w:tcW w:w="50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1"/>
              <w:spacing w:after="0"/>
              <w:rPr>
                <w:sz w:val="20"/>
                <w:szCs w:val="20"/>
                <w:color w:val="auto"/>
              </w:rPr>
            </w:pPr>
            <w:r>
              <w:rPr>
                <w:rFonts w:ascii="Times New Roman" w:cs="Times New Roman" w:eastAsia="Times New Roman" w:hAnsi="Times New Roman"/>
                <w:sz w:val="20"/>
                <w:szCs w:val="20"/>
                <w:color w:val="454546"/>
              </w:rPr>
              <w:t>2,915</w:t>
            </w:r>
          </w:p>
        </w:tc>
      </w:tr>
      <w:tr>
        <w:trPr>
          <w:trHeight w:val="290"/>
        </w:trPr>
        <w:tc>
          <w:tcPr>
            <w:tcW w:w="7180" w:type="dxa"/>
            <w:vAlign w:val="bottom"/>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Total deferred tax assets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74,760</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1"/>
              <w:spacing w:after="0"/>
              <w:rPr>
                <w:sz w:val="20"/>
                <w:szCs w:val="20"/>
                <w:color w:val="auto"/>
              </w:rPr>
            </w:pPr>
            <w:r>
              <w:rPr>
                <w:rFonts w:ascii="Times New Roman" w:cs="Times New Roman" w:eastAsia="Times New Roman" w:hAnsi="Times New Roman"/>
                <w:sz w:val="20"/>
                <w:szCs w:val="20"/>
                <w:color w:val="454546"/>
              </w:rPr>
              <w:t>74,631</w:t>
            </w:r>
          </w:p>
        </w:tc>
      </w:tr>
      <w:tr>
        <w:trPr>
          <w:trHeight w:val="26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Deferred tax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0"/>
        </w:trPr>
        <w:tc>
          <w:tcPr>
            <w:tcW w:w="7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00"/>
        </w:trPr>
        <w:tc>
          <w:tcPr>
            <w:tcW w:w="7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Right-of-use assets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(2,026)</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(3,175)</w:t>
            </w:r>
          </w:p>
        </w:tc>
      </w:tr>
      <w:tr>
        <w:trPr>
          <w:trHeight w:val="290"/>
        </w:trPr>
        <w:tc>
          <w:tcPr>
            <w:tcW w:w="718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454546"/>
              </w:rPr>
              <w:t>Other</w:t>
            </w: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(1,386)</w:t>
            </w:r>
          </w:p>
        </w:tc>
        <w:tc>
          <w:tcPr>
            <w:tcW w:w="80" w:type="dxa"/>
            <w:vAlign w:val="bottom"/>
            <w:tcBorders>
              <w:bottom w:val="single" w:sz="8" w:color="E3E4E5"/>
            </w:tcBorders>
          </w:tcPr>
          <w:p>
            <w:pPr>
              <w:spacing w:after="0"/>
              <w:rPr>
                <w:sz w:val="24"/>
                <w:szCs w:val="24"/>
                <w:color w:val="auto"/>
              </w:rPr>
            </w:pPr>
          </w:p>
        </w:tc>
        <w:tc>
          <w:tcPr>
            <w:tcW w:w="50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(1,333)</w:t>
            </w:r>
          </w:p>
        </w:tc>
      </w:tr>
      <w:tr>
        <w:trPr>
          <w:trHeight w:val="298"/>
        </w:trPr>
        <w:tc>
          <w:tcPr>
            <w:tcW w:w="7180" w:type="dxa"/>
            <w:vAlign w:val="bottom"/>
            <w:tcBorders>
              <w:bottom w:val="single" w:sz="8" w:color="E3E4E5"/>
            </w:tcBorders>
            <w:shd w:val="clear" w:color="auto" w:fill="E3E4E5"/>
          </w:tcPr>
          <w:p>
            <w:pPr>
              <w:ind w:left="760"/>
              <w:spacing w:after="0"/>
              <w:rPr>
                <w:sz w:val="20"/>
                <w:szCs w:val="20"/>
                <w:color w:val="auto"/>
              </w:rPr>
            </w:pPr>
            <w:r>
              <w:rPr>
                <w:rFonts w:ascii="Times New Roman" w:cs="Times New Roman" w:eastAsia="Times New Roman" w:hAnsi="Times New Roman"/>
                <w:sz w:val="20"/>
                <w:szCs w:val="20"/>
                <w:color w:val="454546"/>
              </w:rPr>
              <w:t>Total deferred tax liabilities</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(3,412)</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(4,508)</w:t>
            </w:r>
          </w:p>
        </w:tc>
      </w:tr>
      <w:tr>
        <w:trPr>
          <w:trHeight w:val="265"/>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Net deferred tax assets before valuation allowance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71,348</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70,123</w:t>
            </w:r>
          </w:p>
        </w:tc>
      </w:tr>
      <w:tr>
        <w:trPr>
          <w:trHeight w:val="315"/>
        </w:trPr>
        <w:tc>
          <w:tcPr>
            <w:tcW w:w="7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Less: Valuation allowance</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(67,359)</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(65,629)</w:t>
            </w:r>
          </w:p>
        </w:tc>
      </w:tr>
      <w:tr>
        <w:trPr>
          <w:trHeight w:val="242"/>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Net deferred tax assets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3,989</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454546"/>
              </w:rPr>
              <w:t>4,494</w:t>
            </w: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-3853815</wp:posOffset>
            </wp:positionV>
            <wp:extent cx="200342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2">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-1567815</wp:posOffset>
            </wp:positionV>
            <wp:extent cx="1025525"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3">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-805815</wp:posOffset>
            </wp:positionV>
            <wp:extent cx="1025525"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4">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-615315</wp:posOffset>
            </wp:positionV>
            <wp:extent cx="102552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5">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6">
                      <a:extLst>
                        <a:ext uri="{28A0092B-C50C-407E-A947-70E740481C1C}"/>
                      </a:extLst>
                    </a:blip>
                    <a:srcRect/>
                    <a:stretch>
                      <a:fillRect/>
                    </a:stretch>
                  </pic:blipFill>
                  <pic:spPr bwMode="auto">
                    <a:xfrm>
                      <a:off x="0" y="0"/>
                      <a:ext cx="1025525" cy="50800"/>
                    </a:xfrm>
                    <a:prstGeom prst="rect">
                      <a:avLst/>
                    </a:prstGeom>
                    <a:noFill/>
                  </pic:spPr>
                </pic:pic>
              </a:graphicData>
            </a:graphic>
          </wp:anchor>
        </w:drawing>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At December 31, 2025, we had U.S. federal and state Research and Development ("R&amp;D") income tax credit carryforwards of approximately $6.5 million and $18.4 million, respectively. The federal R&amp;D income tax credits begin expiring in 2039. The state R&amp;D income tax credits do not have an expiration date.</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At December 31, 2025, we had U.S. federal, state and local, and foreign net operating loss carryforwards of approximately $38.7 million, $108.1 million and $1.3 million, respectively. The U.S. federal net operating loss carryforwards do not have an expiration date. The state and local and foreign net operating loss carryforwards begin to expire in 2025 and 2028, respectively.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At December 31, 2025,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Due to cumulative operating losses for the three years ended December 31, 2025, we have recorded a valuation allowance against our U.S. federal, state, and foreign deferred tax assets of $41.9 million, $24.8 million, and $0.7 million respectively, as we have determined that it is more likely than not that the tax benefits will not be realized in the future. The valuation allowance increased by $1.7 million and $6.0 million during the years ended December 31, 2025 and 2024, respectively.</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In general, under Section 382, a corporation that undergoes an "ownership change" is subject to limitations on its ability to utilize pre-change net operating losses and tax credits to offset future taxable income. We do not believe that we have experienced such an ownership change and do not expect our net operating losses and tax credits to be subject to the limitations under Section 382.</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70</w:t>
      </w:r>
    </w:p>
    <w:p>
      <w:pPr>
        <w:sectPr>
          <w:pgSz w:w="11880" w:h="15480" w:orient="portrait"/>
          <w:cols w:equalWidth="0" w:num="1">
            <w:col w:w="10260"/>
          </w:cols>
          <w:pgMar w:left="820" w:top="213" w:right="800" w:bottom="0" w:gutter="0" w:footer="0" w:header="0"/>
          <w:type w:val="continuous"/>
        </w:sectPr>
      </w:pPr>
    </w:p>
    <w:bookmarkStart w:id="74" w:name="page75"/>
    <w:bookmarkEnd w:id="74"/>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Uncertain Tax Positions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At December 31, 2025 and 2024, we had gross unrecognized tax benefits of approximately $3.7 million including interest and penalties. In accordance with accounting guidance, we have elected to classify interest and penalties as components of tax expense. Interest and penalties were immaterial for the year ended December 31, 2025, 2024 and 2023. Interest and penalties are included in the unrecognized tax benefits.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Changes to our gross unrecognized tax benefits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35"/>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beginning of period</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7"/>
              <w:spacing w:after="0"/>
              <w:rPr>
                <w:sz w:val="20"/>
                <w:szCs w:val="20"/>
                <w:color w:val="auto"/>
              </w:rPr>
            </w:pPr>
            <w:r>
              <w:rPr>
                <w:rFonts w:ascii="Times New Roman" w:cs="Times New Roman" w:eastAsia="Times New Roman" w:hAnsi="Times New Roman"/>
                <w:sz w:val="20"/>
                <w:szCs w:val="20"/>
                <w:color w:val="454546"/>
              </w:rPr>
              <w:t>3,637</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3,315</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3,150</w:t>
            </w:r>
          </w:p>
        </w:tc>
      </w:tr>
      <w:tr>
        <w:trPr>
          <w:trHeight w:val="294"/>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Additions as a result of tax positions taken during the current year</w:t>
            </w:r>
          </w:p>
        </w:tc>
        <w:tc>
          <w:tcPr>
            <w:tcW w:w="3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153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322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165</w:t>
            </w:r>
          </w:p>
        </w:tc>
      </w:tr>
      <w:tr>
        <w:trPr>
          <w:trHeight w:val="315"/>
        </w:trPr>
        <w:tc>
          <w:tcPr>
            <w:tcW w:w="618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Other</w:t>
            </w: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(150)</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w:t>
            </w:r>
          </w:p>
        </w:tc>
      </w:tr>
      <w:tr>
        <w:trPr>
          <w:trHeight w:val="241"/>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Balance at end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3,640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3,637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3,315</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-805815</wp:posOffset>
            </wp:positionV>
            <wp:extent cx="2632075"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7">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177800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28">
                      <a:extLst>
                        <a:ext uri="{28A0092B-C50C-407E-A947-70E740481C1C}"/>
                      </a:extLst>
                    </a:blip>
                    <a:srcRect/>
                    <a:stretch>
                      <a:fillRect/>
                    </a:stretch>
                  </pic:blipFill>
                  <pic:spPr bwMode="auto">
                    <a:xfrm>
                      <a:off x="0" y="0"/>
                      <a:ext cx="1778000" cy="50800"/>
                    </a:xfrm>
                    <a:prstGeom prst="rect">
                      <a:avLst/>
                    </a:prstGeom>
                    <a:noFill/>
                  </pic:spPr>
                </pic:pic>
              </a:graphicData>
            </a:graphic>
          </wp:anchor>
        </w:drawing>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Approximately $3.7 million, $3.7 million and $3.3 million of the total amount of unrecognized tax benefits at December 31, 2025, 2024 and 2023, respectively, would favorably effect the annual effective tax rate if not for the valuation allowance. We have classified uncertain tax positions as non-current income tax liabilities unless expected to be paid within one year.</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file income tax returns in the U.S. and in various state and foreign jurisdictions. As of December 31, 2025, the open statutes of limitations for our significant tax jurisdictions are as follows: U.S. federal for 2022 through 2024, state and local for 2021 through 2024, and non-U.S. for 2019 through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Income Taxes Paid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Disclosed below is a summary of income taxes paid by jurisdiction for the year ended December 31,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280" w:type="dxa"/>
            <w:vAlign w:val="bottom"/>
          </w:tcPr>
          <w:p>
            <w:pPr>
              <w:spacing w:after="0"/>
              <w:rPr>
                <w:sz w:val="19"/>
                <w:szCs w:val="19"/>
                <w:color w:val="auto"/>
              </w:rPr>
            </w:pPr>
          </w:p>
        </w:tc>
        <w:tc>
          <w:tcPr>
            <w:tcW w:w="26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454546"/>
              </w:rPr>
              <w:t>Year Ended December 31, 2025</w:t>
            </w:r>
          </w:p>
        </w:tc>
      </w:tr>
      <w:tr>
        <w:trPr>
          <w:trHeight w:val="308"/>
        </w:trPr>
        <w:tc>
          <w:tcPr>
            <w:tcW w:w="7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United States - Federal</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2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(316)</w:t>
            </w:r>
          </w:p>
        </w:tc>
      </w:tr>
      <w:tr>
        <w:trPr>
          <w:trHeight w:val="293"/>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United States - State and local</w:t>
            </w:r>
          </w:p>
        </w:tc>
        <w:tc>
          <w:tcPr>
            <w:tcW w:w="28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w:t>
            </w:r>
          </w:p>
        </w:tc>
      </w:tr>
      <w:tr>
        <w:trPr>
          <w:trHeight w:val="307"/>
        </w:trPr>
        <w:tc>
          <w:tcPr>
            <w:tcW w:w="7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Brazil</w:t>
            </w:r>
          </w:p>
        </w:tc>
        <w:tc>
          <w:tcPr>
            <w:tcW w:w="280" w:type="dxa"/>
            <w:vAlign w:val="bottom"/>
            <w:shd w:val="clear" w:color="auto" w:fill="E3E4E5"/>
          </w:tcPr>
          <w:p>
            <w:pPr>
              <w:spacing w:after="0"/>
              <w:rPr>
                <w:sz w:val="24"/>
                <w:szCs w:val="24"/>
                <w:color w:val="auto"/>
              </w:rPr>
            </w:pPr>
          </w:p>
        </w:tc>
        <w:tc>
          <w:tcPr>
            <w:tcW w:w="266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466</w:t>
            </w:r>
          </w:p>
        </w:tc>
      </w:tr>
      <w:tr>
        <w:trPr>
          <w:trHeight w:val="293"/>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China</w:t>
            </w:r>
          </w:p>
        </w:tc>
        <w:tc>
          <w:tcPr>
            <w:tcW w:w="280" w:type="dxa"/>
            <w:vAlign w:val="bottom"/>
          </w:tcPr>
          <w:p>
            <w:pPr>
              <w:spacing w:after="0"/>
              <w:rPr>
                <w:sz w:val="24"/>
                <w:szCs w:val="24"/>
                <w:color w:val="auto"/>
              </w:rPr>
            </w:pPr>
          </w:p>
        </w:tc>
        <w:tc>
          <w:tcPr>
            <w:tcW w:w="2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237</w:t>
            </w:r>
          </w:p>
        </w:tc>
      </w:tr>
      <w:tr>
        <w:trPr>
          <w:trHeight w:val="307"/>
        </w:trPr>
        <w:tc>
          <w:tcPr>
            <w:tcW w:w="7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Hong Kong</w:t>
            </w:r>
          </w:p>
        </w:tc>
        <w:tc>
          <w:tcPr>
            <w:tcW w:w="280" w:type="dxa"/>
            <w:vAlign w:val="bottom"/>
            <w:shd w:val="clear" w:color="auto" w:fill="E3E4E5"/>
          </w:tcPr>
          <w:p>
            <w:pPr>
              <w:spacing w:after="0"/>
              <w:rPr>
                <w:sz w:val="24"/>
                <w:szCs w:val="24"/>
                <w:color w:val="auto"/>
              </w:rPr>
            </w:pPr>
          </w:p>
        </w:tc>
        <w:tc>
          <w:tcPr>
            <w:tcW w:w="266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1,223</w:t>
            </w:r>
          </w:p>
        </w:tc>
      </w:tr>
      <w:tr>
        <w:trPr>
          <w:trHeight w:val="293"/>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India</w:t>
            </w:r>
          </w:p>
        </w:tc>
        <w:tc>
          <w:tcPr>
            <w:tcW w:w="280" w:type="dxa"/>
            <w:vAlign w:val="bottom"/>
          </w:tcPr>
          <w:p>
            <w:pPr>
              <w:spacing w:after="0"/>
              <w:rPr>
                <w:sz w:val="24"/>
                <w:szCs w:val="24"/>
                <w:color w:val="auto"/>
              </w:rPr>
            </w:pPr>
          </w:p>
        </w:tc>
        <w:tc>
          <w:tcPr>
            <w:tcW w:w="2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302</w:t>
            </w:r>
          </w:p>
        </w:tc>
      </w:tr>
      <w:tr>
        <w:trPr>
          <w:trHeight w:val="307"/>
        </w:trPr>
        <w:tc>
          <w:tcPr>
            <w:tcW w:w="7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Mexico</w:t>
            </w:r>
          </w:p>
        </w:tc>
        <w:tc>
          <w:tcPr>
            <w:tcW w:w="280" w:type="dxa"/>
            <w:vAlign w:val="bottom"/>
            <w:shd w:val="clear" w:color="auto" w:fill="E3E4E5"/>
          </w:tcPr>
          <w:p>
            <w:pPr>
              <w:spacing w:after="0"/>
              <w:rPr>
                <w:sz w:val="24"/>
                <w:szCs w:val="24"/>
                <w:color w:val="auto"/>
              </w:rPr>
            </w:pPr>
          </w:p>
        </w:tc>
        <w:tc>
          <w:tcPr>
            <w:tcW w:w="266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275</w:t>
            </w:r>
          </w:p>
        </w:tc>
      </w:tr>
      <w:tr>
        <w:trPr>
          <w:trHeight w:val="293"/>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Vietnam</w:t>
            </w:r>
          </w:p>
        </w:tc>
        <w:tc>
          <w:tcPr>
            <w:tcW w:w="280" w:type="dxa"/>
            <w:vAlign w:val="bottom"/>
          </w:tcPr>
          <w:p>
            <w:pPr>
              <w:spacing w:after="0"/>
              <w:rPr>
                <w:sz w:val="24"/>
                <w:szCs w:val="24"/>
                <w:color w:val="auto"/>
              </w:rPr>
            </w:pPr>
          </w:p>
        </w:tc>
        <w:tc>
          <w:tcPr>
            <w:tcW w:w="2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260</w:t>
            </w:r>
          </w:p>
        </w:tc>
      </w:tr>
      <w:tr>
        <w:trPr>
          <w:trHeight w:val="315"/>
        </w:trPr>
        <w:tc>
          <w:tcPr>
            <w:tcW w:w="732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Other</w:t>
            </w:r>
          </w:p>
        </w:tc>
        <w:tc>
          <w:tcPr>
            <w:tcW w:w="280" w:type="dxa"/>
            <w:vAlign w:val="bottom"/>
            <w:tcBorders>
              <w:bottom w:val="single" w:sz="8" w:color="454546"/>
            </w:tcBorders>
            <w:shd w:val="clear" w:color="auto" w:fill="E3E4E5"/>
          </w:tcPr>
          <w:p>
            <w:pPr>
              <w:spacing w:after="0"/>
              <w:rPr>
                <w:sz w:val="24"/>
                <w:szCs w:val="24"/>
                <w:color w:val="auto"/>
              </w:rPr>
            </w:pPr>
          </w:p>
        </w:tc>
        <w:tc>
          <w:tcPr>
            <w:tcW w:w="266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187</w:t>
            </w:r>
          </w:p>
        </w:tc>
      </w:tr>
      <w:tr>
        <w:trPr>
          <w:trHeight w:val="242"/>
        </w:trPr>
        <w:tc>
          <w:tcPr>
            <w:tcW w:w="73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 income taxes paid, net</w:t>
            </w:r>
          </w:p>
        </w:tc>
        <w:tc>
          <w:tcPr>
            <w:tcW w:w="280" w:type="dxa"/>
            <w:vAlign w:val="bottom"/>
            <w:tcBorders>
              <w:bottom w:val="single" w:sz="8" w:color="454546"/>
            </w:tcBorders>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2660" w:type="dxa"/>
            <w:vAlign w:val="bottom"/>
            <w:tcBorders>
              <w:bottom w:val="single" w:sz="8" w:color="454546"/>
            </w:tcBorders>
          </w:tcPr>
          <w:p>
            <w:pPr>
              <w:jc w:val="right"/>
              <w:ind w:right="2"/>
              <w:spacing w:after="0"/>
              <w:rPr>
                <w:sz w:val="20"/>
                <w:szCs w:val="20"/>
                <w:color w:val="auto"/>
              </w:rPr>
            </w:pPr>
            <w:r>
              <w:rPr>
                <w:rFonts w:ascii="Times New Roman" w:cs="Times New Roman" w:eastAsia="Times New Roman" w:hAnsi="Times New Roman"/>
                <w:sz w:val="20"/>
                <w:szCs w:val="20"/>
                <w:color w:val="454546"/>
              </w:rPr>
              <w:t>2,624</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2660" w:type="dxa"/>
            <w:vAlign w:val="bottom"/>
            <w:tcBorders>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4644390</wp:posOffset>
                </wp:positionH>
                <wp:positionV relativeFrom="paragraph">
                  <wp:posOffset>-215900</wp:posOffset>
                </wp:positionV>
                <wp:extent cx="13335" cy="1270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4E5"/>
                        </a:solidFill>
                      </wps:spPr>
                      <wps:bodyPr/>
                    </wps:wsp>
                  </a:graphicData>
                </a:graphic>
              </wp:anchor>
            </w:drawing>
          </mc:Choice>
          <mc:Fallback>
            <w:pict>
              <v:rect id="Shape 186" o:spid="_x0000_s1211" style="position:absolute;margin-left:365.7pt;margin-top:-17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Indefinite Reinvestment Assertion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foreign subsidiaries, including potential foreign withholding taxes on distributions. For the years ended December 31, 2025, 2024 and 2023, we recorded a deferred tax liability of $1.9 million, $0.4 million and $0.4 million, respectively, relating to state tax and foreign tax withholding liabilities on future distributions.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71</w:t>
      </w:r>
    </w:p>
    <w:p>
      <w:pPr>
        <w:sectPr>
          <w:pgSz w:w="11880" w:h="15480" w:orient="portrait"/>
          <w:cols w:equalWidth="0" w:num="1">
            <w:col w:w="10260"/>
          </w:cols>
          <w:pgMar w:left="820" w:top="213" w:right="800" w:bottom="0" w:gutter="0" w:footer="0" w:header="0"/>
          <w:type w:val="continuous"/>
        </w:sectPr>
      </w:pPr>
    </w:p>
    <w:bookmarkStart w:id="75" w:name="page76"/>
    <w:bookmarkEnd w:id="75"/>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Enactment of H.R.1</w:t>
      </w:r>
    </w:p>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On July 4, 2025, H.R.1, commonly referred to as the One Big Beautiful Bill Act, was enacted in the U.S., which includes a broad range of tax reform provisions, including extending and modifying certain key Tax Cuts and Jobs Act provisions (both domestic and international), and provisions allowing accelerated tax deductions for qualified property and research expenditures. The legislation has multiple effective dates, with certain provisions effective in 2025 and others to be implemented through 2027. The legislation’s enactment did not materially impact our effective income tax rate or cash tax position for the year ended December 31, 2025.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11 — Accrued Compensation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components of accrued compensation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1720" w:type="dxa"/>
            <w:vAlign w:val="bottom"/>
            <w:tcBorders>
              <w:bottom w:val="single" w:sz="8" w:color="454546"/>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Borders>
              <w:bottom w:val="single" w:sz="8" w:color="454546"/>
            </w:tcBorders>
          </w:tcPr>
          <w:p>
            <w:pPr>
              <w:spacing w:after="0"/>
              <w:rPr>
                <w:sz w:val="18"/>
                <w:szCs w:val="18"/>
                <w:color w:val="auto"/>
              </w:rPr>
            </w:pP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50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Accrued bonus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1,863</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2,386</w:t>
            </w:r>
          </w:p>
        </w:tc>
      </w:tr>
      <w:tr>
        <w:trPr>
          <w:trHeight w:val="293"/>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Accrued commission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577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1,545</w:t>
            </w:r>
          </w:p>
        </w:tc>
      </w:tr>
      <w:tr>
        <w:trPr>
          <w:trHeight w:val="307"/>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 xml:space="preserve">Accrued salary/wages </w:t>
            </w:r>
            <w:r>
              <w:rPr>
                <w:rFonts w:ascii="Times New Roman" w:cs="Times New Roman" w:eastAsia="Times New Roman" w:hAnsi="Times New Roman"/>
                <w:sz w:val="26"/>
                <w:szCs w:val="26"/>
                <w:color w:val="454546"/>
                <w:vertAlign w:val="superscript"/>
              </w:rPr>
              <w:t>(1)</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4,606</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4,676</w:t>
            </w:r>
          </w:p>
        </w:tc>
      </w:tr>
      <w:tr>
        <w:trPr>
          <w:trHeight w:val="30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 xml:space="preserve">Accrued social insurance </w:t>
            </w:r>
            <w:r>
              <w:rPr>
                <w:rFonts w:ascii="Times New Roman" w:cs="Times New Roman" w:eastAsia="Times New Roman" w:hAnsi="Times New Roman"/>
                <w:sz w:val="26"/>
                <w:szCs w:val="26"/>
                <w:color w:val="454546"/>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7,065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6,718</w:t>
            </w:r>
          </w:p>
        </w:tc>
      </w:tr>
      <w:tr>
        <w:trPr>
          <w:trHeight w:val="30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Accrued vacation/holiday</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1,175</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3,036</w:t>
            </w:r>
          </w:p>
        </w:tc>
      </w:tr>
      <w:tr>
        <w:trPr>
          <w:trHeight w:val="290"/>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Other accrued compensation</w:t>
            </w:r>
          </w:p>
        </w:tc>
        <w:tc>
          <w:tcPr>
            <w:tcW w:w="360" w:type="dxa"/>
            <w:vAlign w:val="bottom"/>
            <w:tcBorders>
              <w:bottom w:val="single" w:sz="8" w:color="454546"/>
            </w:tcBorders>
          </w:tcPr>
          <w:p>
            <w:pPr>
              <w:spacing w:after="0"/>
              <w:rPr>
                <w:sz w:val="24"/>
                <w:szCs w:val="24"/>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2,210</w:t>
            </w:r>
          </w:p>
        </w:tc>
        <w:tc>
          <w:tcPr>
            <w:tcW w:w="80" w:type="dxa"/>
            <w:vAlign w:val="bottom"/>
            <w:tcBorders>
              <w:bottom w:val="single" w:sz="8" w:color="E3E4E5"/>
            </w:tcBorders>
          </w:tcPr>
          <w:p>
            <w:pPr>
              <w:spacing w:after="0"/>
              <w:rPr>
                <w:sz w:val="24"/>
                <w:szCs w:val="24"/>
                <w:color w:val="auto"/>
              </w:rPr>
            </w:pPr>
          </w:p>
        </w:tc>
        <w:tc>
          <w:tcPr>
            <w:tcW w:w="50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3"/>
              <w:spacing w:after="0"/>
              <w:rPr>
                <w:sz w:val="20"/>
                <w:szCs w:val="20"/>
                <w:color w:val="auto"/>
              </w:rPr>
            </w:pPr>
            <w:r>
              <w:rPr>
                <w:rFonts w:ascii="Times New Roman" w:cs="Times New Roman" w:eastAsia="Times New Roman" w:hAnsi="Times New Roman"/>
                <w:sz w:val="20"/>
                <w:szCs w:val="20"/>
                <w:color w:val="454546"/>
              </w:rPr>
              <w:t>2,566</w:t>
            </w:r>
          </w:p>
        </w:tc>
      </w:tr>
      <w:tr>
        <w:trPr>
          <w:trHeight w:val="280"/>
        </w:trPr>
        <w:tc>
          <w:tcPr>
            <w:tcW w:w="71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accrued compensation</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17,496</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20,927</w:t>
            </w:r>
          </w:p>
        </w:tc>
      </w:tr>
      <w:tr>
        <w:trPr>
          <w:trHeight w:val="20"/>
        </w:trPr>
        <w:tc>
          <w:tcPr>
            <w:tcW w:w="71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-1377315</wp:posOffset>
            </wp:positionV>
            <wp:extent cx="200342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9">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30">
                      <a:extLst>
                        <a:ext uri="{28A0092B-C50C-407E-A947-70E740481C1C}"/>
                      </a:extLst>
                    </a:blip>
                    <a:srcRect/>
                    <a:stretch>
                      <a:fillRect/>
                    </a:stretch>
                  </pic:blipFill>
                  <pic:spPr bwMode="auto">
                    <a:xfrm>
                      <a:off x="0" y="0"/>
                      <a:ext cx="10255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-56515</wp:posOffset>
            </wp:positionV>
            <wp:extent cx="2003425" cy="762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31">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pacing w:after="0" w:line="28" w:lineRule="exact"/>
        <w:rPr>
          <w:sz w:val="20"/>
          <w:szCs w:val="20"/>
          <w:color w:val="auto"/>
        </w:rPr>
      </w:pPr>
    </w:p>
    <w:p>
      <w:pPr>
        <w:jc w:val="both"/>
        <w:ind w:left="720" w:hanging="370"/>
        <w:spacing w:after="0" w:line="237" w:lineRule="auto"/>
        <w:tabs>
          <w:tab w:leader="none" w:pos="720" w:val="left"/>
        </w:tabs>
        <w:numPr>
          <w:ilvl w:val="0"/>
          <w:numId w:val="36"/>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For the year ended December 31, 2025, this includes $0.8 million of accrued severance expenses related to our 2025 restructuring plan and global reduction in force. At December 31, 2024, this includes $0.9 million of accrued severance expenses related to our 2023 - 2024 restructuring plan. See Note 13 for further information related to our restructuring activities.</w:t>
      </w:r>
    </w:p>
    <w:p>
      <w:pPr>
        <w:spacing w:after="0" w:line="23" w:lineRule="exact"/>
        <w:rPr>
          <w:rFonts w:ascii="Times New Roman" w:cs="Times New Roman" w:eastAsia="Times New Roman" w:hAnsi="Times New Roman"/>
          <w:sz w:val="26"/>
          <w:szCs w:val="26"/>
          <w:color w:val="454546"/>
          <w:vertAlign w:val="superscript"/>
        </w:rPr>
      </w:pPr>
    </w:p>
    <w:p>
      <w:pPr>
        <w:jc w:val="both"/>
        <w:ind w:left="720" w:hanging="370"/>
        <w:spacing w:after="0"/>
        <w:tabs>
          <w:tab w:leader="none" w:pos="720" w:val="left"/>
        </w:tabs>
        <w:numPr>
          <w:ilvl w:val="0"/>
          <w:numId w:val="36"/>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2025 and 2024.</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72</w:t>
      </w:r>
    </w:p>
    <w:p>
      <w:pPr>
        <w:sectPr>
          <w:pgSz w:w="11880" w:h="15480" w:orient="portrait"/>
          <w:cols w:equalWidth="0" w:num="1">
            <w:col w:w="10260"/>
          </w:cols>
          <w:pgMar w:left="820" w:top="213" w:right="800" w:bottom="0" w:gutter="0" w:footer="0" w:header="0"/>
          <w:type w:val="continuous"/>
        </w:sectPr>
      </w:pPr>
    </w:p>
    <w:bookmarkStart w:id="76" w:name="page77"/>
    <w:bookmarkEnd w:id="76"/>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12 — Other Accrued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components of other accrued liabilities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60" w:type="dxa"/>
            <w:vAlign w:val="bottom"/>
            <w:tcBorders>
              <w:bottom w:val="single" w:sz="8" w:color="454546"/>
            </w:tcBorders>
          </w:tcPr>
          <w:p>
            <w:pPr>
              <w:spacing w:after="0"/>
              <w:rPr>
                <w:sz w:val="18"/>
                <w:szCs w:val="18"/>
                <w:color w:val="auto"/>
              </w:rPr>
            </w:pPr>
          </w:p>
        </w:tc>
        <w:tc>
          <w:tcPr>
            <w:tcW w:w="1720" w:type="dxa"/>
            <w:vAlign w:val="bottom"/>
            <w:tcBorders>
              <w:bottom w:val="single" w:sz="8" w:color="454546"/>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1000" w:type="dxa"/>
            <w:vAlign w:val="bottom"/>
            <w:tcBorders>
              <w:bottom w:val="single" w:sz="8" w:color="454546"/>
            </w:tcBorders>
          </w:tcPr>
          <w:p>
            <w:pPr>
              <w:spacing w:after="0"/>
              <w:rPr>
                <w:sz w:val="18"/>
                <w:szCs w:val="18"/>
                <w:color w:val="auto"/>
              </w:rPr>
            </w:pPr>
          </w:p>
        </w:tc>
      </w:tr>
      <w:tr>
        <w:trPr>
          <w:trHeight w:val="235"/>
        </w:trPr>
        <w:tc>
          <w:tcPr>
            <w:tcW w:w="7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Borders>
              <w:bottom w:val="single" w:sz="8" w:color="454546"/>
            </w:tcBorders>
          </w:tcPr>
          <w:p>
            <w:pPr>
              <w:spacing w:after="0"/>
              <w:rPr>
                <w:sz w:val="20"/>
                <w:szCs w:val="20"/>
                <w:color w:val="auto"/>
              </w:rPr>
            </w:pPr>
          </w:p>
        </w:tc>
        <w:tc>
          <w:tcPr>
            <w:tcW w:w="1140" w:type="dxa"/>
            <w:vAlign w:val="bottom"/>
            <w:tcBorders>
              <w:bottom w:val="single" w:sz="8" w:color="454546"/>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50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9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Contract liabilities</w:t>
            </w: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2,158</w:t>
            </w:r>
          </w:p>
        </w:tc>
        <w:tc>
          <w:tcPr>
            <w:tcW w:w="580" w:type="dxa"/>
            <w:vAlign w:val="bottom"/>
            <w:gridSpan w:val="2"/>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2,521</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Duties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2,966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543</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Expense associated with fulfilled performance obligations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817</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678</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Freight and handling fees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2,754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2,275</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Interest</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10</w:t>
            </w:r>
          </w:p>
        </w:tc>
      </w:tr>
      <w:tr>
        <w:trPr>
          <w:trHeight w:val="300"/>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 xml:space="preserve">Legal judgment </w:t>
            </w:r>
            <w:r>
              <w:rPr>
                <w:rFonts w:ascii="Times New Roman" w:cs="Times New Roman" w:eastAsia="Times New Roman" w:hAnsi="Times New Roman"/>
                <w:sz w:val="26"/>
                <w:szCs w:val="26"/>
                <w:color w:val="454546"/>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4,162</w:t>
            </w:r>
          </w:p>
        </w:tc>
      </w:tr>
      <w:tr>
        <w:trPr>
          <w:trHeight w:val="300"/>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Operating lease obligations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3,213</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3,553</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Product warranty claim costs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35</w:t>
            </w:r>
          </w:p>
        </w:tc>
      </w:tr>
      <w:tr>
        <w:trPr>
          <w:trHeight w:val="306"/>
        </w:trPr>
        <w:tc>
          <w:tcPr>
            <w:tcW w:w="7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Professional fees</w:t>
            </w: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1,173</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1,128</w:t>
            </w:r>
          </w:p>
        </w:tc>
      </w:tr>
      <w:tr>
        <w:trPr>
          <w:trHeight w:val="294"/>
        </w:trPr>
        <w:tc>
          <w:tcPr>
            <w:tcW w:w="7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Sales and value added taxes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3,946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2,684</w:t>
            </w:r>
          </w:p>
        </w:tc>
      </w:tr>
      <w:tr>
        <w:trPr>
          <w:trHeight w:val="317"/>
        </w:trPr>
        <w:tc>
          <w:tcPr>
            <w:tcW w:w="7180" w:type="dxa"/>
            <w:vAlign w:val="bottom"/>
            <w:tcBorders>
              <w:bottom w:val="single" w:sz="8" w:color="E3E4E5"/>
            </w:tcBorders>
            <w:shd w:val="clear" w:color="auto" w:fill="E3E4E5"/>
          </w:tcPr>
          <w:p>
            <w:pPr>
              <w:ind w:left="40"/>
              <w:spacing w:after="0" w:line="297" w:lineRule="exact"/>
              <w:rPr>
                <w:sz w:val="20"/>
                <w:szCs w:val="20"/>
                <w:color w:val="auto"/>
              </w:rPr>
            </w:pPr>
            <w:r>
              <w:rPr>
                <w:rFonts w:ascii="Times New Roman" w:cs="Times New Roman" w:eastAsia="Times New Roman" w:hAnsi="Times New Roman"/>
                <w:sz w:val="20"/>
                <w:szCs w:val="20"/>
                <w:color w:val="454546"/>
              </w:rPr>
              <w:t xml:space="preserve">Other </w:t>
            </w:r>
            <w:r>
              <w:rPr>
                <w:rFonts w:ascii="Times New Roman" w:cs="Times New Roman" w:eastAsia="Times New Roman" w:hAnsi="Times New Roman"/>
                <w:sz w:val="26"/>
                <w:szCs w:val="26"/>
                <w:color w:val="454546"/>
                <w:vertAlign w:val="superscript"/>
              </w:rPr>
              <w:t>(2)</w:t>
            </w: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3,037</w:t>
            </w:r>
          </w:p>
        </w:tc>
        <w:tc>
          <w:tcPr>
            <w:tcW w:w="80" w:type="dxa"/>
            <w:vAlign w:val="bottom"/>
            <w:tcBorders>
              <w:bottom w:val="single" w:sz="8" w:color="E3E4E5"/>
            </w:tcBorders>
            <w:shd w:val="clear" w:color="auto" w:fill="E3E4E5"/>
          </w:tcPr>
          <w:p>
            <w:pPr>
              <w:spacing w:after="0"/>
              <w:rPr>
                <w:sz w:val="24"/>
                <w:szCs w:val="24"/>
                <w:color w:val="auto"/>
              </w:rPr>
            </w:pPr>
          </w:p>
        </w:tc>
        <w:tc>
          <w:tcPr>
            <w:tcW w:w="5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3,419</w:t>
            </w:r>
          </w:p>
        </w:tc>
      </w:tr>
      <w:tr>
        <w:trPr>
          <w:trHeight w:val="240"/>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Total other accrued liabilities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20,134</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21,008</w:t>
            </w:r>
          </w:p>
        </w:tc>
      </w:tr>
      <w:tr>
        <w:trPr>
          <w:trHeight w:val="20"/>
        </w:trPr>
        <w:tc>
          <w:tcPr>
            <w:tcW w:w="7180" w:type="dxa"/>
            <w:vAlign w:val="bottom"/>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-2329815</wp:posOffset>
            </wp:positionV>
            <wp:extent cx="200342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2">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025525"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3">
                      <a:extLst>
                        <a:ext uri="{28A0092B-C50C-407E-A947-70E740481C1C}"/>
                      </a:extLst>
                    </a:blip>
                    <a:srcRect/>
                    <a:stretch>
                      <a:fillRect/>
                    </a:stretch>
                  </pic:blipFill>
                  <pic:spPr bwMode="auto">
                    <a:xfrm>
                      <a:off x="0" y="0"/>
                      <a:ext cx="1025525" cy="50800"/>
                    </a:xfrm>
                    <a:prstGeom prst="rect">
                      <a:avLst/>
                    </a:prstGeom>
                    <a:noFill/>
                  </pic:spPr>
                </pic:pic>
              </a:graphicData>
            </a:graphic>
          </wp:anchor>
        </w:drawing>
      </w:r>
    </w:p>
    <w:p>
      <w:pPr>
        <w:spacing w:after="0" w:line="28" w:lineRule="exact"/>
        <w:rPr>
          <w:sz w:val="20"/>
          <w:szCs w:val="20"/>
          <w:color w:val="auto"/>
        </w:rPr>
      </w:pPr>
    </w:p>
    <w:p>
      <w:pPr>
        <w:ind w:left="720" w:hanging="370"/>
        <w:spacing w:after="0" w:line="226" w:lineRule="auto"/>
        <w:tabs>
          <w:tab w:leader="none" w:pos="720" w:val="left"/>
        </w:tabs>
        <w:numPr>
          <w:ilvl w:val="0"/>
          <w:numId w:val="37"/>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This amount relates to the judgment of a lawsuit with an employment agency in the PRC. See Note 13 for further information related to this matter.</w:t>
      </w:r>
    </w:p>
    <w:p>
      <w:pPr>
        <w:spacing w:after="0" w:line="21" w:lineRule="exact"/>
        <w:rPr>
          <w:rFonts w:ascii="Times New Roman" w:cs="Times New Roman" w:eastAsia="Times New Roman" w:hAnsi="Times New Roman"/>
          <w:sz w:val="26"/>
          <w:szCs w:val="26"/>
          <w:color w:val="454546"/>
          <w:vertAlign w:val="superscript"/>
        </w:rPr>
      </w:pPr>
    </w:p>
    <w:p>
      <w:pPr>
        <w:ind w:left="720" w:hanging="370"/>
        <w:spacing w:after="0" w:line="226" w:lineRule="auto"/>
        <w:tabs>
          <w:tab w:leader="none" w:pos="720" w:val="left"/>
        </w:tabs>
        <w:numPr>
          <w:ilvl w:val="0"/>
          <w:numId w:val="37"/>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Includes $0.2 million and $0.1 million at December 31, 2025 and 2024, respectively, associated with the purchase of property, plant and equipment.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13 —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Indemnifications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material indemnification of its officers or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Fair Price Provisions and Other Anti-Takeover Measures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The "fair price" provisions require that holders of at least two-thirds of our outstanding shares of voting stock approve certain business combinations and significant transactions with interested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Purchase Commitments</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454546"/>
        </w:rPr>
        <w:t>We have entered into various inventory and property, plant and equipment related purchase agreements with suppliers. Certain of these agreements have provisions for a binding forecast (inventory) or non-cancellable purchase orders (inventory and PP&amp;E). As of December 31, 2025, we had non-cancellable purchase commitments with suppliers for inventory and PP&amp;E of $4.3 million and $0.7 million, respectively. These amounts are expected to be paid within the next twelve months.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73</w:t>
      </w:r>
    </w:p>
    <w:p>
      <w:pPr>
        <w:sectPr>
          <w:pgSz w:w="11880" w:h="15480" w:orient="portrait"/>
          <w:cols w:equalWidth="0" w:num="1">
            <w:col w:w="10260"/>
          </w:cols>
          <w:pgMar w:left="820" w:top="213" w:right="800" w:bottom="0" w:gutter="0" w:footer="0" w:header="0"/>
          <w:type w:val="continuous"/>
        </w:sectPr>
      </w:pPr>
    </w:p>
    <w:bookmarkStart w:id="77" w:name="page78"/>
    <w:bookmarkEnd w:id="77"/>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Product Warranties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Changes in the liability for product warranty claim costs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8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beginning of period</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522</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522</w:t>
            </w: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Additions (reductions) to costs and expenses</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454546"/>
              </w:rPr>
              <w:t>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w:t>
            </w:r>
          </w:p>
        </w:tc>
      </w:tr>
      <w:tr>
        <w:trPr>
          <w:trHeight w:val="306"/>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Settlements (in cash or in kind)</w:t>
            </w: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(182)</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9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Foreign currency translation gain (loss)</w:t>
            </w: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8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end of period</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6"/>
              <w:spacing w:after="0"/>
              <w:rPr>
                <w:sz w:val="20"/>
                <w:szCs w:val="20"/>
                <w:color w:val="auto"/>
              </w:rPr>
            </w:pPr>
            <w:r>
              <w:rPr>
                <w:rFonts w:ascii="Times New Roman" w:cs="Times New Roman" w:eastAsia="Times New Roman" w:hAnsi="Times New Roman"/>
                <w:sz w:val="20"/>
                <w:szCs w:val="20"/>
                <w:color w:val="454546"/>
              </w:rPr>
              <w:t>11</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35</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522</w:t>
            </w:r>
          </w:p>
        </w:tc>
      </w:tr>
      <w:tr>
        <w:trPr>
          <w:trHeight w:val="20"/>
        </w:trPr>
        <w:tc>
          <w:tcPr>
            <w:tcW w:w="61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-996315</wp:posOffset>
            </wp:positionV>
            <wp:extent cx="2632075"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4">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177800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5">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36">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Restructuring</w:t>
      </w:r>
    </w:p>
    <w:p>
      <w:pPr>
        <w:spacing w:after="0" w:line="25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454546"/>
        </w:rPr>
        <w:t>In conjunction with our long term factory planning strategy to de-risk our reliance on a PRC-based supply chain and optimize our global manufacturing footprint, beginning in 2023 we have undertaken the restructuring activities further described below. Restructuring costs are included within factory restructuring charges on our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Asia</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Beginning in the third quarter of 2023, we stopped all production activities and began to shut down our southwestern PRC factory. In addition, during the fourth quarter of 2024, we stopped production activities and shut down one of our two eastern PRC factories. In connection with these factory closures, we incurred $0.5 million of severance and $0.1 million of other exit costs during the year ended December 31, 2024, and $3.4 million of severance and $0.6 million of other exit costs during the year ended December 31, 2023. We have recognized a cumulative total of $4.6 million in factory restructuring charges in connection with the PRC factory closures, and we do not expect any further associated expenses.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74</w:t>
      </w:r>
    </w:p>
    <w:p>
      <w:pPr>
        <w:sectPr>
          <w:pgSz w:w="11880" w:h="15480" w:orient="portrait"/>
          <w:cols w:equalWidth="0" w:num="1">
            <w:col w:w="10260"/>
          </w:cols>
          <w:pgMar w:left="820" w:top="213" w:right="800" w:bottom="0" w:gutter="0" w:footer="0" w:header="0"/>
          <w:type w:val="continuous"/>
        </w:sectPr>
      </w:pPr>
    </w:p>
    <w:bookmarkStart w:id="78" w:name="page79"/>
    <w:bookmarkEnd w:id="78"/>
    <w:p>
      <w:pPr>
        <w:jc w:val="center"/>
        <w:ind w:right="1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454546"/>
        </w:rPr>
        <w:t>Mexico</w:t>
      </w:r>
    </w:p>
    <w:p>
      <w:pPr>
        <w:spacing w:after="0" w:line="257"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454546"/>
        </w:rPr>
        <w:t>In 2024, we downsized our factory in Mexico due to decreased demand in the U.S. market and our Vietnam facility's ability to supply our North American customers. In July 2025, the further decision was made to cease production activities and shut down our Mexico manufacturing facility. In connection with this wind down and closure, we incurred $0.8 million of severance and $0.4 million of other exit costs during the year ended December 31, 2025, and $1.5 million of severance and $1.5 million of other exit costs during the year ended December 31, 2024. We have recognized a cumulative total of $4.2 million in factory restructuring charges in connection with the wind down of our Mexico manufacturing facility, and we do not expect to incur additional factory restructuring charges in connection with this shutdown.</w:t>
      </w:r>
    </w:p>
    <w:p>
      <w:pPr>
        <w:spacing w:after="0" w:line="210"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454546"/>
        </w:rPr>
        <w:t>Restructuring liabilities are included in accrued compensation, accounts payable and other accrued liabilities on our consolidated balance sheets. Total restructuring activities for the years ended December 31, 2025, December 31, 2024, and December 31, 2023 are as follows: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900" w:type="dxa"/>
            <w:vAlign w:val="bottom"/>
            <w:tcBorders>
              <w:bottom w:val="single" w:sz="8" w:color="454546"/>
            </w:tcBorders>
          </w:tcPr>
          <w:p>
            <w:pPr>
              <w:spacing w:after="0"/>
              <w:rPr>
                <w:sz w:val="18"/>
                <w:szCs w:val="18"/>
                <w:color w:val="auto"/>
              </w:rPr>
            </w:pPr>
          </w:p>
        </w:tc>
        <w:tc>
          <w:tcPr>
            <w:tcW w:w="1400" w:type="dxa"/>
            <w:vAlign w:val="bottom"/>
            <w:tcBorders>
              <w:bottom w:val="single" w:sz="8" w:color="454546"/>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454546"/>
              </w:rPr>
              <w:t>Restructuring Costs</w:t>
            </w:r>
          </w:p>
        </w:tc>
        <w:tc>
          <w:tcPr>
            <w:tcW w:w="160" w:type="dxa"/>
            <w:vAlign w:val="bottom"/>
            <w:tcBorders>
              <w:bottom w:val="single" w:sz="8" w:color="454546"/>
            </w:tcBorders>
          </w:tcPr>
          <w:p>
            <w:pPr>
              <w:spacing w:after="0"/>
              <w:rPr>
                <w:sz w:val="18"/>
                <w:szCs w:val="18"/>
                <w:color w:val="auto"/>
              </w:rPr>
            </w:pPr>
          </w:p>
        </w:tc>
        <w:tc>
          <w:tcPr>
            <w:tcW w:w="1020" w:type="dxa"/>
            <w:vAlign w:val="bottom"/>
            <w:tcBorders>
              <w:bottom w:val="single" w:sz="8" w:color="454546"/>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280" w:type="dxa"/>
            <w:vAlign w:val="bottom"/>
          </w:tcPr>
          <w:p>
            <w:pPr>
              <w:spacing w:after="0"/>
              <w:rPr>
                <w:sz w:val="16"/>
                <w:szCs w:val="16"/>
                <w:color w:val="auto"/>
              </w:rPr>
            </w:pPr>
          </w:p>
        </w:tc>
        <w:tc>
          <w:tcPr>
            <w:tcW w:w="90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454546"/>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454546"/>
              </w:rPr>
              <w:t>Severance</w:t>
            </w:r>
          </w:p>
        </w:tc>
        <w:tc>
          <w:tcPr>
            <w:tcW w:w="160" w:type="dxa"/>
            <w:vAlign w:val="bottom"/>
          </w:tcPr>
          <w:p>
            <w:pPr>
              <w:spacing w:after="0"/>
              <w:rPr>
                <w:sz w:val="16"/>
                <w:szCs w:val="16"/>
                <w:color w:val="auto"/>
              </w:rPr>
            </w:pPr>
          </w:p>
        </w:tc>
        <w:tc>
          <w:tcPr>
            <w:tcW w:w="10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454546"/>
              </w:rPr>
              <w:t>Other Exit</w:t>
            </w:r>
          </w:p>
        </w:tc>
        <w:tc>
          <w:tcPr>
            <w:tcW w:w="0" w:type="dxa"/>
            <w:vAlign w:val="bottom"/>
          </w:tcPr>
          <w:p>
            <w:pPr>
              <w:spacing w:after="0"/>
              <w:rPr>
                <w:sz w:val="1"/>
                <w:szCs w:val="1"/>
                <w:color w:val="auto"/>
              </w:rPr>
            </w:pPr>
          </w:p>
        </w:tc>
      </w:tr>
      <w:tr>
        <w:trPr>
          <w:trHeight w:val="214"/>
        </w:trPr>
        <w:tc>
          <w:tcPr>
            <w:tcW w:w="6500" w:type="dxa"/>
            <w:vAlign w:val="bottom"/>
            <w:tcBorders>
              <w:bottom w:val="single" w:sz="8" w:color="E3E4E5"/>
            </w:tcBorders>
            <w:vMerge w:val="continue"/>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900" w:type="dxa"/>
            <w:vAlign w:val="bottom"/>
            <w:tcBorders>
              <w:bottom w:val="single" w:sz="8" w:color="454546"/>
            </w:tcBorders>
            <w:vMerge w:val="continue"/>
          </w:tcPr>
          <w:p>
            <w:pPr>
              <w:spacing w:after="0"/>
              <w:rPr>
                <w:sz w:val="18"/>
                <w:szCs w:val="18"/>
                <w:color w:val="auto"/>
              </w:rPr>
            </w:pPr>
          </w:p>
        </w:tc>
        <w:tc>
          <w:tcPr>
            <w:tcW w:w="20" w:type="dxa"/>
            <w:vAlign w:val="bottom"/>
            <w:tcBorders>
              <w:bottom w:val="single" w:sz="8" w:color="454546"/>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20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454546"/>
                <w:w w:val="98"/>
              </w:rPr>
              <w:t>Expense</w:t>
            </w:r>
          </w:p>
        </w:tc>
        <w:tc>
          <w:tcPr>
            <w:tcW w:w="80" w:type="dxa"/>
            <w:vAlign w:val="bottom"/>
            <w:tcBorders>
              <w:bottom w:val="single" w:sz="8" w:color="E3E4E5"/>
            </w:tcBorders>
          </w:tcPr>
          <w:p>
            <w:pPr>
              <w:spacing w:after="0"/>
              <w:rPr>
                <w:sz w:val="18"/>
                <w:szCs w:val="18"/>
                <w:color w:val="auto"/>
              </w:rPr>
            </w:pPr>
          </w:p>
        </w:tc>
        <w:tc>
          <w:tcPr>
            <w:tcW w:w="20" w:type="dxa"/>
            <w:vAlign w:val="bottom"/>
            <w:tcBorders>
              <w:bottom w:val="single" w:sz="8" w:color="454546"/>
            </w:tcBorders>
          </w:tcPr>
          <w:p>
            <w:pPr>
              <w:spacing w:after="0"/>
              <w:rPr>
                <w:sz w:val="18"/>
                <w:szCs w:val="18"/>
                <w:color w:val="auto"/>
              </w:rPr>
            </w:pPr>
          </w:p>
        </w:tc>
        <w:tc>
          <w:tcPr>
            <w:tcW w:w="160" w:type="dxa"/>
            <w:vAlign w:val="bottom"/>
            <w:tcBorders>
              <w:bottom w:val="single" w:sz="8" w:color="454546"/>
            </w:tcBorders>
          </w:tcPr>
          <w:p>
            <w:pPr>
              <w:spacing w:after="0"/>
              <w:rPr>
                <w:sz w:val="18"/>
                <w:szCs w:val="18"/>
                <w:color w:val="auto"/>
              </w:rPr>
            </w:pPr>
          </w:p>
        </w:tc>
        <w:tc>
          <w:tcPr>
            <w:tcW w:w="1020" w:type="dxa"/>
            <w:vAlign w:val="bottom"/>
            <w:tcBorders>
              <w:bottom w:val="single" w:sz="8" w:color="454546"/>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454546"/>
              </w:rPr>
              <w:t>Expense</w:t>
            </w:r>
          </w:p>
        </w:tc>
        <w:tc>
          <w:tcPr>
            <w:tcW w:w="0" w:type="dxa"/>
            <w:vAlign w:val="bottom"/>
          </w:tcPr>
          <w:p>
            <w:pPr>
              <w:spacing w:after="0"/>
              <w:rPr>
                <w:sz w:val="1"/>
                <w:szCs w:val="1"/>
                <w:color w:val="auto"/>
              </w:rPr>
            </w:pPr>
          </w:p>
        </w:tc>
      </w:tr>
      <w:tr>
        <w:trPr>
          <w:trHeight w:val="290"/>
        </w:trPr>
        <w:tc>
          <w:tcPr>
            <w:tcW w:w="6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December 31, 2022</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gridSpan w:val="3"/>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93"/>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Restructuring charges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4,015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590</w:t>
            </w:r>
          </w:p>
        </w:tc>
        <w:tc>
          <w:tcPr>
            <w:tcW w:w="0" w:type="dxa"/>
            <w:vAlign w:val="bottom"/>
          </w:tcPr>
          <w:p>
            <w:pPr>
              <w:spacing w:after="0"/>
              <w:rPr>
                <w:sz w:val="1"/>
                <w:szCs w:val="1"/>
                <w:color w:val="auto"/>
              </w:rPr>
            </w:pPr>
          </w:p>
        </w:tc>
      </w:tr>
      <w:tr>
        <w:trPr>
          <w:trHeight w:val="297"/>
        </w:trPr>
        <w:tc>
          <w:tcPr>
            <w:tcW w:w="65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Cash payments</w:t>
            </w:r>
          </w:p>
        </w:tc>
        <w:tc>
          <w:tcPr>
            <w:tcW w:w="280" w:type="dxa"/>
            <w:vAlign w:val="bottom"/>
            <w:tcBorders>
              <w:bottom w:val="single" w:sz="8" w:color="454546"/>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(3,553)</w:t>
            </w:r>
          </w:p>
        </w:tc>
        <w:tc>
          <w:tcPr>
            <w:tcW w:w="20" w:type="dxa"/>
            <w:vAlign w:val="bottom"/>
            <w:tcBorders>
              <w:bottom w:val="single" w:sz="8" w:color="454546"/>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(3,278)</w:t>
            </w:r>
          </w:p>
        </w:tc>
        <w:tc>
          <w:tcPr>
            <w:tcW w:w="8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454546"/>
            </w:tcBorders>
            <w:shd w:val="clear" w:color="auto" w:fill="E3E4E5"/>
          </w:tcPr>
          <w:p>
            <w:pPr>
              <w:spacing w:after="0"/>
              <w:rPr>
                <w:sz w:val="24"/>
                <w:szCs w:val="24"/>
                <w:color w:val="auto"/>
              </w:rPr>
            </w:pPr>
          </w:p>
        </w:tc>
        <w:tc>
          <w:tcPr>
            <w:tcW w:w="1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(275)</w:t>
            </w:r>
          </w:p>
        </w:tc>
        <w:tc>
          <w:tcPr>
            <w:tcW w:w="0" w:type="dxa"/>
            <w:vAlign w:val="bottom"/>
          </w:tcPr>
          <w:p>
            <w:pPr>
              <w:spacing w:after="0"/>
              <w:rPr>
                <w:sz w:val="1"/>
                <w:szCs w:val="1"/>
                <w:color w:val="auto"/>
              </w:rPr>
            </w:pPr>
          </w:p>
        </w:tc>
      </w:tr>
      <w:tr>
        <w:trPr>
          <w:trHeight w:val="280"/>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Balance at December 31, 2023</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462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315</w:t>
            </w:r>
          </w:p>
        </w:tc>
        <w:tc>
          <w:tcPr>
            <w:tcW w:w="0" w:type="dxa"/>
            <w:vAlign w:val="bottom"/>
          </w:tcPr>
          <w:p>
            <w:pPr>
              <w:spacing w:after="0"/>
              <w:rPr>
                <w:sz w:val="1"/>
                <w:szCs w:val="1"/>
                <w:color w:val="auto"/>
              </w:rPr>
            </w:pPr>
          </w:p>
        </w:tc>
      </w:tr>
      <w:tr>
        <w:trPr>
          <w:trHeight w:val="290"/>
        </w:trPr>
        <w:tc>
          <w:tcPr>
            <w:tcW w:w="6500" w:type="dxa"/>
            <w:vAlign w:val="bottom"/>
            <w:tcBorders>
              <w:top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Restructuring charges</w:t>
            </w:r>
          </w:p>
        </w:tc>
        <w:tc>
          <w:tcPr>
            <w:tcW w:w="280" w:type="dxa"/>
            <w:vAlign w:val="bottom"/>
            <w:tcBorders>
              <w:top w:val="single" w:sz="8" w:color="454546"/>
            </w:tcBorders>
            <w:shd w:val="clear" w:color="auto" w:fill="E3E4E5"/>
          </w:tcPr>
          <w:p>
            <w:pPr>
              <w:spacing w:after="0"/>
              <w:rPr>
                <w:sz w:val="24"/>
                <w:szCs w:val="24"/>
                <w:color w:val="auto"/>
              </w:rPr>
            </w:pPr>
          </w:p>
        </w:tc>
        <w:tc>
          <w:tcPr>
            <w:tcW w:w="90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3,585</w:t>
            </w:r>
          </w:p>
        </w:tc>
        <w:tc>
          <w:tcPr>
            <w:tcW w:w="20" w:type="dxa"/>
            <w:vAlign w:val="bottom"/>
            <w:tcBorders>
              <w:top w:val="single" w:sz="8" w:color="454546"/>
            </w:tcBorders>
            <w:shd w:val="clear" w:color="auto" w:fill="E3E4E5"/>
          </w:tcPr>
          <w:p>
            <w:pPr>
              <w:spacing w:after="0"/>
              <w:rPr>
                <w:sz w:val="24"/>
                <w:szCs w:val="24"/>
                <w:color w:val="auto"/>
              </w:rPr>
            </w:pPr>
          </w:p>
        </w:tc>
        <w:tc>
          <w:tcPr>
            <w:tcW w:w="80" w:type="dxa"/>
            <w:vAlign w:val="bottom"/>
            <w:tcBorders>
              <w:top w:val="single" w:sz="8" w:color="E3E4E5"/>
            </w:tcBorders>
            <w:shd w:val="clear" w:color="auto" w:fill="E3E4E5"/>
          </w:tcPr>
          <w:p>
            <w:pPr>
              <w:spacing w:after="0"/>
              <w:rPr>
                <w:sz w:val="24"/>
                <w:szCs w:val="24"/>
                <w:color w:val="auto"/>
              </w:rPr>
            </w:pPr>
          </w:p>
        </w:tc>
        <w:tc>
          <w:tcPr>
            <w:tcW w:w="200" w:type="dxa"/>
            <w:vAlign w:val="bottom"/>
            <w:tcBorders>
              <w:top w:val="single" w:sz="8" w:color="454546"/>
            </w:tcBorders>
            <w:shd w:val="clear" w:color="auto" w:fill="E3E4E5"/>
          </w:tcPr>
          <w:p>
            <w:pPr>
              <w:spacing w:after="0"/>
              <w:rPr>
                <w:sz w:val="24"/>
                <w:szCs w:val="24"/>
                <w:color w:val="auto"/>
              </w:rPr>
            </w:pPr>
          </w:p>
        </w:tc>
        <w:tc>
          <w:tcPr>
            <w:tcW w:w="100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2,008</w:t>
            </w:r>
          </w:p>
        </w:tc>
        <w:tc>
          <w:tcPr>
            <w:tcW w:w="8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454546"/>
            </w:tcBorders>
            <w:shd w:val="clear" w:color="auto" w:fill="E3E4E5"/>
          </w:tcPr>
          <w:p>
            <w:pPr>
              <w:spacing w:after="0"/>
              <w:rPr>
                <w:sz w:val="24"/>
                <w:szCs w:val="24"/>
                <w:color w:val="auto"/>
              </w:rPr>
            </w:pPr>
          </w:p>
        </w:tc>
        <w:tc>
          <w:tcPr>
            <w:tcW w:w="160" w:type="dxa"/>
            <w:vAlign w:val="bottom"/>
            <w:tcBorders>
              <w:top w:val="single" w:sz="8" w:color="454546"/>
            </w:tcBorders>
            <w:shd w:val="clear" w:color="auto" w:fill="E3E4E5"/>
          </w:tcPr>
          <w:p>
            <w:pPr>
              <w:spacing w:after="0"/>
              <w:rPr>
                <w:sz w:val="24"/>
                <w:szCs w:val="24"/>
                <w:color w:val="auto"/>
              </w:rPr>
            </w:pPr>
          </w:p>
        </w:tc>
        <w:tc>
          <w:tcPr>
            <w:tcW w:w="1020" w:type="dxa"/>
            <w:vAlign w:val="bottom"/>
            <w:tcBorders>
              <w:top w:val="single" w:sz="8" w:color="454546"/>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1,577</w:t>
            </w:r>
          </w:p>
        </w:tc>
        <w:tc>
          <w:tcPr>
            <w:tcW w:w="0" w:type="dxa"/>
            <w:vAlign w:val="bottom"/>
          </w:tcPr>
          <w:p>
            <w:pPr>
              <w:spacing w:after="0"/>
              <w:rPr>
                <w:sz w:val="1"/>
                <w:szCs w:val="1"/>
                <w:color w:val="auto"/>
              </w:rPr>
            </w:pPr>
          </w:p>
        </w:tc>
      </w:tr>
      <w:tr>
        <w:trPr>
          <w:trHeight w:val="290"/>
        </w:trPr>
        <w:tc>
          <w:tcPr>
            <w:tcW w:w="65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Cash payments</w:t>
            </w:r>
          </w:p>
        </w:tc>
        <w:tc>
          <w:tcPr>
            <w:tcW w:w="280" w:type="dxa"/>
            <w:vAlign w:val="bottom"/>
            <w:tcBorders>
              <w:bottom w:val="single" w:sz="8" w:color="454546"/>
            </w:tcBorders>
          </w:tcPr>
          <w:p>
            <w:pPr>
              <w:spacing w:after="0"/>
              <w:rPr>
                <w:sz w:val="24"/>
                <w:szCs w:val="24"/>
                <w:color w:val="auto"/>
              </w:rPr>
            </w:pPr>
          </w:p>
        </w:tc>
        <w:tc>
          <w:tcPr>
            <w:tcW w:w="9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(3,036)</w:t>
            </w:r>
          </w:p>
        </w:tc>
        <w:tc>
          <w:tcPr>
            <w:tcW w:w="20" w:type="dxa"/>
            <w:vAlign w:val="bottom"/>
            <w:tcBorders>
              <w:bottom w:val="single" w:sz="8" w:color="454546"/>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200" w:type="dxa"/>
            <w:vAlign w:val="bottom"/>
            <w:tcBorders>
              <w:bottom w:val="single" w:sz="8" w:color="454546"/>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(1,288)</w:t>
            </w:r>
          </w:p>
        </w:tc>
        <w:tc>
          <w:tcPr>
            <w:tcW w:w="80" w:type="dxa"/>
            <w:vAlign w:val="bottom"/>
            <w:tcBorders>
              <w:bottom w:val="single" w:sz="8" w:color="E3E4E5"/>
            </w:tcBorders>
          </w:tcPr>
          <w:p>
            <w:pPr>
              <w:spacing w:after="0"/>
              <w:rPr>
                <w:sz w:val="24"/>
                <w:szCs w:val="24"/>
                <w:color w:val="auto"/>
              </w:rPr>
            </w:pPr>
          </w:p>
        </w:tc>
        <w:tc>
          <w:tcPr>
            <w:tcW w:w="20" w:type="dxa"/>
            <w:vAlign w:val="bottom"/>
            <w:tcBorders>
              <w:bottom w:val="single" w:sz="8" w:color="454546"/>
            </w:tcBorders>
          </w:tcPr>
          <w:p>
            <w:pPr>
              <w:spacing w:after="0"/>
              <w:rPr>
                <w:sz w:val="24"/>
                <w:szCs w:val="24"/>
                <w:color w:val="auto"/>
              </w:rPr>
            </w:pPr>
          </w:p>
        </w:tc>
        <w:tc>
          <w:tcPr>
            <w:tcW w:w="160" w:type="dxa"/>
            <w:vAlign w:val="bottom"/>
            <w:tcBorders>
              <w:bottom w:val="single" w:sz="8" w:color="454546"/>
            </w:tcBorders>
          </w:tcPr>
          <w:p>
            <w:pPr>
              <w:spacing w:after="0"/>
              <w:rPr>
                <w:sz w:val="24"/>
                <w:szCs w:val="24"/>
                <w:color w:val="auto"/>
              </w:rPr>
            </w:pPr>
          </w:p>
        </w:tc>
        <w:tc>
          <w:tcPr>
            <w:tcW w:w="10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(1,748)</w:t>
            </w:r>
          </w:p>
        </w:tc>
        <w:tc>
          <w:tcPr>
            <w:tcW w:w="0" w:type="dxa"/>
            <w:vAlign w:val="bottom"/>
          </w:tcPr>
          <w:p>
            <w:pPr>
              <w:spacing w:after="0"/>
              <w:rPr>
                <w:sz w:val="1"/>
                <w:szCs w:val="1"/>
                <w:color w:val="auto"/>
              </w:rPr>
            </w:pPr>
          </w:p>
        </w:tc>
      </w:tr>
      <w:tr>
        <w:trPr>
          <w:trHeight w:val="280"/>
        </w:trPr>
        <w:tc>
          <w:tcPr>
            <w:tcW w:w="6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Balance at December 31, 2024</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1,011</w:t>
            </w:r>
          </w:p>
        </w:tc>
        <w:tc>
          <w:tcPr>
            <w:tcW w:w="30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867</w:t>
            </w:r>
          </w:p>
        </w:tc>
        <w:tc>
          <w:tcPr>
            <w:tcW w:w="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144</w:t>
            </w:r>
          </w:p>
        </w:tc>
        <w:tc>
          <w:tcPr>
            <w:tcW w:w="0" w:type="dxa"/>
            <w:vAlign w:val="bottom"/>
          </w:tcPr>
          <w:p>
            <w:pPr>
              <w:spacing w:after="0"/>
              <w:rPr>
                <w:sz w:val="1"/>
                <w:szCs w:val="1"/>
                <w:color w:val="auto"/>
              </w:rPr>
            </w:pPr>
          </w:p>
        </w:tc>
      </w:tr>
      <w:tr>
        <w:trPr>
          <w:trHeight w:val="283"/>
        </w:trPr>
        <w:tc>
          <w:tcPr>
            <w:tcW w:w="6500" w:type="dxa"/>
            <w:vAlign w:val="bottom"/>
            <w:tcBorders>
              <w:top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Restructuring charges</w:t>
            </w:r>
          </w:p>
        </w:tc>
        <w:tc>
          <w:tcPr>
            <w:tcW w:w="280" w:type="dxa"/>
            <w:vAlign w:val="bottom"/>
            <w:tcBorders>
              <w:top w:val="single" w:sz="8" w:color="454546"/>
            </w:tcBorders>
          </w:tcPr>
          <w:p>
            <w:pPr>
              <w:spacing w:after="0"/>
              <w:rPr>
                <w:sz w:val="24"/>
                <w:szCs w:val="24"/>
                <w:color w:val="auto"/>
              </w:rPr>
            </w:pPr>
          </w:p>
        </w:tc>
        <w:tc>
          <w:tcPr>
            <w:tcW w:w="90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1,221</w:t>
            </w:r>
          </w:p>
        </w:tc>
        <w:tc>
          <w:tcPr>
            <w:tcW w:w="20" w:type="dxa"/>
            <w:vAlign w:val="bottom"/>
            <w:tcBorders>
              <w:top w:val="single" w:sz="8" w:color="454546"/>
            </w:tcBorders>
          </w:tcPr>
          <w:p>
            <w:pPr>
              <w:spacing w:after="0"/>
              <w:rPr>
                <w:sz w:val="24"/>
                <w:szCs w:val="24"/>
                <w:color w:val="auto"/>
              </w:rPr>
            </w:pPr>
          </w:p>
        </w:tc>
        <w:tc>
          <w:tcPr>
            <w:tcW w:w="80" w:type="dxa"/>
            <w:vAlign w:val="bottom"/>
            <w:tcBorders>
              <w:top w:val="single" w:sz="8" w:color="E3E4E5"/>
            </w:tcBorders>
          </w:tcPr>
          <w:p>
            <w:pPr>
              <w:spacing w:after="0"/>
              <w:rPr>
                <w:sz w:val="24"/>
                <w:szCs w:val="24"/>
                <w:color w:val="auto"/>
              </w:rPr>
            </w:pPr>
          </w:p>
        </w:tc>
        <w:tc>
          <w:tcPr>
            <w:tcW w:w="200" w:type="dxa"/>
            <w:vAlign w:val="bottom"/>
            <w:tcBorders>
              <w:top w:val="single" w:sz="8" w:color="454546"/>
            </w:tcBorders>
          </w:tcPr>
          <w:p>
            <w:pPr>
              <w:spacing w:after="0"/>
              <w:rPr>
                <w:sz w:val="24"/>
                <w:szCs w:val="24"/>
                <w:color w:val="auto"/>
              </w:rPr>
            </w:pPr>
          </w:p>
        </w:tc>
        <w:tc>
          <w:tcPr>
            <w:tcW w:w="100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776</w:t>
            </w:r>
          </w:p>
        </w:tc>
        <w:tc>
          <w:tcPr>
            <w:tcW w:w="80" w:type="dxa"/>
            <w:vAlign w:val="bottom"/>
            <w:tcBorders>
              <w:top w:val="single" w:sz="8" w:color="E3E4E5"/>
            </w:tcBorders>
          </w:tcPr>
          <w:p>
            <w:pPr>
              <w:spacing w:after="0"/>
              <w:rPr>
                <w:sz w:val="24"/>
                <w:szCs w:val="24"/>
                <w:color w:val="auto"/>
              </w:rPr>
            </w:pPr>
          </w:p>
        </w:tc>
        <w:tc>
          <w:tcPr>
            <w:tcW w:w="20" w:type="dxa"/>
            <w:vAlign w:val="bottom"/>
            <w:tcBorders>
              <w:top w:val="single" w:sz="8" w:color="454546"/>
            </w:tcBorders>
          </w:tcPr>
          <w:p>
            <w:pPr>
              <w:spacing w:after="0"/>
              <w:rPr>
                <w:sz w:val="24"/>
                <w:szCs w:val="24"/>
                <w:color w:val="auto"/>
              </w:rPr>
            </w:pPr>
          </w:p>
        </w:tc>
        <w:tc>
          <w:tcPr>
            <w:tcW w:w="160" w:type="dxa"/>
            <w:vAlign w:val="bottom"/>
            <w:tcBorders>
              <w:top w:val="single" w:sz="8" w:color="454546"/>
            </w:tcBorders>
          </w:tcPr>
          <w:p>
            <w:pPr>
              <w:spacing w:after="0"/>
              <w:rPr>
                <w:sz w:val="24"/>
                <w:szCs w:val="24"/>
                <w:color w:val="auto"/>
              </w:rPr>
            </w:pPr>
          </w:p>
        </w:tc>
        <w:tc>
          <w:tcPr>
            <w:tcW w:w="1020" w:type="dxa"/>
            <w:vAlign w:val="bottom"/>
            <w:tcBorders>
              <w:top w:val="single" w:sz="8" w:color="454546"/>
            </w:tcBorders>
          </w:tcPr>
          <w:p>
            <w:pPr>
              <w:jc w:val="right"/>
              <w:ind w:right="3"/>
              <w:spacing w:after="0"/>
              <w:rPr>
                <w:sz w:val="20"/>
                <w:szCs w:val="20"/>
                <w:color w:val="auto"/>
              </w:rPr>
            </w:pPr>
            <w:r>
              <w:rPr>
                <w:rFonts w:ascii="Times New Roman" w:cs="Times New Roman" w:eastAsia="Times New Roman" w:hAnsi="Times New Roman"/>
                <w:sz w:val="20"/>
                <w:szCs w:val="20"/>
                <w:color w:val="454546"/>
              </w:rPr>
              <w:t>445</w:t>
            </w:r>
          </w:p>
        </w:tc>
        <w:tc>
          <w:tcPr>
            <w:tcW w:w="0" w:type="dxa"/>
            <w:vAlign w:val="bottom"/>
          </w:tcPr>
          <w:p>
            <w:pPr>
              <w:spacing w:after="0"/>
              <w:rPr>
                <w:sz w:val="1"/>
                <w:szCs w:val="1"/>
                <w:color w:val="auto"/>
              </w:rPr>
            </w:pPr>
          </w:p>
        </w:tc>
      </w:tr>
      <w:tr>
        <w:trPr>
          <w:trHeight w:val="297"/>
        </w:trPr>
        <w:tc>
          <w:tcPr>
            <w:tcW w:w="65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Cash payments</w:t>
            </w:r>
          </w:p>
        </w:tc>
        <w:tc>
          <w:tcPr>
            <w:tcW w:w="280" w:type="dxa"/>
            <w:vAlign w:val="bottom"/>
            <w:tcBorders>
              <w:bottom w:val="single" w:sz="8" w:color="454546"/>
            </w:tcBorders>
            <w:shd w:val="clear" w:color="auto" w:fill="E3E4E5"/>
          </w:tcPr>
          <w:p>
            <w:pPr>
              <w:spacing w:after="0"/>
              <w:rPr>
                <w:sz w:val="24"/>
                <w:szCs w:val="24"/>
                <w:color w:val="auto"/>
              </w:rPr>
            </w:pPr>
          </w:p>
        </w:tc>
        <w:tc>
          <w:tcPr>
            <w:tcW w:w="9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(1,793)</w:t>
            </w:r>
          </w:p>
        </w:tc>
        <w:tc>
          <w:tcPr>
            <w:tcW w:w="20" w:type="dxa"/>
            <w:vAlign w:val="bottom"/>
            <w:tcBorders>
              <w:bottom w:val="single" w:sz="8" w:color="454546"/>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0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(1,267)</w:t>
            </w:r>
          </w:p>
        </w:tc>
        <w:tc>
          <w:tcPr>
            <w:tcW w:w="8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454546"/>
            </w:tcBorders>
            <w:shd w:val="clear" w:color="auto" w:fill="E3E4E5"/>
          </w:tcPr>
          <w:p>
            <w:pPr>
              <w:spacing w:after="0"/>
              <w:rPr>
                <w:sz w:val="24"/>
                <w:szCs w:val="24"/>
                <w:color w:val="auto"/>
              </w:rPr>
            </w:pPr>
          </w:p>
        </w:tc>
        <w:tc>
          <w:tcPr>
            <w:tcW w:w="160" w:type="dxa"/>
            <w:vAlign w:val="bottom"/>
            <w:tcBorders>
              <w:bottom w:val="single" w:sz="8" w:color="454546"/>
            </w:tcBorders>
            <w:shd w:val="clear" w:color="auto" w:fill="E3E4E5"/>
          </w:tcPr>
          <w:p>
            <w:pPr>
              <w:spacing w:after="0"/>
              <w:rPr>
                <w:sz w:val="24"/>
                <w:szCs w:val="24"/>
                <w:color w:val="auto"/>
              </w:rPr>
            </w:pPr>
          </w:p>
        </w:tc>
        <w:tc>
          <w:tcPr>
            <w:tcW w:w="102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(526)</w:t>
            </w:r>
          </w:p>
        </w:tc>
        <w:tc>
          <w:tcPr>
            <w:tcW w:w="0" w:type="dxa"/>
            <w:vAlign w:val="bottom"/>
          </w:tcPr>
          <w:p>
            <w:pPr>
              <w:spacing w:after="0"/>
              <w:rPr>
                <w:sz w:val="1"/>
                <w:szCs w:val="1"/>
                <w:color w:val="auto"/>
              </w:rPr>
            </w:pPr>
          </w:p>
        </w:tc>
      </w:tr>
      <w:tr>
        <w:trPr>
          <w:trHeight w:val="260"/>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Balance at December 31, 2025</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376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63</w:t>
            </w:r>
          </w:p>
        </w:tc>
        <w:tc>
          <w:tcPr>
            <w:tcW w:w="0" w:type="dxa"/>
            <w:vAlign w:val="bottom"/>
          </w:tcPr>
          <w:p>
            <w:pPr>
              <w:spacing w:after="0"/>
              <w:rPr>
                <w:sz w:val="1"/>
                <w:szCs w:val="1"/>
                <w:color w:val="auto"/>
              </w:rPr>
            </w:pPr>
          </w:p>
        </w:tc>
      </w:tr>
      <w:tr>
        <w:trPr>
          <w:trHeight w:val="20"/>
        </w:trPr>
        <w:tc>
          <w:tcPr>
            <w:tcW w:w="6500" w:type="dxa"/>
            <w:vAlign w:val="bottom"/>
            <w:tcBorders>
              <w:bottom w:val="single" w:sz="8" w:color="E3E4E5"/>
            </w:tcBorders>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90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20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20" w:type="dxa"/>
            <w:vAlign w:val="bottom"/>
            <w:tcBorders>
              <w:top w:val="single" w:sz="8" w:color="454546"/>
              <w:bottom w:val="single" w:sz="8" w:color="454546"/>
            </w:tcBorders>
          </w:tcPr>
          <w:p>
            <w:pPr>
              <w:spacing w:after="0" w:line="20" w:lineRule="exact"/>
              <w:rPr>
                <w:sz w:val="1"/>
                <w:szCs w:val="1"/>
                <w:color w:val="auto"/>
              </w:rPr>
            </w:pPr>
          </w:p>
        </w:tc>
        <w:tc>
          <w:tcPr>
            <w:tcW w:w="160" w:type="dxa"/>
            <w:vAlign w:val="bottom"/>
            <w:tcBorders>
              <w:top w:val="single" w:sz="8" w:color="454546"/>
              <w:bottom w:val="single" w:sz="8" w:color="454546"/>
            </w:tcBorders>
          </w:tcPr>
          <w:p>
            <w:pPr>
              <w:spacing w:after="0" w:line="20" w:lineRule="exact"/>
              <w:rPr>
                <w:sz w:val="1"/>
                <w:szCs w:val="1"/>
                <w:color w:val="auto"/>
              </w:rPr>
            </w:pPr>
          </w:p>
        </w:tc>
        <w:tc>
          <w:tcPr>
            <w:tcW w:w="102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Total costs incurred inception to date</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8,821</w:t>
            </w:r>
          </w:p>
        </w:tc>
        <w:tc>
          <w:tcPr>
            <w:tcW w:w="2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6,209</w:t>
            </w:r>
          </w:p>
        </w:tc>
        <w:tc>
          <w:tcPr>
            <w:tcW w:w="8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2,612</w:t>
            </w:r>
          </w:p>
        </w:tc>
        <w:tc>
          <w:tcPr>
            <w:tcW w:w="0" w:type="dxa"/>
            <w:vAlign w:val="bottom"/>
          </w:tcPr>
          <w:p>
            <w:pPr>
              <w:spacing w:after="0"/>
              <w:rPr>
                <w:sz w:val="1"/>
                <w:szCs w:val="1"/>
                <w:color w:val="auto"/>
              </w:rPr>
            </w:pPr>
          </w:p>
        </w:tc>
      </w:tr>
      <w:tr>
        <w:trPr>
          <w:trHeight w:val="287"/>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Total estimated expense to be incurred after December 31, 2025</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-2302510</wp:posOffset>
            </wp:positionV>
            <wp:extent cx="2432050"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7">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-1731010</wp:posOffset>
            </wp:positionV>
            <wp:extent cx="1644650"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8">
                      <a:extLst>
                        <a:ext uri="{28A0092B-C50C-407E-A947-70E740481C1C}"/>
                      </a:extLst>
                    </a:blip>
                    <a:srcRect/>
                    <a:stretch>
                      <a:fillRect/>
                    </a:stretch>
                  </pic:blipFill>
                  <pic:spPr bwMode="auto">
                    <a:xfrm>
                      <a:off x="0" y="0"/>
                      <a:ext cx="1644650" cy="5080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-1540510</wp:posOffset>
            </wp:positionV>
            <wp:extent cx="1644650"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39">
                      <a:extLst>
                        <a:ext uri="{28A0092B-C50C-407E-A947-70E740481C1C}"/>
                      </a:extLst>
                    </a:blip>
                    <a:srcRect/>
                    <a:stretch>
                      <a:fillRect/>
                    </a:stretch>
                  </pic:blipFill>
                  <pic:spPr bwMode="auto">
                    <a:xfrm>
                      <a:off x="0" y="0"/>
                      <a:ext cx="1644650" cy="5080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-1159510</wp:posOffset>
            </wp:positionV>
            <wp:extent cx="1644650"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40">
                      <a:extLst>
                        <a:ext uri="{28A0092B-C50C-407E-A947-70E740481C1C}"/>
                      </a:extLst>
                    </a:blip>
                    <a:srcRect/>
                    <a:stretch>
                      <a:fillRect/>
                    </a:stretch>
                  </pic:blipFill>
                  <pic:spPr bwMode="auto">
                    <a:xfrm>
                      <a:off x="0" y="0"/>
                      <a:ext cx="1644650" cy="5080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-969010</wp:posOffset>
            </wp:positionV>
            <wp:extent cx="1644650"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41">
                      <a:extLst>
                        <a:ext uri="{28A0092B-C50C-407E-A947-70E740481C1C}"/>
                      </a:extLst>
                    </a:blip>
                    <a:srcRect/>
                    <a:stretch>
                      <a:fillRect/>
                    </a:stretch>
                  </pic:blipFill>
                  <pic:spPr bwMode="auto">
                    <a:xfrm>
                      <a:off x="0" y="0"/>
                      <a:ext cx="1644650" cy="5080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-588010</wp:posOffset>
            </wp:positionV>
            <wp:extent cx="1644650"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42">
                      <a:extLst>
                        <a:ext uri="{28A0092B-C50C-407E-A947-70E740481C1C}"/>
                      </a:extLst>
                    </a:blip>
                    <a:srcRect/>
                    <a:stretch>
                      <a:fillRect/>
                    </a:stretch>
                  </pic:blipFill>
                  <pic:spPr bwMode="auto">
                    <a:xfrm>
                      <a:off x="0" y="0"/>
                      <a:ext cx="1644650" cy="5080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-410210</wp:posOffset>
            </wp:positionV>
            <wp:extent cx="2432050" cy="762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43">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454546"/>
        </w:rPr>
        <w:t>Litigation</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454546"/>
        </w:rPr>
        <w:t>Roku Matters</w:t>
      </w:r>
    </w:p>
    <w:p>
      <w:pPr>
        <w:spacing w:after="0" w:line="257"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454546"/>
        </w:rPr>
        <w:t>UEI and Roku Inc. ("Roku") and certain of its customers have been in litigation in various forums since 2018—i.e.,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 w:cs="Times New Roman" w:eastAsia="Times New Roman" w:hAnsi="Times New Roman"/>
          <w:sz w:val="20"/>
          <w:szCs w:val="20"/>
          <w:i w:val="1"/>
          <w:iCs w:val="1"/>
          <w:color w:val="454546"/>
        </w:rPr>
        <w:t>ex parte</w:t>
      </w:r>
      <w:r>
        <w:rPr>
          <w:rFonts w:ascii="Times New Roman" w:cs="Times New Roman" w:eastAsia="Times New Roman" w:hAnsi="Times New Roman"/>
          <w:sz w:val="20"/>
          <w:szCs w:val="20"/>
          <w:color w:val="454546"/>
        </w:rPr>
        <w:t xml:space="preserve"> reexams) and the Patent and Trademark Appeals Board ("PTAB"). The CDCA cases were all stayed on various grounds. The 2018 case was stayed in November 2019 pending resolution of Roku-initiated PTO and PTAB matters, all of which have since been resolved.</w:t>
      </w:r>
    </w:p>
    <w:p>
      <w:pPr>
        <w:spacing w:after="0" w:line="20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454546"/>
        </w:rPr>
        <w:t>The 2020 case was also immediately stayed due to UEI's related ITC action against Roku, in which UEI ultimately prevailed when in July 2021, the Administrative Law Judge ("ALJ") issued an initial determination finding Roku in violation of Section</w:t>
      </w:r>
    </w:p>
    <w:p>
      <w:pPr>
        <w:spacing w:after="0" w:line="2" w:lineRule="exact"/>
        <w:rPr>
          <w:sz w:val="20"/>
          <w:szCs w:val="20"/>
          <w:color w:val="auto"/>
        </w:rPr>
      </w:pPr>
    </w:p>
    <w:p>
      <w:pPr>
        <w:jc w:val="both"/>
        <w:ind w:left="10" w:right="20" w:hanging="10"/>
        <w:spacing w:after="0" w:line="253" w:lineRule="auto"/>
        <w:tabs>
          <w:tab w:leader="none" w:pos="441" w:val="left"/>
        </w:tabs>
        <w:numPr>
          <w:ilvl w:val="0"/>
          <w:numId w:val="3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 xml:space="preserve">The Commission issued a final determination in November 2021, affirming the ALJ’s finding. The Commission then issued a limited exclusion order and cease and desist order against Roku, which went into effect following the expiration of the Presidential Review Period in January 2022. The Federal Circuit affirmed in January 2024. Following UEI's win and affirmance by the Federal Circuit, Roku sought rehearing </w:t>
      </w:r>
      <w:r>
        <w:rPr>
          <w:rFonts w:ascii="Times New Roman" w:cs="Times New Roman" w:eastAsia="Times New Roman" w:hAnsi="Times New Roman"/>
          <w:sz w:val="20"/>
          <w:szCs w:val="20"/>
          <w:i w:val="1"/>
          <w:iCs w:val="1"/>
          <w:color w:val="454546"/>
        </w:rPr>
        <w:t>en banc</w:t>
      </w:r>
      <w:r>
        <w:rPr>
          <w:rFonts w:ascii="Times New Roman" w:cs="Times New Roman" w:eastAsia="Times New Roman" w:hAnsi="Times New Roman"/>
          <w:sz w:val="20"/>
          <w:szCs w:val="20"/>
          <w:color w:val="454546"/>
        </w:rPr>
        <w:t xml:space="preserve"> and sought cert from the Supreme Court on a domestic industry question. In January 2025, the Supreme Court denied cert.</w:t>
      </w:r>
    </w:p>
    <w:p>
      <w:pPr>
        <w:spacing w:after="0" w:line="208"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19"/>
          <w:szCs w:val="19"/>
          <w:color w:val="454546"/>
        </w:rPr>
        <w:t>While this ITC matter has been finally resolved and Roku has no more ability to appeal, we agreed to continue the stay of the CDCA cases pending the outcome of one final PTAB action involving one of our patents. UEI and Roku participated in a hearing in July 2025 regarding the consolidation of the 2018 and 2020 cases, the stay of the cases, and amending the claims that</w:t>
      </w:r>
    </w:p>
    <w:p>
      <w:pPr>
        <w:sectPr>
          <w:pgSz w:w="11880" w:h="15480" w:orient="portrait"/>
          <w:cols w:equalWidth="0" w:num="1">
            <w:col w:w="10270"/>
          </w:cols>
          <w:pgMar w:left="810" w:top="213" w:right="800" w:bottom="0" w:gutter="0" w:footer="0" w:header="0"/>
        </w:sectPr>
      </w:pPr>
    </w:p>
    <w:p>
      <w:pPr>
        <w:spacing w:after="0" w:line="30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454546"/>
        </w:rPr>
        <w:t>75</w:t>
      </w:r>
    </w:p>
    <w:p>
      <w:pPr>
        <w:sectPr>
          <w:pgSz w:w="11880" w:h="15480" w:orient="portrait"/>
          <w:cols w:equalWidth="0" w:num="1">
            <w:col w:w="10270"/>
          </w:cols>
          <w:pgMar w:left="810" w:top="213" w:right="800" w:bottom="0" w:gutter="0" w:footer="0" w:header="0"/>
          <w:type w:val="continuous"/>
        </w:sectPr>
      </w:pPr>
    </w:p>
    <w:bookmarkStart w:id="79" w:name="page80"/>
    <w:bookmarkEnd w:id="79"/>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454546"/>
        </w:rPr>
        <w:t>UEI would be allowed to move forward with a consolidated case by the court if unstayed. On July 29, 2025 the Judge issued an order lifting the stay, consolidating the cases and allowing UEI to move forward on 25 claims in the case. On September 4, 2025, the Court set various dates and deadlines for the case, including a trial date of March 16, 2027. On December 15, 2025, UEI filed a second amended complaint in the consolidated case, and on January 20, 2026, Roku filed a motion to dismiss one of the patents in suit, to which UEI filed a response on February 24, 2026.</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Roku also filed its own retaliatory ITC action against UEI and certain of our customers on two patents it purchased for this purpose. Roku’s action failed when in June 2022, the ALJ found on of Roku’s patents to be invalid as indefinite. Thereafter, in June 2022, the ALJ issued its initial determination ("ID") fully exonerating us and our customers, finding Roku’s second patent invalid and that Roku failed to establish the requisite domestic industry and thus no violation of the Tariff Act. Roku and UEI filed petitions to appeal certain portions of the ID. In October 2022, the full ITC issued its final determination affirming the ID, ruling there was no violation of the Tariff Act and terminating the investigation. In December 2022, Roku filed an appeal. Further, in October 2023, the PTAB issued its Final Written Decision invalidating all of Roku's infringement claims. Roku also filed an appeal of this decision. On June 17, 2025, the Federal Circuit affirmed the PTAB decision that invalidated the Roku patent and also remanded the case to the PTAB with respect to one remaining claim. On January 21, 2026, the PTAB issued a ruling invalidating the final remaining claim, and thus all claims of both asserted patents have been invalidated. As a companion to its ITC request, on April 8, 2021, Roku also filed a lawsuit against us in Federal CDCA alleging that we are infringing the same two patents they alleged were infringed in the ITC investigation explained above. On February 27, 2026, Roku voluntarily dismissed this District Court case.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Tongshun Matters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454546"/>
        </w:rPr>
        <w:t>On January 23, 2024, Tongshun Company ("TS") filed suit against one of our subsidiaries, Gemstar Technology (Yangzhou) Co. Ltd. ("GTY"), claiming among other things, breach of an employment agency, and as is standard in Chinese litigation matters such as these, TS requested the Court to order a hold on GTY's bank account for the total claimed amount. On February 8, 2024, we deposited RMB 35.0 million (approximately $4.9 million) with the court. On July 12, 2024, we were refunded RMB 10.0 million (approximately $1.4 million) of the original deposit. This deposit was included in prepaid expenses and other current assets on our consolidated balance sheets at December 31, 2024. On December 20, 2024, the Jiangsu Province Baoying People’s Court rendered a decision in favor of TS and ordered a judgment of RMB 27.4 million (approximately $3.8 million) plus interest and costs totaling approximately RMB 30.4 million (approximately $4.2 million). We recorded an accrual of RMB 30.4 million (approximately $4.2 million) for this judgment during the fourth quarter of 2024. This accrual is included in other accrued expenses on our consolidated balance sheets at December 31, 2024. We filed an appeal of this judgment and on May 20, 2025, the Jiangsu Province Yangzhou Intermediate People's Court affirmed the lower court’s decision in its entirety. The full judgment amount of RMB 30.4 million (approximately $4.2 million) was paid to TS during the second quarter of 2025. Both the deposit and accrual have been released from our consolidated balance sheets at September 30,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 Convergence Matters</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In mid-2024, an arbitration proceeding commenced between UEI and IT Convergence, Inc. ("IT Convergence"), in which IT Convergence alleged misappropriation of confidential information and theft of trade secrets, and we denied these claims and filed a counterclaim asserting breach of contract. The arbitration hearing took place in August 2025 and the arbitrator issued his decision on October 29, 2025. After making rulings on various claims and counterclaims, the arbitrator awarded the net amount of approximately $0.2 million in favor of UEI and against IT Convergence, which amount was received by the Company during the quarter ended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Other Litigation Matters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76</w:t>
      </w:r>
    </w:p>
    <w:p>
      <w:pPr>
        <w:sectPr>
          <w:pgSz w:w="11880" w:h="15480" w:orient="portrait"/>
          <w:cols w:equalWidth="0" w:num="1">
            <w:col w:w="10260"/>
          </w:cols>
          <w:pgMar w:left="820" w:top="213" w:right="800" w:bottom="0" w:gutter="0" w:footer="0" w:header="0"/>
          <w:type w:val="continuous"/>
        </w:sectPr>
      </w:pPr>
    </w:p>
    <w:bookmarkStart w:id="80" w:name="page81"/>
    <w:bookmarkEnd w:id="80"/>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litigation would not have a material adverse effect on our consolidated financial condition, results of operations, or cash flows.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Moreover, we believe that our products do not infringe any third parties' patents or other intellectual property rights.</w:t>
      </w:r>
    </w:p>
    <w:p>
      <w:pPr>
        <w:spacing w:after="0" w:line="23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We maintain directors' and officers' liability insurance which insures our individual directors and officers against certain claims, as well as attorney's fees and related expenses incurred in connection with the defense of such claims.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Defined Benefit Plan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Our subsidiary in India maintains a defined benefit pension plan ("India Plan") for local employees, which is consistent with local statutes and practices. The pension plan was adequately funded on December 31, 2025 based on its latest actuarial report. The India Plan has an independent external manager that advises us of the appropriate funding contribution requirements to which we comply. At December 31, 2025, approximately 52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2025 and 2024 for the India Plan was not material. During the years ended December 31, 2025, 2024 and 2023, the net periodic benefit costs were also not material.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14 — Treasury Stock</w:t>
      </w: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From time to time, our Board of Directors (the "Board") authorizes management to repurchase shares of our issued and outstanding common stock. On October 26, 2023, our Board approved a share repurchase program with an effective date of November 7, 2023 (the "Share Repurchase Program"). Pursuant to the Share Repurchase Program, we are authorized to repurchase up to 1,000,000 shares of our common stock and to date, we have repurchased 986,444 shares of our common stock. On March 11, 2026, the Board authorized an amendment to the Share Repurchase Program to repurchase up to an additional 1,000,000 shares, or a total of 1,013,556 shares (including the 13,556 shares remaining available under the prior Board authorization for repurchase under the Share Repurchase Program). This authorization will remain in effect until such time as the Board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 We also repurchase shares of our issued and outstanding common stock to satisfy income tax withholding obligations relating to the stock-based compensation of our employees and directors and/or the cost of stock option exercises.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Repurchased shares of our common stock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380" w:type="dxa"/>
            <w:vAlign w:val="bottom"/>
            <w:tcBorders>
              <w:bottom w:val="single" w:sz="8" w:color="454546"/>
            </w:tcBorders>
          </w:tcPr>
          <w:p>
            <w:pPr>
              <w:spacing w:after="0"/>
              <w:rPr>
                <w:sz w:val="18"/>
                <w:szCs w:val="18"/>
                <w:color w:val="auto"/>
              </w:rPr>
            </w:pPr>
          </w:p>
        </w:tc>
        <w:tc>
          <w:tcPr>
            <w:tcW w:w="1040" w:type="dxa"/>
            <w:vAlign w:val="bottom"/>
            <w:tcBorders>
              <w:bottom w:val="single" w:sz="8" w:color="454546"/>
            </w:tcBorders>
          </w:tcPr>
          <w:p>
            <w:pPr>
              <w:spacing w:after="0"/>
              <w:rPr>
                <w:sz w:val="18"/>
                <w:szCs w:val="18"/>
                <w:color w:val="auto"/>
              </w:rPr>
            </w:pPr>
          </w:p>
        </w:tc>
        <w:tc>
          <w:tcPr>
            <w:tcW w:w="2100" w:type="dxa"/>
            <w:vAlign w:val="bottom"/>
            <w:tcBorders>
              <w:bottom w:val="single" w:sz="8" w:color="454546"/>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454546"/>
                <w:w w:val="99"/>
              </w:rPr>
              <w:t>Year Ended December 31,</w:t>
            </w:r>
          </w:p>
        </w:tc>
        <w:tc>
          <w:tcPr>
            <w:tcW w:w="1140" w:type="dxa"/>
            <w:vAlign w:val="bottom"/>
            <w:tcBorders>
              <w:bottom w:val="single" w:sz="8" w:color="454546"/>
            </w:tcBorders>
          </w:tcPr>
          <w:p>
            <w:pPr>
              <w:spacing w:after="0"/>
              <w:rPr>
                <w:sz w:val="18"/>
                <w:szCs w:val="18"/>
                <w:color w:val="auto"/>
              </w:rPr>
            </w:pPr>
          </w:p>
        </w:tc>
      </w:tr>
      <w:tr>
        <w:trPr>
          <w:trHeight w:val="220"/>
        </w:trPr>
        <w:tc>
          <w:tcPr>
            <w:tcW w:w="5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8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454546"/>
            </w:tcBorders>
          </w:tcPr>
          <w:p>
            <w:pPr>
              <w:spacing w:after="0"/>
              <w:rPr>
                <w:sz w:val="19"/>
                <w:szCs w:val="19"/>
                <w:color w:val="auto"/>
              </w:rPr>
            </w:pPr>
          </w:p>
        </w:tc>
        <w:tc>
          <w:tcPr>
            <w:tcW w:w="80" w:type="dxa"/>
            <w:vAlign w:val="bottom"/>
            <w:tcBorders>
              <w:bottom w:val="single" w:sz="8" w:color="E3E4E5"/>
            </w:tcBorders>
          </w:tcPr>
          <w:p>
            <w:pPr>
              <w:spacing w:after="0"/>
              <w:rPr>
                <w:sz w:val="19"/>
                <w:szCs w:val="19"/>
                <w:color w:val="auto"/>
              </w:rPr>
            </w:pPr>
          </w:p>
        </w:tc>
        <w:tc>
          <w:tcPr>
            <w:tcW w:w="360" w:type="dxa"/>
            <w:vAlign w:val="bottom"/>
            <w:tcBorders>
              <w:bottom w:val="single" w:sz="8" w:color="454546"/>
            </w:tcBorders>
          </w:tcPr>
          <w:p>
            <w:pPr>
              <w:spacing w:after="0"/>
              <w:rPr>
                <w:sz w:val="19"/>
                <w:szCs w:val="19"/>
                <w:color w:val="auto"/>
              </w:rPr>
            </w:pPr>
          </w:p>
        </w:tc>
        <w:tc>
          <w:tcPr>
            <w:tcW w:w="1140" w:type="dxa"/>
            <w:vAlign w:val="bottom"/>
            <w:tcBorders>
              <w:bottom w:val="single" w:sz="8" w:color="454546"/>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E3E4E5"/>
            </w:tcBorders>
          </w:tcPr>
          <w:p>
            <w:pPr>
              <w:spacing w:after="0"/>
              <w:rPr>
                <w:sz w:val="19"/>
                <w:szCs w:val="19"/>
                <w:color w:val="auto"/>
              </w:rPr>
            </w:pPr>
          </w:p>
        </w:tc>
        <w:tc>
          <w:tcPr>
            <w:tcW w:w="360" w:type="dxa"/>
            <w:vAlign w:val="bottom"/>
            <w:tcBorders>
              <w:bottom w:val="single" w:sz="8" w:color="454546"/>
            </w:tcBorders>
          </w:tcPr>
          <w:p>
            <w:pPr>
              <w:spacing w:after="0"/>
              <w:rPr>
                <w:sz w:val="19"/>
                <w:szCs w:val="19"/>
                <w:color w:val="auto"/>
              </w:rPr>
            </w:pPr>
          </w:p>
        </w:tc>
        <w:tc>
          <w:tcPr>
            <w:tcW w:w="1140" w:type="dxa"/>
            <w:vAlign w:val="bottom"/>
            <w:tcBorders>
              <w:bottom w:val="single" w:sz="8" w:color="454546"/>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5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Open market shares repurchased</w:t>
            </w:r>
          </w:p>
        </w:tc>
        <w:tc>
          <w:tcPr>
            <w:tcW w:w="38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250</w:t>
            </w:r>
          </w:p>
        </w:tc>
        <w:tc>
          <w:tcPr>
            <w:tcW w:w="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121</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100</w:t>
            </w:r>
          </w:p>
        </w:tc>
      </w:tr>
      <w:tr>
        <w:trPr>
          <w:trHeight w:val="294"/>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Stock-based compensation related shares repurchased</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65</w:t>
            </w:r>
          </w:p>
        </w:tc>
      </w:tr>
      <w:tr>
        <w:trPr>
          <w:trHeight w:val="296"/>
        </w:trPr>
        <w:tc>
          <w:tcPr>
            <w:tcW w:w="56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Privately negotiated repurchase</w:t>
            </w:r>
          </w:p>
        </w:tc>
        <w:tc>
          <w:tcPr>
            <w:tcW w:w="380" w:type="dxa"/>
            <w:vAlign w:val="bottom"/>
            <w:tcBorders>
              <w:bottom w:val="single" w:sz="8" w:color="454546"/>
            </w:tcBorders>
            <w:shd w:val="clear" w:color="auto" w:fill="E3E4E5"/>
          </w:tcPr>
          <w:p>
            <w:pPr>
              <w:spacing w:after="0"/>
              <w:rPr>
                <w:sz w:val="24"/>
                <w:szCs w:val="24"/>
                <w:color w:val="auto"/>
              </w:rPr>
            </w:pPr>
          </w:p>
        </w:tc>
        <w:tc>
          <w:tcPr>
            <w:tcW w:w="10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515</w:t>
            </w:r>
          </w:p>
        </w:tc>
        <w:tc>
          <w:tcPr>
            <w:tcW w:w="80" w:type="dxa"/>
            <w:vAlign w:val="bottom"/>
            <w:tcBorders>
              <w:bottom w:val="single" w:sz="8" w:color="454546"/>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454546"/>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60"/>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Total shares repurchased</w:t>
            </w:r>
          </w:p>
        </w:tc>
        <w:tc>
          <w:tcPr>
            <w:tcW w:w="380" w:type="dxa"/>
            <w:vAlign w:val="bottom"/>
            <w:tcBorders>
              <w:bottom w:val="single" w:sz="8" w:color="454546"/>
            </w:tcBorders>
          </w:tcPr>
          <w:p>
            <w:pPr>
              <w:spacing w:after="0"/>
              <w:rPr>
                <w:sz w:val="22"/>
                <w:szCs w:val="22"/>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872</w:t>
            </w:r>
          </w:p>
        </w:tc>
        <w:tc>
          <w:tcPr>
            <w:tcW w:w="80" w:type="dxa"/>
            <w:vAlign w:val="bottom"/>
            <w:tcBorders>
              <w:bottom w:val="single" w:sz="8" w:color="454546"/>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454546"/>
            </w:tcBorders>
          </w:tcPr>
          <w:p>
            <w:pPr>
              <w:spacing w:after="0"/>
              <w:rPr>
                <w:sz w:val="22"/>
                <w:szCs w:val="22"/>
                <w:color w:val="auto"/>
              </w:rPr>
            </w:pP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206</w:t>
            </w:r>
          </w:p>
        </w:tc>
        <w:tc>
          <w:tcPr>
            <w:tcW w:w="80" w:type="dxa"/>
            <w:vAlign w:val="bottom"/>
          </w:tcPr>
          <w:p>
            <w:pPr>
              <w:spacing w:after="0"/>
              <w:rPr>
                <w:sz w:val="22"/>
                <w:szCs w:val="22"/>
                <w:color w:val="auto"/>
              </w:rPr>
            </w:pPr>
          </w:p>
        </w:tc>
        <w:tc>
          <w:tcPr>
            <w:tcW w:w="360" w:type="dxa"/>
            <w:vAlign w:val="bottom"/>
            <w:tcBorders>
              <w:bottom w:val="single" w:sz="8" w:color="454546"/>
            </w:tcBorders>
          </w:tcPr>
          <w:p>
            <w:pPr>
              <w:spacing w:after="0"/>
              <w:rPr>
                <w:sz w:val="22"/>
                <w:szCs w:val="22"/>
                <w:color w:val="auto"/>
              </w:rPr>
            </w:pPr>
          </w:p>
        </w:tc>
        <w:tc>
          <w:tcPr>
            <w:tcW w:w="1140" w:type="dxa"/>
            <w:vAlign w:val="bottom"/>
            <w:tcBorders>
              <w:bottom w:val="single" w:sz="8" w:color="454546"/>
            </w:tcBorders>
          </w:tcPr>
          <w:p>
            <w:pPr>
              <w:jc w:val="right"/>
              <w:ind w:right="2"/>
              <w:spacing w:after="0"/>
              <w:rPr>
                <w:sz w:val="20"/>
                <w:szCs w:val="20"/>
                <w:color w:val="auto"/>
              </w:rPr>
            </w:pPr>
            <w:r>
              <w:rPr>
                <w:rFonts w:ascii="Times New Roman" w:cs="Times New Roman" w:eastAsia="Times New Roman" w:hAnsi="Times New Roman"/>
                <w:sz w:val="20"/>
                <w:szCs w:val="20"/>
                <w:color w:val="454546"/>
              </w:rPr>
              <w:t>165</w:t>
            </w:r>
          </w:p>
        </w:tc>
      </w:tr>
      <w:tr>
        <w:trPr>
          <w:trHeight w:val="20"/>
        </w:trPr>
        <w:tc>
          <w:tcPr>
            <w:tcW w:w="5600" w:type="dxa"/>
            <w:vAlign w:val="bottom"/>
            <w:tcBorders>
              <w:bottom w:val="single" w:sz="8" w:color="E3E4E5"/>
            </w:tcBorders>
          </w:tcPr>
          <w:p>
            <w:pPr>
              <w:spacing w:after="0" w:line="20" w:lineRule="exact"/>
              <w:rPr>
                <w:sz w:val="1"/>
                <w:szCs w:val="1"/>
                <w:color w:val="auto"/>
              </w:rPr>
            </w:pPr>
          </w:p>
        </w:tc>
        <w:tc>
          <w:tcPr>
            <w:tcW w:w="38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80" w:type="dxa"/>
            <w:vAlign w:val="bottom"/>
            <w:tcBorders>
              <w:bottom w:val="single" w:sz="8" w:color="454546"/>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360" w:type="dxa"/>
            <w:vAlign w:val="bottom"/>
            <w:tcBorders>
              <w:bottom w:val="single" w:sz="8" w:color="454546"/>
            </w:tcBorders>
          </w:tcPr>
          <w:p>
            <w:pPr>
              <w:spacing w:after="0" w:line="20" w:lineRule="exact"/>
              <w:rPr>
                <w:sz w:val="1"/>
                <w:szCs w:val="1"/>
                <w:color w:val="auto"/>
              </w:rPr>
            </w:pPr>
          </w:p>
        </w:tc>
        <w:tc>
          <w:tcPr>
            <w:tcW w:w="1140" w:type="dxa"/>
            <w:vAlign w:val="bottom"/>
            <w:tcBorders>
              <w:bottom w:val="single" w:sz="8" w:color="454546"/>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360" w:type="dxa"/>
            <w:vAlign w:val="bottom"/>
            <w:tcBorders>
              <w:bottom w:val="single" w:sz="8" w:color="454546"/>
            </w:tcBorders>
          </w:tcPr>
          <w:p>
            <w:pPr>
              <w:spacing w:after="0" w:line="20" w:lineRule="exact"/>
              <w:rPr>
                <w:sz w:val="1"/>
                <w:szCs w:val="1"/>
                <w:color w:val="auto"/>
              </w:rPr>
            </w:pPr>
          </w:p>
        </w:tc>
        <w:tc>
          <w:tcPr>
            <w:tcW w:w="1140" w:type="dxa"/>
            <w:vAlign w:val="bottom"/>
            <w:tcBorders>
              <w:bottom w:val="single" w:sz="8" w:color="454546"/>
            </w:tcBorders>
          </w:tcPr>
          <w:p>
            <w:pPr>
              <w:spacing w:after="0" w:line="20" w:lineRule="exact"/>
              <w:rPr>
                <w:sz w:val="1"/>
                <w:szCs w:val="1"/>
                <w:color w:val="auto"/>
              </w:rPr>
            </w:pPr>
          </w:p>
        </w:tc>
      </w:tr>
      <w:tr>
        <w:trPr>
          <w:trHeight w:val="270"/>
        </w:trPr>
        <w:tc>
          <w:tcPr>
            <w:tcW w:w="5600" w:type="dxa"/>
            <w:vAlign w:val="bottom"/>
            <w:shd w:val="clear" w:color="auto" w:fill="E3E4E5"/>
          </w:tcPr>
          <w:p>
            <w:pPr>
              <w:spacing w:after="0"/>
              <w:rPr>
                <w:sz w:val="23"/>
                <w:szCs w:val="23"/>
                <w:color w:val="auto"/>
              </w:rPr>
            </w:pPr>
          </w:p>
        </w:tc>
        <w:tc>
          <w:tcPr>
            <w:tcW w:w="380" w:type="dxa"/>
            <w:vAlign w:val="bottom"/>
            <w:shd w:val="clear" w:color="auto" w:fill="E3E4E5"/>
          </w:tcPr>
          <w:p>
            <w:pPr>
              <w:spacing w:after="0"/>
              <w:rPr>
                <w:sz w:val="23"/>
                <w:szCs w:val="23"/>
                <w:color w:val="auto"/>
              </w:rPr>
            </w:pPr>
          </w:p>
        </w:tc>
        <w:tc>
          <w:tcPr>
            <w:tcW w:w="104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360" w:type="dxa"/>
            <w:vAlign w:val="bottom"/>
            <w:shd w:val="clear" w:color="auto" w:fill="E3E4E5"/>
          </w:tcPr>
          <w:p>
            <w:pPr>
              <w:spacing w:after="0"/>
              <w:rPr>
                <w:sz w:val="23"/>
                <w:szCs w:val="23"/>
                <w:color w:val="auto"/>
              </w:rPr>
            </w:pPr>
          </w:p>
        </w:tc>
        <w:tc>
          <w:tcPr>
            <w:tcW w:w="114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360" w:type="dxa"/>
            <w:vAlign w:val="bottom"/>
            <w:shd w:val="clear" w:color="auto" w:fill="E3E4E5"/>
          </w:tcPr>
          <w:p>
            <w:pPr>
              <w:spacing w:after="0"/>
              <w:rPr>
                <w:sz w:val="23"/>
                <w:szCs w:val="23"/>
                <w:color w:val="auto"/>
              </w:rPr>
            </w:pPr>
          </w:p>
        </w:tc>
        <w:tc>
          <w:tcPr>
            <w:tcW w:w="1140" w:type="dxa"/>
            <w:vAlign w:val="bottom"/>
            <w:shd w:val="clear" w:color="auto" w:fill="E3E4E5"/>
          </w:tcPr>
          <w:p>
            <w:pPr>
              <w:spacing w:after="0"/>
              <w:rPr>
                <w:sz w:val="23"/>
                <w:szCs w:val="23"/>
                <w:color w:val="auto"/>
              </w:rPr>
            </w:pPr>
          </w:p>
        </w:tc>
      </w:tr>
      <w:tr>
        <w:trPr>
          <w:trHeight w:val="294"/>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Cost of open market shares repurchased</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781</w:t>
            </w: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1,109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864</w:t>
            </w:r>
          </w:p>
        </w:tc>
      </w:tr>
      <w:tr>
        <w:trPr>
          <w:trHeight w:val="306"/>
        </w:trPr>
        <w:tc>
          <w:tcPr>
            <w:tcW w:w="5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Cost of stock-based compensation related shares repurchased</w:t>
            </w:r>
          </w:p>
        </w:tc>
        <w:tc>
          <w:tcPr>
            <w:tcW w:w="38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781</w:t>
            </w:r>
          </w:p>
        </w:tc>
        <w:tc>
          <w:tcPr>
            <w:tcW w:w="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848</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915</w:t>
            </w:r>
          </w:p>
        </w:tc>
      </w:tr>
      <w:tr>
        <w:trPr>
          <w:trHeight w:val="290"/>
        </w:trPr>
        <w:tc>
          <w:tcPr>
            <w:tcW w:w="5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Cost of privately negotiated repurchase</w:t>
            </w:r>
          </w:p>
        </w:tc>
        <w:tc>
          <w:tcPr>
            <w:tcW w:w="380" w:type="dxa"/>
            <w:vAlign w:val="bottom"/>
            <w:tcBorders>
              <w:bottom w:val="single" w:sz="8" w:color="454546"/>
            </w:tcBorders>
          </w:tcPr>
          <w:p>
            <w:pPr>
              <w:spacing w:after="0"/>
              <w:rPr>
                <w:sz w:val="24"/>
                <w:szCs w:val="24"/>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1,524</w:t>
            </w:r>
          </w:p>
        </w:tc>
        <w:tc>
          <w:tcPr>
            <w:tcW w:w="80" w:type="dxa"/>
            <w:vAlign w:val="bottom"/>
            <w:tcBorders>
              <w:bottom w:val="single" w:sz="8" w:color="454546"/>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454546"/>
            </w:tcBorders>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80"/>
        </w:trPr>
        <w:tc>
          <w:tcPr>
            <w:tcW w:w="5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Total cost of shares repurchased</w:t>
            </w:r>
          </w:p>
        </w:tc>
        <w:tc>
          <w:tcPr>
            <w:tcW w:w="38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3,086</w:t>
            </w:r>
          </w:p>
        </w:tc>
        <w:tc>
          <w:tcPr>
            <w:tcW w:w="520" w:type="dxa"/>
            <w:vAlign w:val="bottom"/>
            <w:gridSpan w:val="3"/>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1,957</w:t>
            </w:r>
          </w:p>
        </w:tc>
        <w:tc>
          <w:tcPr>
            <w:tcW w:w="44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1,779</w:t>
            </w:r>
          </w:p>
        </w:tc>
      </w:tr>
      <w:tr>
        <w:trPr>
          <w:trHeight w:val="20"/>
        </w:trPr>
        <w:tc>
          <w:tcPr>
            <w:tcW w:w="5600" w:type="dxa"/>
            <w:vAlign w:val="bottom"/>
            <w:tcBorders>
              <w:top w:val="single" w:sz="8" w:color="E3E4E5"/>
            </w:tcBorders>
          </w:tcPr>
          <w:p>
            <w:pPr>
              <w:spacing w:after="0" w:line="20" w:lineRule="exact"/>
              <w:rPr>
                <w:sz w:val="1"/>
                <w:szCs w:val="1"/>
                <w:color w:val="auto"/>
              </w:rPr>
            </w:pPr>
          </w:p>
        </w:tc>
        <w:tc>
          <w:tcPr>
            <w:tcW w:w="380" w:type="dxa"/>
            <w:vAlign w:val="bottom"/>
            <w:tcBorders>
              <w:top w:val="single" w:sz="8" w:color="454546"/>
              <w:bottom w:val="single" w:sz="8" w:color="454546"/>
            </w:tcBorders>
          </w:tcPr>
          <w:p>
            <w:pPr>
              <w:spacing w:after="0" w:line="20" w:lineRule="exact"/>
              <w:rPr>
                <w:sz w:val="1"/>
                <w:szCs w:val="1"/>
                <w:color w:val="auto"/>
              </w:rPr>
            </w:pPr>
          </w:p>
        </w:tc>
        <w:tc>
          <w:tcPr>
            <w:tcW w:w="10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454546"/>
              <w:bottom w:val="single" w:sz="8" w:color="454546"/>
            </w:tcBorders>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-1758315</wp:posOffset>
            </wp:positionV>
            <wp:extent cx="3003550"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44">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-1186815</wp:posOffset>
            </wp:positionV>
            <wp:extent cx="2025650"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45">
                      <a:extLst>
                        <a:ext uri="{28A0092B-C50C-407E-A947-70E740481C1C}"/>
                      </a:extLst>
                    </a:blip>
                    <a:srcRect/>
                    <a:stretch>
                      <a:fillRect/>
                    </a:stretch>
                  </pic:blipFill>
                  <pic:spPr bwMode="auto">
                    <a:xfrm>
                      <a:off x="0" y="0"/>
                      <a:ext cx="20256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-1009015</wp:posOffset>
            </wp:positionV>
            <wp:extent cx="3003550" cy="762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46">
                      <a:extLst>
                        <a:ext uri="{28A0092B-C50C-407E-A947-70E740481C1C}"/>
                      </a:extLst>
                    </a:blip>
                    <a:srcRect/>
                    <a:stretch>
                      <a:fillRect/>
                    </a:stretch>
                  </pic:blipFill>
                  <pic:spPr bwMode="auto">
                    <a:xfrm>
                      <a:off x="0" y="0"/>
                      <a:ext cx="3003550" cy="762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-234315</wp:posOffset>
            </wp:positionV>
            <wp:extent cx="2025650"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7">
                      <a:extLst>
                        <a:ext uri="{28A0092B-C50C-407E-A947-70E740481C1C}"/>
                      </a:extLst>
                    </a:blip>
                    <a:srcRect/>
                    <a:stretch>
                      <a:fillRect/>
                    </a:stretch>
                  </pic:blipFill>
                  <pic:spPr bwMode="auto">
                    <a:xfrm>
                      <a:off x="0" y="0"/>
                      <a:ext cx="20256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-56515</wp:posOffset>
            </wp:positionV>
            <wp:extent cx="3003550" cy="762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48">
                      <a:extLst>
                        <a:ext uri="{28A0092B-C50C-407E-A947-70E740481C1C}"/>
                      </a:extLst>
                    </a:blip>
                    <a:srcRect/>
                    <a:stretch>
                      <a:fillRect/>
                    </a:stretch>
                  </pic:blipFill>
                  <pic:spPr bwMode="auto">
                    <a:xfrm>
                      <a:off x="0" y="0"/>
                      <a:ext cx="3003550" cy="762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Repurchased shares are recorded as shares held in treasury at cost. We hold these shares for future use as management and the Board deem appropriate.</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77</w:t>
      </w:r>
    </w:p>
    <w:p>
      <w:pPr>
        <w:sectPr>
          <w:pgSz w:w="11880" w:h="15480" w:orient="portrait"/>
          <w:cols w:equalWidth="0" w:num="1">
            <w:col w:w="10260"/>
          </w:cols>
          <w:pgMar w:left="820" w:top="213" w:right="800" w:bottom="0" w:gutter="0" w:footer="0" w:header="0"/>
          <w:type w:val="continuous"/>
        </w:sectPr>
      </w:pPr>
    </w:p>
    <w:bookmarkStart w:id="81" w:name="page82"/>
    <w:bookmarkEnd w:id="81"/>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15 — Stock-Based Compensation</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2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19"/>
                <w:szCs w:val="19"/>
                <w:color w:val="auto"/>
              </w:rPr>
            </w:pPr>
          </w:p>
        </w:tc>
        <w:tc>
          <w:tcPr>
            <w:tcW w:w="1000" w:type="dxa"/>
            <w:vAlign w:val="bottom"/>
            <w:tcBorders>
              <w:bottom w:val="single" w:sz="8" w:color="454546"/>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19"/>
                <w:szCs w:val="19"/>
                <w:color w:val="auto"/>
              </w:rPr>
            </w:pPr>
          </w:p>
        </w:tc>
        <w:tc>
          <w:tcPr>
            <w:tcW w:w="320" w:type="dxa"/>
            <w:vAlign w:val="bottom"/>
            <w:tcBorders>
              <w:bottom w:val="single" w:sz="8" w:color="454546"/>
            </w:tcBorders>
          </w:tcPr>
          <w:p>
            <w:pPr>
              <w:spacing w:after="0"/>
              <w:rPr>
                <w:sz w:val="19"/>
                <w:szCs w:val="19"/>
                <w:color w:val="auto"/>
              </w:rPr>
            </w:pPr>
          </w:p>
        </w:tc>
        <w:tc>
          <w:tcPr>
            <w:tcW w:w="1000" w:type="dxa"/>
            <w:vAlign w:val="bottom"/>
            <w:tcBorders>
              <w:bottom w:val="single" w:sz="8" w:color="454546"/>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19"/>
                <w:szCs w:val="19"/>
                <w:color w:val="auto"/>
              </w:rPr>
            </w:pPr>
          </w:p>
        </w:tc>
        <w:tc>
          <w:tcPr>
            <w:tcW w:w="340" w:type="dxa"/>
            <w:vAlign w:val="bottom"/>
            <w:tcBorders>
              <w:bottom w:val="single" w:sz="8" w:color="454546"/>
            </w:tcBorders>
          </w:tcPr>
          <w:p>
            <w:pPr>
              <w:spacing w:after="0"/>
              <w:rPr>
                <w:sz w:val="19"/>
                <w:szCs w:val="19"/>
                <w:color w:val="auto"/>
              </w:rPr>
            </w:pPr>
          </w:p>
        </w:tc>
        <w:tc>
          <w:tcPr>
            <w:tcW w:w="980" w:type="dxa"/>
            <w:vAlign w:val="bottom"/>
            <w:tcBorders>
              <w:bottom w:val="single" w:sz="8" w:color="454546"/>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Cost of sales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20"/>
                <w:szCs w:val="20"/>
                <w:color w:val="454546"/>
              </w:rPr>
              <w:t>55</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7"/>
              <w:spacing w:after="0"/>
              <w:rPr>
                <w:sz w:val="20"/>
                <w:szCs w:val="20"/>
                <w:color w:val="auto"/>
              </w:rPr>
            </w:pPr>
            <w:r>
              <w:rPr>
                <w:rFonts w:ascii="Times New Roman" w:cs="Times New Roman" w:eastAsia="Times New Roman" w:hAnsi="Times New Roman"/>
                <w:sz w:val="20"/>
                <w:szCs w:val="20"/>
                <w:color w:val="454546"/>
              </w:rPr>
              <w:t>106</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7"/>
              <w:spacing w:after="0"/>
              <w:rPr>
                <w:sz w:val="20"/>
                <w:szCs w:val="20"/>
                <w:color w:val="auto"/>
              </w:rPr>
            </w:pPr>
            <w:r>
              <w:rPr>
                <w:rFonts w:ascii="Times New Roman" w:cs="Times New Roman" w:eastAsia="Times New Roman" w:hAnsi="Times New Roman"/>
                <w:sz w:val="20"/>
                <w:szCs w:val="20"/>
                <w:color w:val="454546"/>
              </w:rPr>
              <w:t>125</w:t>
            </w:r>
          </w:p>
        </w:tc>
      </w:tr>
      <w:tr>
        <w:trPr>
          <w:trHeight w:val="28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Research and development expenses</w:t>
            </w: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454546"/>
              </w:rPr>
              <w:t>567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769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1,098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-397510</wp:posOffset>
            </wp:positionV>
            <wp:extent cx="2632075"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9">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0"/>
          <w:szCs w:val="20"/>
          <w:color w:val="454546"/>
        </w:rPr>
        <w:t>Selling, general and administrative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-139700</wp:posOffset>
                </wp:positionV>
                <wp:extent cx="6514465" cy="189865"/>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9865"/>
                        </a:xfrm>
                        <a:prstGeom prst="rect">
                          <a:avLst/>
                        </a:prstGeom>
                        <a:solidFill>
                          <a:srgbClr val="E3E4E5"/>
                        </a:solidFill>
                      </wps:spPr>
                      <wps:bodyPr/>
                    </wps:wsp>
                  </a:graphicData>
                </a:graphic>
              </wp:anchor>
            </w:drawing>
          </mc:Choice>
          <mc:Fallback>
            <w:pict>
              <v:rect id="Shape 208" o:spid="_x0000_s1233" style="position:absolute;margin-left:-0.4499pt;margin-top:-11pt;width:512.9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ectPr>
          <w:pgSz w:w="11880" w:h="15480" w:orient="portrait"/>
          <w:cols w:equalWidth="0" w:num="1">
            <w:col w:w="10260"/>
          </w:cols>
          <w:pgMar w:left="820" w:top="213" w:right="800" w:bottom="0" w:gutter="0" w:footer="0" w:header="0"/>
        </w:sectPr>
      </w:pP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Employees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Outside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6515100" cy="2159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50">
                      <a:extLst>
                        <a:ext uri="{28A0092B-C50C-407E-A947-70E740481C1C}"/>
                      </a:extLst>
                    </a:blip>
                    <a:srcRect/>
                    <a:stretch>
                      <a:fillRect/>
                    </a:stretch>
                  </pic:blipFill>
                  <pic:spPr bwMode="auto">
                    <a:xfrm>
                      <a:off x="0" y="0"/>
                      <a:ext cx="6515100" cy="21590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Total employee and director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540500" cy="228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51">
                      <a:extLst>
                        <a:ext uri="{28A0092B-C50C-407E-A947-70E740481C1C}"/>
                      </a:extLst>
                    </a:blip>
                    <a:srcRect/>
                    <a:stretch>
                      <a:fillRect/>
                    </a:stretch>
                  </pic:blipFill>
                  <pic:spPr bwMode="auto">
                    <a:xfrm>
                      <a:off x="0" y="0"/>
                      <a:ext cx="6540500" cy="22860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Income tax benefit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Restricted Stock</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Non-vested restricted stock award activity was as follows:</w:t>
      </w:r>
    </w:p>
    <w:p>
      <w:pPr>
        <w:spacing w:after="0" w:line="100" w:lineRule="exact"/>
        <w:rPr>
          <w:sz w:val="20"/>
          <w:szCs w:val="20"/>
          <w:color w:val="auto"/>
        </w:rPr>
      </w:pPr>
    </w:p>
    <w:tbl>
      <w:tblPr>
        <w:tblLayout w:type="fixed"/>
        <w:tblInd w:w="3980" w:type="dxa"/>
        <w:tblCellMar>
          <w:top w:w="0" w:type="dxa"/>
          <w:left w:w="0" w:type="dxa"/>
          <w:bottom w:w="0" w:type="dxa"/>
          <w:right w:w="0" w:type="dxa"/>
        </w:tblCellMar>
      </w:tblPr>
      <w:tr>
        <w:trPr>
          <w:trHeight w:val="217"/>
        </w:trPr>
        <w:tc>
          <w:tcPr>
            <w:tcW w:w="820" w:type="dxa"/>
            <w:vAlign w:val="bottom"/>
            <w:tcBorders>
              <w:bottom w:val="single" w:sz="8" w:color="454546"/>
            </w:tcBorders>
          </w:tcPr>
          <w:p>
            <w:pPr>
              <w:spacing w:after="0"/>
              <w:rPr>
                <w:sz w:val="18"/>
                <w:szCs w:val="18"/>
                <w:color w:val="auto"/>
              </w:rPr>
            </w:pPr>
          </w:p>
        </w:tc>
        <w:tc>
          <w:tcPr>
            <w:tcW w:w="1180" w:type="dxa"/>
            <w:vAlign w:val="bottom"/>
            <w:tcBorders>
              <w:bottom w:val="single" w:sz="8" w:color="454546"/>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454546"/>
                <w:w w:val="99"/>
              </w:rPr>
              <w:t>2025</w:t>
            </w: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1180" w:type="dxa"/>
            <w:vAlign w:val="bottom"/>
          </w:tcPr>
          <w:p>
            <w:pPr>
              <w:jc w:val="center"/>
              <w:ind w:left="140"/>
              <w:spacing w:after="0" w:line="151" w:lineRule="exact"/>
              <w:rPr>
                <w:sz w:val="20"/>
                <w:szCs w:val="20"/>
                <w:color w:val="auto"/>
              </w:rPr>
            </w:pPr>
            <w:r>
              <w:rPr>
                <w:rFonts w:ascii="Times New Roman" w:cs="Times New Roman" w:eastAsia="Times New Roman" w:hAnsi="Times New Roman"/>
                <w:sz w:val="16"/>
                <w:szCs w:val="16"/>
                <w:b w:val="1"/>
                <w:bCs w:val="1"/>
                <w:color w:val="454546"/>
              </w:rPr>
              <w:t>Weighted-</w:t>
            </w:r>
          </w:p>
        </w:tc>
        <w:tc>
          <w:tcPr>
            <w:tcW w:w="0" w:type="dxa"/>
            <w:vAlign w:val="bottom"/>
          </w:tcPr>
          <w:p>
            <w:pPr>
              <w:spacing w:after="0"/>
              <w:rPr>
                <w:sz w:val="1"/>
                <w:szCs w:val="1"/>
                <w:color w:val="auto"/>
              </w:rPr>
            </w:pPr>
          </w:p>
        </w:tc>
      </w:tr>
      <w:tr>
        <w:trPr>
          <w:trHeight w:val="160"/>
        </w:trPr>
        <w:tc>
          <w:tcPr>
            <w:tcW w:w="820" w:type="dxa"/>
            <w:vAlign w:val="bottom"/>
            <w:vMerge w:val="restart"/>
          </w:tcPr>
          <w:p>
            <w:pPr>
              <w:jc w:val="center"/>
              <w:ind w:left="60"/>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1180" w:type="dxa"/>
            <w:vAlign w:val="bottom"/>
          </w:tcPr>
          <w:p>
            <w:pPr>
              <w:jc w:val="center"/>
              <w:ind w:left="140"/>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Average</w:t>
            </w:r>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1180" w:type="dxa"/>
            <w:vAlign w:val="bottom"/>
          </w:tcPr>
          <w:p>
            <w:pPr>
              <w:jc w:val="center"/>
              <w:ind w:left="120"/>
              <w:spacing w:after="0" w:line="160" w:lineRule="exact"/>
              <w:rPr>
                <w:sz w:val="20"/>
                <w:szCs w:val="20"/>
                <w:color w:val="auto"/>
              </w:rPr>
            </w:pPr>
            <w:r>
              <w:rPr>
                <w:rFonts w:ascii="Times New Roman" w:cs="Times New Roman" w:eastAsia="Times New Roman" w:hAnsi="Times New Roman"/>
                <w:sz w:val="16"/>
                <w:szCs w:val="16"/>
                <w:b w:val="1"/>
                <w:bCs w:val="1"/>
                <w:color w:val="454546"/>
              </w:rPr>
              <w:t>Grant Date</w:t>
            </w:r>
          </w:p>
        </w:tc>
        <w:tc>
          <w:tcPr>
            <w:tcW w:w="0" w:type="dxa"/>
            <w:vAlign w:val="bottom"/>
          </w:tcPr>
          <w:p>
            <w:pPr>
              <w:spacing w:after="0"/>
              <w:rPr>
                <w:sz w:val="1"/>
                <w:szCs w:val="1"/>
                <w:color w:val="auto"/>
              </w:rPr>
            </w:pPr>
          </w:p>
        </w:tc>
      </w:tr>
      <w:tr>
        <w:trPr>
          <w:trHeight w:val="211"/>
        </w:trPr>
        <w:tc>
          <w:tcPr>
            <w:tcW w:w="82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454546"/>
              </w:rPr>
              <w:t>(in 000's)</w:t>
            </w: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900"/>
        <w:spacing w:after="0"/>
        <w:tabs>
          <w:tab w:leader="none" w:pos="2260" w:val="left"/>
          <w:tab w:leader="none" w:pos="3640" w:val="left"/>
        </w:tabs>
        <w:rPr>
          <w:sz w:val="20"/>
          <w:szCs w:val="20"/>
          <w:color w:val="auto"/>
        </w:rPr>
      </w:pPr>
      <w:r>
        <w:rPr>
          <w:rFonts w:ascii="Times New Roman" w:cs="Times New Roman" w:eastAsia="Times New Roman" w:hAnsi="Times New Roman"/>
          <w:sz w:val="20"/>
          <w:szCs w:val="20"/>
          <w:color w:val="454546"/>
        </w:rPr>
        <w:t>3,402</w:t>
      </w:r>
      <w:r>
        <w:rPr>
          <w:sz w:val="20"/>
          <w:szCs w:val="20"/>
          <w:color w:val="auto"/>
        </w:rPr>
        <w:tab/>
      </w:r>
      <w:r>
        <w:rPr>
          <w:rFonts w:ascii="Times New Roman" w:cs="Times New Roman" w:eastAsia="Times New Roman" w:hAnsi="Times New Roman"/>
          <w:sz w:val="20"/>
          <w:szCs w:val="20"/>
          <w:color w:val="454546"/>
        </w:rPr>
        <w:t>5,379</w:t>
      </w:r>
      <w:r>
        <w:rPr>
          <w:sz w:val="20"/>
          <w:szCs w:val="20"/>
          <w:color w:val="auto"/>
        </w:rPr>
        <w:tab/>
      </w:r>
      <w:r>
        <w:rPr>
          <w:rFonts w:ascii="Times New Roman" w:cs="Times New Roman" w:eastAsia="Times New Roman" w:hAnsi="Times New Roman"/>
          <w:sz w:val="19"/>
          <w:szCs w:val="19"/>
          <w:color w:val="454546"/>
        </w:rPr>
        <w:t>6,980</w:t>
      </w:r>
    </w:p>
    <w:p>
      <w:pPr>
        <w:spacing w:after="0" w:line="70" w:lineRule="exact"/>
        <w:rPr>
          <w:sz w:val="20"/>
          <w:szCs w:val="20"/>
          <w:color w:val="auto"/>
        </w:rPr>
      </w:pPr>
    </w:p>
    <w:p>
      <w:pPr>
        <w:ind w:left="900"/>
        <w:spacing w:after="0"/>
        <w:tabs>
          <w:tab w:leader="none" w:pos="2400" w:val="left"/>
          <w:tab w:leader="none" w:pos="3780" w:val="left"/>
        </w:tabs>
        <w:rPr>
          <w:sz w:val="20"/>
          <w:szCs w:val="20"/>
          <w:color w:val="auto"/>
        </w:rPr>
      </w:pPr>
      <w:r>
        <w:rPr>
          <w:rFonts w:ascii="Times New Roman" w:cs="Times New Roman" w:eastAsia="Times New Roman" w:hAnsi="Times New Roman"/>
          <w:sz w:val="20"/>
          <w:szCs w:val="20"/>
          <w:color w:val="454546"/>
        </w:rPr>
        <w:t>1,074</w:t>
      </w:r>
      <w:r>
        <w:rPr>
          <w:sz w:val="20"/>
          <w:szCs w:val="20"/>
          <w:color w:val="auto"/>
        </w:rPr>
        <w:tab/>
      </w:r>
      <w:r>
        <w:rPr>
          <w:rFonts w:ascii="Times New Roman" w:cs="Times New Roman" w:eastAsia="Times New Roman" w:hAnsi="Times New Roman"/>
          <w:sz w:val="20"/>
          <w:szCs w:val="20"/>
          <w:color w:val="454546"/>
        </w:rPr>
        <w:t>446</w:t>
      </w:r>
      <w:r>
        <w:rPr>
          <w:sz w:val="20"/>
          <w:szCs w:val="20"/>
          <w:color w:val="auto"/>
        </w:rPr>
        <w:tab/>
      </w:r>
      <w:r>
        <w:rPr>
          <w:rFonts w:ascii="Times New Roman" w:cs="Times New Roman" w:eastAsia="Times New Roman" w:hAnsi="Times New Roman"/>
          <w:sz w:val="20"/>
          <w:szCs w:val="20"/>
          <w:color w:val="454546"/>
        </w:rPr>
        <w:t>606</w:t>
      </w:r>
    </w:p>
    <w:p>
      <w:pPr>
        <w:spacing w:after="0" w:line="7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5,098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6,700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8,809</w:t>
            </w:r>
          </w:p>
        </w:tc>
      </w:tr>
      <w:tr>
        <w:trPr>
          <w:trHeight w:val="20"/>
        </w:trPr>
        <w:tc>
          <w:tcPr>
            <w:tcW w:w="460" w:type="dxa"/>
            <w:vAlign w:val="bottom"/>
            <w:tcBorders>
              <w:top w:val="single" w:sz="8" w:color="454546"/>
              <w:bottom w:val="single" w:sz="8" w:color="454546"/>
            </w:tcBorders>
          </w:tcPr>
          <w:p>
            <w:pPr>
              <w:spacing w:after="0" w:line="20" w:lineRule="exact"/>
              <w:rPr>
                <w:sz w:val="1"/>
                <w:szCs w:val="1"/>
                <w:color w:val="auto"/>
              </w:rPr>
            </w:pPr>
          </w:p>
        </w:tc>
        <w:tc>
          <w:tcPr>
            <w:tcW w:w="86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454546"/>
              <w:bottom w:val="single" w:sz="8" w:color="454546"/>
            </w:tcBorders>
          </w:tcPr>
          <w:p>
            <w:pPr>
              <w:spacing w:after="0" w:line="20" w:lineRule="exact"/>
              <w:rPr>
                <w:sz w:val="1"/>
                <w:szCs w:val="1"/>
                <w:color w:val="auto"/>
              </w:rPr>
            </w:pPr>
          </w:p>
        </w:tc>
        <w:tc>
          <w:tcPr>
            <w:tcW w:w="86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454546"/>
              <w:bottom w:val="single" w:sz="8" w:color="454546"/>
            </w:tcBorders>
          </w:tcPr>
          <w:p>
            <w:pPr>
              <w:spacing w:after="0" w:line="20" w:lineRule="exact"/>
              <w:rPr>
                <w:sz w:val="1"/>
                <w:szCs w:val="1"/>
                <w:color w:val="auto"/>
              </w:rPr>
            </w:pPr>
          </w:p>
        </w:tc>
        <w:tc>
          <w:tcPr>
            <w:tcW w:w="860" w:type="dxa"/>
            <w:vAlign w:val="bottom"/>
            <w:tcBorders>
              <w:top w:val="single" w:sz="8" w:color="454546"/>
              <w:bottom w:val="single" w:sz="8" w:color="454546"/>
            </w:tcBorders>
          </w:tcPr>
          <w:p>
            <w:pPr>
              <w:spacing w:after="0" w:line="20" w:lineRule="exact"/>
              <w:rPr>
                <w:sz w:val="1"/>
                <w:szCs w:val="1"/>
                <w:color w:val="auto"/>
              </w:rPr>
            </w:pPr>
          </w:p>
        </w:tc>
      </w:tr>
      <w:tr>
        <w:trPr>
          <w:trHeight w:val="260"/>
        </w:trPr>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767</w:t>
            </w:r>
          </w:p>
        </w:tc>
        <w:tc>
          <w:tcPr>
            <w:tcW w:w="60" w:type="dxa"/>
            <w:vAlign w:val="bottom"/>
          </w:tcPr>
          <w:p>
            <w:pPr>
              <w:spacing w:after="0"/>
              <w:rPr>
                <w:sz w:val="22"/>
                <w:szCs w:val="22"/>
                <w:color w:val="auto"/>
              </w:rPr>
            </w:pP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1,026</w:t>
            </w:r>
          </w:p>
        </w:tc>
        <w:tc>
          <w:tcPr>
            <w:tcW w:w="60" w:type="dxa"/>
            <w:vAlign w:val="bottom"/>
          </w:tcPr>
          <w:p>
            <w:pPr>
              <w:spacing w:after="0"/>
              <w:rPr>
                <w:sz w:val="22"/>
                <w:szCs w:val="22"/>
                <w:color w:val="auto"/>
              </w:rPr>
            </w:pP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Borders>
              <w:bottom w:val="single" w:sz="8" w:color="454546"/>
            </w:tcBorders>
          </w:tcPr>
          <w:p>
            <w:pPr>
              <w:spacing w:after="0"/>
              <w:rPr>
                <w:sz w:val="18"/>
                <w:szCs w:val="18"/>
                <w:color w:val="auto"/>
              </w:rPr>
            </w:pPr>
          </w:p>
        </w:tc>
        <w:tc>
          <w:tcPr>
            <w:tcW w:w="1200" w:type="dxa"/>
            <w:vAlign w:val="bottom"/>
            <w:tcBorders>
              <w:bottom w:val="single" w:sz="8" w:color="454546"/>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Pr>
          <w:p>
            <w:pPr>
              <w:spacing w:after="0"/>
              <w:rPr>
                <w:sz w:val="18"/>
                <w:szCs w:val="18"/>
                <w:color w:val="auto"/>
              </w:rPr>
            </w:pPr>
          </w:p>
        </w:tc>
        <w:tc>
          <w:tcPr>
            <w:tcW w:w="840" w:type="dxa"/>
            <w:vAlign w:val="bottom"/>
            <w:tcBorders>
              <w:bottom w:val="single" w:sz="8" w:color="454546"/>
            </w:tcBorders>
          </w:tcPr>
          <w:p>
            <w:pPr>
              <w:spacing w:after="0"/>
              <w:rPr>
                <w:sz w:val="18"/>
                <w:szCs w:val="18"/>
                <w:color w:val="auto"/>
              </w:rPr>
            </w:pPr>
          </w:p>
        </w:tc>
        <w:tc>
          <w:tcPr>
            <w:tcW w:w="1280" w:type="dxa"/>
            <w:vAlign w:val="bottom"/>
            <w:tcBorders>
              <w:bottom w:val="single" w:sz="8" w:color="454546"/>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1200" w:type="dxa"/>
            <w:vAlign w:val="bottom"/>
          </w:tcPr>
          <w:p>
            <w:pPr>
              <w:jc w:val="center"/>
              <w:ind w:left="140"/>
              <w:spacing w:after="0" w:line="151" w:lineRule="exact"/>
              <w:rPr>
                <w:sz w:val="20"/>
                <w:szCs w:val="20"/>
                <w:color w:val="auto"/>
              </w:rPr>
            </w:pPr>
            <w:r>
              <w:rPr>
                <w:rFonts w:ascii="Times New Roman" w:cs="Times New Roman" w:eastAsia="Times New Roman" w:hAnsi="Times New Roman"/>
                <w:sz w:val="16"/>
                <w:szCs w:val="16"/>
                <w:b w:val="1"/>
                <w:bCs w:val="1"/>
                <w:color w:val="454546"/>
                <w:w w:val="98"/>
              </w:rPr>
              <w:t>Weighted-</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jc w:val="center"/>
              <w:ind w:left="100"/>
              <w:spacing w:after="0" w:line="151" w:lineRule="exact"/>
              <w:rPr>
                <w:sz w:val="20"/>
                <w:szCs w:val="20"/>
                <w:color w:val="auto"/>
              </w:rPr>
            </w:pPr>
            <w:r>
              <w:rPr>
                <w:rFonts w:ascii="Times New Roman" w:cs="Times New Roman" w:eastAsia="Times New Roman" w:hAnsi="Times New Roman"/>
                <w:sz w:val="16"/>
                <w:szCs w:val="16"/>
                <w:b w:val="1"/>
                <w:bCs w:val="1"/>
                <w:color w:val="454546"/>
                <w:w w:val="98"/>
              </w:rPr>
              <w:t>Weighted-</w:t>
            </w:r>
          </w:p>
        </w:tc>
        <w:tc>
          <w:tcPr>
            <w:tcW w:w="0" w:type="dxa"/>
            <w:vAlign w:val="bottom"/>
          </w:tcPr>
          <w:p>
            <w:pPr>
              <w:spacing w:after="0"/>
              <w:rPr>
                <w:sz w:val="1"/>
                <w:szCs w:val="1"/>
                <w:color w:val="auto"/>
              </w:rPr>
            </w:pPr>
          </w:p>
        </w:tc>
      </w:tr>
      <w:tr>
        <w:trPr>
          <w:trHeight w:val="160"/>
        </w:trPr>
        <w:tc>
          <w:tcPr>
            <w:tcW w:w="800" w:type="dxa"/>
            <w:vAlign w:val="bottom"/>
            <w:vMerge w:val="restart"/>
          </w:tcPr>
          <w:p>
            <w:pPr>
              <w:jc w:val="center"/>
              <w:ind w:left="60"/>
              <w:spacing w:after="0"/>
              <w:rPr>
                <w:sz w:val="20"/>
                <w:szCs w:val="20"/>
                <w:color w:val="auto"/>
              </w:rPr>
            </w:pPr>
            <w:r>
              <w:rPr>
                <w:rFonts w:ascii="Times New Roman" w:cs="Times New Roman" w:eastAsia="Times New Roman" w:hAnsi="Times New Roman"/>
                <w:sz w:val="16"/>
                <w:szCs w:val="16"/>
                <w:b w:val="1"/>
                <w:bCs w:val="1"/>
                <w:color w:val="454546"/>
                <w:w w:val="99"/>
              </w:rPr>
              <w:t>Shares</w:t>
            </w:r>
          </w:p>
        </w:tc>
        <w:tc>
          <w:tcPr>
            <w:tcW w:w="1200" w:type="dxa"/>
            <w:vAlign w:val="bottom"/>
          </w:tcPr>
          <w:p>
            <w:pPr>
              <w:jc w:val="center"/>
              <w:ind w:left="140"/>
              <w:spacing w:after="0" w:line="160" w:lineRule="exact"/>
              <w:rPr>
                <w:sz w:val="20"/>
                <w:szCs w:val="20"/>
                <w:color w:val="auto"/>
              </w:rPr>
            </w:pPr>
            <w:r>
              <w:rPr>
                <w:rFonts w:ascii="Times New Roman" w:cs="Times New Roman" w:eastAsia="Times New Roman" w:hAnsi="Times New Roman"/>
                <w:sz w:val="16"/>
                <w:szCs w:val="16"/>
                <w:b w:val="1"/>
                <w:bCs w:val="1"/>
                <w:color w:val="454546"/>
              </w:rPr>
              <w:t>Average</w:t>
            </w:r>
          </w:p>
        </w:tc>
        <w:tc>
          <w:tcPr>
            <w:tcW w:w="80" w:type="dxa"/>
            <w:vAlign w:val="bottom"/>
          </w:tcPr>
          <w:p>
            <w:pPr>
              <w:spacing w:after="0"/>
              <w:rPr>
                <w:sz w:val="13"/>
                <w:szCs w:val="13"/>
                <w:color w:val="auto"/>
              </w:rPr>
            </w:pPr>
          </w:p>
        </w:tc>
        <w:tc>
          <w:tcPr>
            <w:tcW w:w="840" w:type="dxa"/>
            <w:vAlign w:val="bottom"/>
            <w:vMerge w:val="restart"/>
          </w:tcPr>
          <w:p>
            <w:pPr>
              <w:jc w:val="center"/>
              <w:ind w:left="20"/>
              <w:spacing w:after="0"/>
              <w:rPr>
                <w:sz w:val="20"/>
                <w:szCs w:val="20"/>
                <w:color w:val="auto"/>
              </w:rPr>
            </w:pPr>
            <w:r>
              <w:rPr>
                <w:rFonts w:ascii="Times New Roman" w:cs="Times New Roman" w:eastAsia="Times New Roman" w:hAnsi="Times New Roman"/>
                <w:sz w:val="16"/>
                <w:szCs w:val="16"/>
                <w:b w:val="1"/>
                <w:bCs w:val="1"/>
                <w:color w:val="454546"/>
                <w:w w:val="99"/>
              </w:rPr>
              <w:t>Shares</w:t>
            </w:r>
          </w:p>
        </w:tc>
        <w:tc>
          <w:tcPr>
            <w:tcW w:w="1280" w:type="dxa"/>
            <w:vAlign w:val="bottom"/>
          </w:tcPr>
          <w:p>
            <w:pPr>
              <w:jc w:val="center"/>
              <w:ind w:left="100"/>
              <w:spacing w:after="0" w:line="160" w:lineRule="exact"/>
              <w:rPr>
                <w:sz w:val="20"/>
                <w:szCs w:val="20"/>
                <w:color w:val="auto"/>
              </w:rPr>
            </w:pPr>
            <w:r>
              <w:rPr>
                <w:rFonts w:ascii="Times New Roman" w:cs="Times New Roman" w:eastAsia="Times New Roman" w:hAnsi="Times New Roman"/>
                <w:sz w:val="16"/>
                <w:szCs w:val="16"/>
                <w:b w:val="1"/>
                <w:bCs w:val="1"/>
                <w:color w:val="454546"/>
              </w:rPr>
              <w:t>Average</w:t>
            </w:r>
          </w:p>
        </w:tc>
        <w:tc>
          <w:tcPr>
            <w:tcW w:w="0" w:type="dxa"/>
            <w:vAlign w:val="bottom"/>
          </w:tcPr>
          <w:p>
            <w:pPr>
              <w:spacing w:after="0"/>
              <w:rPr>
                <w:sz w:val="1"/>
                <w:szCs w:val="1"/>
                <w:color w:val="auto"/>
              </w:rPr>
            </w:pPr>
          </w:p>
        </w:tc>
      </w:tr>
      <w:tr>
        <w:trPr>
          <w:trHeight w:val="160"/>
        </w:trPr>
        <w:tc>
          <w:tcPr>
            <w:tcW w:w="800" w:type="dxa"/>
            <w:vAlign w:val="bottom"/>
            <w:vMerge w:val="continue"/>
          </w:tcPr>
          <w:p>
            <w:pPr>
              <w:spacing w:after="0"/>
              <w:rPr>
                <w:sz w:val="13"/>
                <w:szCs w:val="13"/>
                <w:color w:val="auto"/>
              </w:rPr>
            </w:pPr>
          </w:p>
        </w:tc>
        <w:tc>
          <w:tcPr>
            <w:tcW w:w="1200" w:type="dxa"/>
            <w:vAlign w:val="bottom"/>
          </w:tcPr>
          <w:p>
            <w:pPr>
              <w:jc w:val="center"/>
              <w:ind w:left="140"/>
              <w:spacing w:after="0" w:line="160" w:lineRule="exact"/>
              <w:rPr>
                <w:sz w:val="20"/>
                <w:szCs w:val="20"/>
                <w:color w:val="auto"/>
              </w:rPr>
            </w:pPr>
            <w:r>
              <w:rPr>
                <w:rFonts w:ascii="Times New Roman" w:cs="Times New Roman" w:eastAsia="Times New Roman" w:hAnsi="Times New Roman"/>
                <w:sz w:val="16"/>
                <w:szCs w:val="16"/>
                <w:b w:val="1"/>
                <w:bCs w:val="1"/>
                <w:color w:val="454546"/>
              </w:rPr>
              <w:t>Grant Date</w:t>
            </w: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80" w:type="dxa"/>
            <w:vAlign w:val="bottom"/>
          </w:tcPr>
          <w:p>
            <w:pPr>
              <w:jc w:val="center"/>
              <w:ind w:left="100"/>
              <w:spacing w:after="0" w:line="160" w:lineRule="exact"/>
              <w:rPr>
                <w:sz w:val="20"/>
                <w:szCs w:val="20"/>
                <w:color w:val="auto"/>
              </w:rPr>
            </w:pPr>
            <w:r>
              <w:rPr>
                <w:rFonts w:ascii="Times New Roman" w:cs="Times New Roman" w:eastAsia="Times New Roman" w:hAnsi="Times New Roman"/>
                <w:sz w:val="16"/>
                <w:szCs w:val="16"/>
                <w:b w:val="1"/>
                <w:bCs w:val="1"/>
                <w:color w:val="454546"/>
              </w:rPr>
              <w:t>Grant Date</w:t>
            </w:r>
          </w:p>
        </w:tc>
        <w:tc>
          <w:tcPr>
            <w:tcW w:w="0" w:type="dxa"/>
            <w:vAlign w:val="bottom"/>
          </w:tcPr>
          <w:p>
            <w:pPr>
              <w:spacing w:after="0"/>
              <w:rPr>
                <w:sz w:val="1"/>
                <w:szCs w:val="1"/>
                <w:color w:val="auto"/>
              </w:rPr>
            </w:pPr>
          </w:p>
        </w:tc>
      </w:tr>
      <w:tr>
        <w:trPr>
          <w:trHeight w:val="211"/>
        </w:trPr>
        <w:tc>
          <w:tcPr>
            <w:tcW w:w="80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454546"/>
                <w:w w:val="98"/>
              </w:rPr>
              <w:t>(in 000's)</w:t>
            </w:r>
          </w:p>
        </w:tc>
        <w:tc>
          <w:tcPr>
            <w:tcW w:w="1200" w:type="dxa"/>
            <w:vAlign w:val="bottom"/>
          </w:tcPr>
          <w:p>
            <w:pPr>
              <w:jc w:val="center"/>
              <w:ind w:left="140"/>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80" w:type="dxa"/>
            <w:vAlign w:val="bottom"/>
          </w:tcPr>
          <w:p>
            <w:pPr>
              <w:spacing w:after="0"/>
              <w:rPr>
                <w:sz w:val="18"/>
                <w:szCs w:val="18"/>
                <w:color w:val="auto"/>
              </w:rPr>
            </w:pP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454546"/>
                <w:w w:val="98"/>
              </w:rPr>
              <w:t>(in 000's)</w:t>
            </w:r>
          </w:p>
        </w:tc>
        <w:tc>
          <w:tcPr>
            <w:tcW w:w="12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2">
            <w:col w:w="5980" w:space="80"/>
            <w:col w:w="4200"/>
          </w:cols>
          <w:pgMar w:left="820" w:top="213" w:right="800"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Non-vested at beginning of the year</w:t>
            </w:r>
          </w:p>
        </w:tc>
        <w:tc>
          <w:tcPr>
            <w:tcW w:w="96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595</w:t>
            </w:r>
          </w:p>
        </w:tc>
        <w:tc>
          <w:tcPr>
            <w:tcW w:w="80" w:type="dxa"/>
            <w:vAlign w:val="bottom"/>
          </w:tcPr>
          <w:p>
            <w:pPr>
              <w:spacing w:after="0"/>
              <w:rPr>
                <w:sz w:val="24"/>
                <w:szCs w:val="24"/>
                <w:color w:val="auto"/>
              </w:rPr>
            </w:pPr>
          </w:p>
        </w:tc>
        <w:tc>
          <w:tcPr>
            <w:tcW w:w="280" w:type="dxa"/>
            <w:vAlign w:val="bottom"/>
            <w:tcBorders>
              <w:top w:val="single" w:sz="8" w:color="454546"/>
            </w:tcBorders>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Borders>
              <w:top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13.07</w:t>
            </w:r>
          </w:p>
        </w:tc>
        <w:tc>
          <w:tcPr>
            <w:tcW w:w="96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486</w:t>
            </w:r>
          </w:p>
        </w:tc>
        <w:tc>
          <w:tcPr>
            <w:tcW w:w="60" w:type="dxa"/>
            <w:vAlign w:val="bottom"/>
          </w:tcPr>
          <w:p>
            <w:pPr>
              <w:spacing w:after="0"/>
              <w:rPr>
                <w:sz w:val="24"/>
                <w:szCs w:val="24"/>
                <w:color w:val="auto"/>
              </w:rPr>
            </w:pPr>
          </w:p>
        </w:tc>
        <w:tc>
          <w:tcPr>
            <w:tcW w:w="300" w:type="dxa"/>
            <w:vAlign w:val="bottom"/>
            <w:tcBorders>
              <w:top w:val="single" w:sz="8" w:color="454546"/>
            </w:tcBorders>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Borders>
              <w:top w:val="single" w:sz="8" w:color="454546"/>
            </w:tcBorders>
          </w:tcPr>
          <w:p>
            <w:pPr>
              <w:jc w:val="right"/>
              <w:ind w:right="60"/>
              <w:spacing w:after="0"/>
              <w:rPr>
                <w:sz w:val="20"/>
                <w:szCs w:val="20"/>
                <w:color w:val="auto"/>
              </w:rPr>
            </w:pPr>
            <w:r>
              <w:rPr>
                <w:rFonts w:ascii="Times New Roman" w:cs="Times New Roman" w:eastAsia="Times New Roman" w:hAnsi="Times New Roman"/>
                <w:sz w:val="20"/>
                <w:szCs w:val="20"/>
                <w:color w:val="454546"/>
              </w:rPr>
              <w:t>21.66</w:t>
            </w:r>
          </w:p>
        </w:tc>
        <w:tc>
          <w:tcPr>
            <w:tcW w:w="96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376</w:t>
            </w:r>
          </w:p>
        </w:tc>
        <w:tc>
          <w:tcPr>
            <w:tcW w:w="80" w:type="dxa"/>
            <w:vAlign w:val="bottom"/>
          </w:tcPr>
          <w:p>
            <w:pPr>
              <w:spacing w:after="0"/>
              <w:rPr>
                <w:sz w:val="24"/>
                <w:szCs w:val="24"/>
                <w:color w:val="auto"/>
              </w:rPr>
            </w:pPr>
          </w:p>
        </w:tc>
        <w:tc>
          <w:tcPr>
            <w:tcW w:w="340" w:type="dxa"/>
            <w:vAlign w:val="bottom"/>
            <w:tcBorders>
              <w:top w:val="single" w:sz="8" w:color="454546"/>
            </w:tcBorders>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740" w:type="dxa"/>
            <w:vAlign w:val="bottom"/>
            <w:tcBorders>
              <w:top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36.82</w:t>
            </w:r>
          </w:p>
        </w:tc>
      </w:tr>
      <w:tr>
        <w:trPr>
          <w:trHeight w:val="307"/>
        </w:trPr>
        <w:tc>
          <w:tcPr>
            <w:tcW w:w="3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Granted</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367</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6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6.73</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391</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76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10.55</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340</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14.15</w:t>
            </w:r>
          </w:p>
        </w:tc>
      </w:tr>
      <w:tr>
        <w:trPr>
          <w:trHeight w:val="293"/>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Vested</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14.48</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24.85</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35.77</w:t>
            </w:r>
          </w:p>
        </w:tc>
      </w:tr>
      <w:tr>
        <w:trPr>
          <w:trHeight w:val="315"/>
        </w:trPr>
        <w:tc>
          <w:tcPr>
            <w:tcW w:w="39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Forfeited</w:t>
            </w: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(106)</w:t>
            </w: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6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9.04</w:t>
            </w: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E3E4E5"/>
            </w:tcBorders>
            <w:shd w:val="clear" w:color="auto" w:fill="E3E4E5"/>
          </w:tcPr>
          <w:p>
            <w:pPr>
              <w:spacing w:after="0"/>
              <w:rPr>
                <w:sz w:val="24"/>
                <w:szCs w:val="24"/>
                <w:color w:val="auto"/>
              </w:rPr>
            </w:pPr>
          </w:p>
        </w:tc>
        <w:tc>
          <w:tcPr>
            <w:tcW w:w="76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17.40</w:t>
            </w:r>
          </w:p>
        </w:tc>
        <w:tc>
          <w:tcPr>
            <w:tcW w:w="96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w:t>
            </w:r>
          </w:p>
        </w:tc>
        <w:tc>
          <w:tcPr>
            <w:tcW w:w="8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17.72</w:t>
            </w:r>
          </w:p>
        </w:tc>
      </w:tr>
      <w:tr>
        <w:trPr>
          <w:trHeight w:val="242"/>
        </w:trPr>
        <w:tc>
          <w:tcPr>
            <w:tcW w:w="39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Non-vested at end of the year</w:t>
            </w: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494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8.25</w:t>
            </w: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595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13.07</w:t>
            </w: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486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21.66</w:t>
            </w:r>
          </w:p>
        </w:tc>
      </w:tr>
      <w:tr>
        <w:trPr>
          <w:trHeight w:val="20"/>
        </w:trPr>
        <w:tc>
          <w:tcPr>
            <w:tcW w:w="3980" w:type="dxa"/>
            <w:vAlign w:val="bottom"/>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-234315</wp:posOffset>
            </wp:positionV>
            <wp:extent cx="66040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52">
                      <a:extLst>
                        <a:ext uri="{28A0092B-C50C-407E-A947-70E740481C1C}"/>
                      </a:extLst>
                    </a:blip>
                    <a:srcRect/>
                    <a:stretch>
                      <a:fillRect/>
                    </a:stretch>
                  </pic:blipFill>
                  <pic:spPr bwMode="auto">
                    <a:xfrm>
                      <a:off x="0" y="0"/>
                      <a:ext cx="660400" cy="50800"/>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-234315</wp:posOffset>
            </wp:positionV>
            <wp:extent cx="66040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53">
                      <a:extLst>
                        <a:ext uri="{28A0092B-C50C-407E-A947-70E740481C1C}"/>
                      </a:extLst>
                    </a:blip>
                    <a:srcRect/>
                    <a:stretch>
                      <a:fillRect/>
                    </a:stretch>
                  </pic:blipFill>
                  <pic:spPr bwMode="auto">
                    <a:xfrm>
                      <a:off x="0" y="0"/>
                      <a:ext cx="660400" cy="50800"/>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-234315</wp:posOffset>
            </wp:positionV>
            <wp:extent cx="660400"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54">
                      <a:extLst>
                        <a:ext uri="{28A0092B-C50C-407E-A947-70E740481C1C}"/>
                      </a:extLst>
                    </a:blip>
                    <a:srcRect/>
                    <a:stretch>
                      <a:fillRect/>
                    </a:stretch>
                  </pic:blipFill>
                  <pic:spPr bwMode="auto">
                    <a:xfrm>
                      <a:off x="0" y="0"/>
                      <a:ext cx="660400" cy="508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As of December 31, 2025, we expect to recognize $2.7 million of total unrecognized pre-tax stock-based compensation expense related to non-vested restricted stock awards over a weighted-average life of 1.5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Performance Stock</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Our performance stock awards (PSUs) vest subject to a service condition over a three-year period and stock price-based market conditions over a three to five-year performance period. PSU awards are divided into three vesting tranches. Each tranche will vest upon the later of the service retention date as set forth in the agreement (provided the employee is continuously employed by the Company through such date) and the achievement of the applicable volume weighted average share price goal. In the event the applicable service condition is not met or the applicable performance goals are not achieved during the performance period, any unvested PSUs will be forfeited.</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Non-vested performance stock award activity was as follows:</w:t>
      </w:r>
    </w:p>
    <w:p>
      <w:pPr>
        <w:sectPr>
          <w:pgSz w:w="11880" w:h="15480" w:orient="portrait"/>
          <w:cols w:equalWidth="0" w:num="1">
            <w:col w:w="10260"/>
          </w:cols>
          <w:pgMar w:left="820" w:top="213" w:right="800" w:bottom="0" w:gutter="0" w:footer="0" w:header="0"/>
          <w:type w:val="continuous"/>
        </w:sectPr>
      </w:pPr>
    </w:p>
    <w:p>
      <w:pPr>
        <w:spacing w:after="0" w:line="160" w:lineRule="exact"/>
        <w:rPr>
          <w:sz w:val="20"/>
          <w:szCs w:val="20"/>
          <w:color w:val="auto"/>
        </w:rPr>
      </w:pPr>
    </w:p>
    <w:tbl>
      <w:tblPr>
        <w:tblLayout w:type="fixed"/>
        <w:tblInd w:w="6000" w:type="dxa"/>
        <w:tblCellMar>
          <w:top w:w="0" w:type="dxa"/>
          <w:left w:w="0" w:type="dxa"/>
          <w:bottom w:w="0" w:type="dxa"/>
          <w:right w:w="0" w:type="dxa"/>
        </w:tblCellMar>
      </w:tblPr>
      <w:tr>
        <w:trPr>
          <w:trHeight w:val="217"/>
        </w:trPr>
        <w:tc>
          <w:tcPr>
            <w:tcW w:w="820" w:type="dxa"/>
            <w:vAlign w:val="bottom"/>
            <w:tcBorders>
              <w:bottom w:val="single" w:sz="8" w:color="454546"/>
            </w:tcBorders>
          </w:tcPr>
          <w:p>
            <w:pPr>
              <w:spacing w:after="0"/>
              <w:rPr>
                <w:sz w:val="18"/>
                <w:szCs w:val="18"/>
                <w:color w:val="auto"/>
              </w:rPr>
            </w:pPr>
          </w:p>
        </w:tc>
        <w:tc>
          <w:tcPr>
            <w:tcW w:w="1260" w:type="dxa"/>
            <w:vAlign w:val="bottom"/>
            <w:tcBorders>
              <w:bottom w:val="single" w:sz="8" w:color="454546"/>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1260" w:type="dxa"/>
            <w:vAlign w:val="bottom"/>
          </w:tcPr>
          <w:p>
            <w:pPr>
              <w:jc w:val="center"/>
              <w:ind w:left="161"/>
              <w:spacing w:after="0" w:line="136" w:lineRule="exact"/>
              <w:rPr>
                <w:sz w:val="20"/>
                <w:szCs w:val="20"/>
                <w:color w:val="auto"/>
              </w:rPr>
            </w:pPr>
            <w:r>
              <w:rPr>
                <w:rFonts w:ascii="Times New Roman" w:cs="Times New Roman" w:eastAsia="Times New Roman" w:hAnsi="Times New Roman"/>
                <w:sz w:val="15"/>
                <w:szCs w:val="15"/>
                <w:b w:val="1"/>
                <w:bCs w:val="1"/>
                <w:color w:val="454546"/>
              </w:rPr>
              <w:t>Weighted-</w:t>
            </w:r>
          </w:p>
        </w:tc>
        <w:tc>
          <w:tcPr>
            <w:tcW w:w="0" w:type="dxa"/>
            <w:vAlign w:val="bottom"/>
          </w:tcPr>
          <w:p>
            <w:pPr>
              <w:spacing w:after="0"/>
              <w:rPr>
                <w:sz w:val="1"/>
                <w:szCs w:val="1"/>
                <w:color w:val="auto"/>
              </w:rPr>
            </w:pPr>
          </w:p>
        </w:tc>
      </w:tr>
      <w:tr>
        <w:trPr>
          <w:trHeight w:val="160"/>
        </w:trPr>
        <w:tc>
          <w:tcPr>
            <w:tcW w:w="820" w:type="dxa"/>
            <w:vAlign w:val="bottom"/>
            <w:vMerge w:val="restart"/>
          </w:tcPr>
          <w:p>
            <w:pPr>
              <w:jc w:val="center"/>
              <w:ind w:left="80"/>
              <w:spacing w:after="0"/>
              <w:rPr>
                <w:sz w:val="20"/>
                <w:szCs w:val="20"/>
                <w:color w:val="auto"/>
              </w:rPr>
            </w:pPr>
            <w:r>
              <w:rPr>
                <w:rFonts w:ascii="Times New Roman" w:cs="Times New Roman" w:eastAsia="Times New Roman" w:hAnsi="Times New Roman"/>
                <w:sz w:val="16"/>
                <w:szCs w:val="16"/>
                <w:b w:val="1"/>
                <w:bCs w:val="1"/>
                <w:color w:val="454546"/>
                <w:w w:val="99"/>
              </w:rPr>
              <w:t>Shares</w:t>
            </w:r>
          </w:p>
        </w:tc>
        <w:tc>
          <w:tcPr>
            <w:tcW w:w="1260" w:type="dxa"/>
            <w:vAlign w:val="bottom"/>
          </w:tcPr>
          <w:p>
            <w:pPr>
              <w:jc w:val="center"/>
              <w:ind w:left="161"/>
              <w:spacing w:after="0" w:line="160" w:lineRule="exact"/>
              <w:rPr>
                <w:sz w:val="20"/>
                <w:szCs w:val="20"/>
                <w:color w:val="auto"/>
              </w:rPr>
            </w:pPr>
            <w:r>
              <w:rPr>
                <w:rFonts w:ascii="Times New Roman" w:cs="Times New Roman" w:eastAsia="Times New Roman" w:hAnsi="Times New Roman"/>
                <w:sz w:val="16"/>
                <w:szCs w:val="16"/>
                <w:b w:val="1"/>
                <w:bCs w:val="1"/>
                <w:color w:val="454546"/>
              </w:rPr>
              <w:t>Average</w:t>
            </w:r>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1260" w:type="dxa"/>
            <w:vAlign w:val="bottom"/>
          </w:tcPr>
          <w:p>
            <w:pPr>
              <w:jc w:val="center"/>
              <w:ind w:left="161"/>
              <w:spacing w:after="0" w:line="160" w:lineRule="exact"/>
              <w:rPr>
                <w:sz w:val="20"/>
                <w:szCs w:val="20"/>
                <w:color w:val="auto"/>
              </w:rPr>
            </w:pPr>
            <w:r>
              <w:rPr>
                <w:rFonts w:ascii="Times New Roman" w:cs="Times New Roman" w:eastAsia="Times New Roman" w:hAnsi="Times New Roman"/>
                <w:sz w:val="16"/>
                <w:szCs w:val="16"/>
                <w:b w:val="1"/>
                <w:bCs w:val="1"/>
                <w:color w:val="454546"/>
              </w:rPr>
              <w:t>Grant Date</w:t>
            </w:r>
          </w:p>
        </w:tc>
        <w:tc>
          <w:tcPr>
            <w:tcW w:w="0" w:type="dxa"/>
            <w:vAlign w:val="bottom"/>
          </w:tcPr>
          <w:p>
            <w:pPr>
              <w:spacing w:after="0"/>
              <w:rPr>
                <w:sz w:val="1"/>
                <w:szCs w:val="1"/>
                <w:color w:val="auto"/>
              </w:rPr>
            </w:pPr>
          </w:p>
        </w:tc>
      </w:tr>
      <w:tr>
        <w:trPr>
          <w:trHeight w:val="199"/>
        </w:trPr>
        <w:tc>
          <w:tcPr>
            <w:tcW w:w="82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454546"/>
                <w:w w:val="99"/>
              </w:rPr>
              <w:t>(in 000s)</w:t>
            </w:r>
          </w:p>
        </w:tc>
        <w:tc>
          <w:tcPr>
            <w:tcW w:w="12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-18415</wp:posOffset>
            </wp:positionV>
            <wp:extent cx="2746375"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55">
                      <a:extLst>
                        <a:ext uri="{28A0092B-C50C-407E-A947-70E740481C1C}"/>
                      </a:extLst>
                    </a:blip>
                    <a:srcRect/>
                    <a:stretch>
                      <a:fillRect/>
                    </a:stretch>
                  </pic:blipFill>
                  <pic:spPr bwMode="auto">
                    <a:xfrm>
                      <a:off x="0" y="0"/>
                      <a:ext cx="2746375"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20" w:type="dxa"/>
            <w:vAlign w:val="bottom"/>
            <w:tcBorders>
              <w:bottom w:val="single" w:sz="8" w:color="454546"/>
            </w:tcBorders>
          </w:tcPr>
          <w:p>
            <w:pPr>
              <w:spacing w:after="0"/>
              <w:rPr>
                <w:sz w:val="18"/>
                <w:szCs w:val="18"/>
                <w:color w:val="auto"/>
              </w:rPr>
            </w:pPr>
          </w:p>
        </w:tc>
        <w:tc>
          <w:tcPr>
            <w:tcW w:w="1260" w:type="dxa"/>
            <w:vAlign w:val="bottom"/>
            <w:tcBorders>
              <w:bottom w:val="single" w:sz="8" w:color="454546"/>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1260" w:type="dxa"/>
            <w:vAlign w:val="bottom"/>
          </w:tcPr>
          <w:p>
            <w:pPr>
              <w:jc w:val="center"/>
              <w:ind w:left="161"/>
              <w:spacing w:after="0" w:line="136" w:lineRule="exact"/>
              <w:rPr>
                <w:sz w:val="20"/>
                <w:szCs w:val="20"/>
                <w:color w:val="auto"/>
              </w:rPr>
            </w:pPr>
            <w:r>
              <w:rPr>
                <w:rFonts w:ascii="Times New Roman" w:cs="Times New Roman" w:eastAsia="Times New Roman" w:hAnsi="Times New Roman"/>
                <w:sz w:val="15"/>
                <w:szCs w:val="15"/>
                <w:b w:val="1"/>
                <w:bCs w:val="1"/>
                <w:color w:val="454546"/>
              </w:rPr>
              <w:t>Weighted-</w:t>
            </w:r>
          </w:p>
        </w:tc>
        <w:tc>
          <w:tcPr>
            <w:tcW w:w="0" w:type="dxa"/>
            <w:vAlign w:val="bottom"/>
          </w:tcPr>
          <w:p>
            <w:pPr>
              <w:spacing w:after="0"/>
              <w:rPr>
                <w:sz w:val="1"/>
                <w:szCs w:val="1"/>
                <w:color w:val="auto"/>
              </w:rPr>
            </w:pPr>
          </w:p>
        </w:tc>
      </w:tr>
      <w:tr>
        <w:trPr>
          <w:trHeight w:val="160"/>
        </w:trPr>
        <w:tc>
          <w:tcPr>
            <w:tcW w:w="820" w:type="dxa"/>
            <w:vAlign w:val="bottom"/>
            <w:vMerge w:val="restart"/>
          </w:tcPr>
          <w:p>
            <w:pPr>
              <w:jc w:val="center"/>
              <w:ind w:left="80"/>
              <w:spacing w:after="0"/>
              <w:rPr>
                <w:sz w:val="20"/>
                <w:szCs w:val="20"/>
                <w:color w:val="auto"/>
              </w:rPr>
            </w:pPr>
            <w:r>
              <w:rPr>
                <w:rFonts w:ascii="Times New Roman" w:cs="Times New Roman" w:eastAsia="Times New Roman" w:hAnsi="Times New Roman"/>
                <w:sz w:val="16"/>
                <w:szCs w:val="16"/>
                <w:b w:val="1"/>
                <w:bCs w:val="1"/>
                <w:color w:val="454546"/>
                <w:w w:val="99"/>
              </w:rPr>
              <w:t>Shares</w:t>
            </w:r>
          </w:p>
        </w:tc>
        <w:tc>
          <w:tcPr>
            <w:tcW w:w="1260" w:type="dxa"/>
            <w:vAlign w:val="bottom"/>
          </w:tcPr>
          <w:p>
            <w:pPr>
              <w:jc w:val="center"/>
              <w:ind w:left="161"/>
              <w:spacing w:after="0" w:line="160" w:lineRule="exact"/>
              <w:rPr>
                <w:sz w:val="20"/>
                <w:szCs w:val="20"/>
                <w:color w:val="auto"/>
              </w:rPr>
            </w:pPr>
            <w:r>
              <w:rPr>
                <w:rFonts w:ascii="Times New Roman" w:cs="Times New Roman" w:eastAsia="Times New Roman" w:hAnsi="Times New Roman"/>
                <w:sz w:val="16"/>
                <w:szCs w:val="16"/>
                <w:b w:val="1"/>
                <w:bCs w:val="1"/>
                <w:color w:val="454546"/>
              </w:rPr>
              <w:t>Average</w:t>
            </w:r>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1260" w:type="dxa"/>
            <w:vAlign w:val="bottom"/>
          </w:tcPr>
          <w:p>
            <w:pPr>
              <w:jc w:val="center"/>
              <w:ind w:left="161"/>
              <w:spacing w:after="0" w:line="160" w:lineRule="exact"/>
              <w:rPr>
                <w:sz w:val="20"/>
                <w:szCs w:val="20"/>
                <w:color w:val="auto"/>
              </w:rPr>
            </w:pPr>
            <w:r>
              <w:rPr>
                <w:rFonts w:ascii="Times New Roman" w:cs="Times New Roman" w:eastAsia="Times New Roman" w:hAnsi="Times New Roman"/>
                <w:sz w:val="16"/>
                <w:szCs w:val="16"/>
                <w:b w:val="1"/>
                <w:bCs w:val="1"/>
                <w:color w:val="454546"/>
              </w:rPr>
              <w:t>Grant Date</w:t>
            </w:r>
          </w:p>
        </w:tc>
        <w:tc>
          <w:tcPr>
            <w:tcW w:w="0" w:type="dxa"/>
            <w:vAlign w:val="bottom"/>
          </w:tcPr>
          <w:p>
            <w:pPr>
              <w:spacing w:after="0"/>
              <w:rPr>
                <w:sz w:val="1"/>
                <w:szCs w:val="1"/>
                <w:color w:val="auto"/>
              </w:rPr>
            </w:pPr>
          </w:p>
        </w:tc>
      </w:tr>
      <w:tr>
        <w:trPr>
          <w:trHeight w:val="199"/>
        </w:trPr>
        <w:tc>
          <w:tcPr>
            <w:tcW w:w="82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454546"/>
                <w:w w:val="99"/>
              </w:rPr>
              <w:t>(in 000s)</w:t>
            </w:r>
          </w:p>
        </w:tc>
        <w:tc>
          <w:tcPr>
            <w:tcW w:w="12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2">
            <w:col w:w="8080" w:space="80"/>
            <w:col w:w="2100"/>
          </w:cols>
          <w:pgMar w:left="820" w:top="213" w:right="800" w:bottom="0" w:gutter="0" w:footer="0" w:header="0"/>
          <w:type w:val="continuous"/>
        </w:sectPr>
      </w:pPr>
    </w:p>
    <w:tbl>
      <w:tblPr>
        <w:tblLayout w:type="fixed"/>
        <w:tblInd w:w="0" w:type="dxa"/>
        <w:tblCellMar>
          <w:top w:w="0" w:type="dxa"/>
          <w:left w:w="0" w:type="dxa"/>
          <w:bottom w:w="0" w:type="dxa"/>
          <w:right w:w="0" w:type="dxa"/>
        </w:tblCellMar>
      </w:tblPr>
      <w:tr>
        <w:trPr>
          <w:trHeight w:val="290"/>
        </w:trPr>
        <w:tc>
          <w:tcPr>
            <w:tcW w:w="6000" w:type="dxa"/>
            <w:vAlign w:val="bottom"/>
            <w:tcBorders>
              <w:top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Non-vested at beginning of the year</w:t>
            </w:r>
          </w:p>
        </w:tc>
        <w:tc>
          <w:tcPr>
            <w:tcW w:w="100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116</w:t>
            </w:r>
          </w:p>
        </w:tc>
        <w:tc>
          <w:tcPr>
            <w:tcW w:w="440" w:type="dxa"/>
            <w:vAlign w:val="bottom"/>
            <w:tcBorders>
              <w:top w:val="single" w:sz="8" w:color="454546"/>
            </w:tcBorders>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64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4.72</w:t>
            </w:r>
          </w:p>
        </w:tc>
        <w:tc>
          <w:tcPr>
            <w:tcW w:w="80" w:type="dxa"/>
            <w:vAlign w:val="bottom"/>
            <w:tcBorders>
              <w:top w:val="single" w:sz="8" w:color="E3E4E5"/>
            </w:tcBorders>
            <w:shd w:val="clear" w:color="auto" w:fill="E3E4E5"/>
          </w:tcPr>
          <w:p>
            <w:pPr>
              <w:spacing w:after="0"/>
              <w:rPr>
                <w:sz w:val="24"/>
                <w:szCs w:val="24"/>
                <w:color w:val="auto"/>
              </w:rPr>
            </w:pPr>
          </w:p>
        </w:tc>
        <w:tc>
          <w:tcPr>
            <w:tcW w:w="100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tcBorders>
              <w:top w:val="single" w:sz="8" w:color="454546"/>
            </w:tcBorders>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640" w:type="dxa"/>
            <w:vAlign w:val="bottom"/>
            <w:tcBorders>
              <w:top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94"/>
        </w:trPr>
        <w:tc>
          <w:tcPr>
            <w:tcW w:w="60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744</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116</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4.72</w:t>
            </w:r>
          </w:p>
        </w:tc>
      </w:tr>
      <w:tr>
        <w:trPr>
          <w:trHeight w:val="306"/>
        </w:trPr>
        <w:tc>
          <w:tcPr>
            <w:tcW w:w="60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Vested</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shd w:val="clear" w:color="auto" w:fill="E3E4E5"/>
          </w:tcPr>
          <w:p>
            <w:pPr>
              <w:spacing w:after="0"/>
              <w:rPr>
                <w:sz w:val="24"/>
                <w:szCs w:val="24"/>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shd w:val="clear" w:color="auto" w:fill="E3E4E5"/>
          </w:tcPr>
          <w:p>
            <w:pPr>
              <w:spacing w:after="0"/>
              <w:rPr>
                <w:sz w:val="24"/>
                <w:szCs w:val="24"/>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90"/>
        </w:trPr>
        <w:tc>
          <w:tcPr>
            <w:tcW w:w="60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Forfeited</w:t>
            </w: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(116)</w:t>
            </w:r>
          </w:p>
        </w:tc>
        <w:tc>
          <w:tcPr>
            <w:tcW w:w="440" w:type="dxa"/>
            <w:vAlign w:val="bottom"/>
            <w:tcBorders>
              <w:bottom w:val="single" w:sz="8" w:color="E3E4E5"/>
            </w:tcBorders>
          </w:tcPr>
          <w:p>
            <w:pPr>
              <w:spacing w:after="0"/>
              <w:rPr>
                <w:sz w:val="24"/>
                <w:szCs w:val="24"/>
                <w:color w:val="auto"/>
              </w:rPr>
            </w:pPr>
          </w:p>
        </w:tc>
        <w:tc>
          <w:tcPr>
            <w:tcW w:w="6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454546"/>
              </w:rPr>
              <w:t>2.84</w:t>
            </w:r>
          </w:p>
        </w:tc>
        <w:tc>
          <w:tcPr>
            <w:tcW w:w="80" w:type="dxa"/>
            <w:vAlign w:val="bottom"/>
            <w:tcBorders>
              <w:bottom w:val="single" w:sz="8" w:color="E3E4E5"/>
            </w:tcBorders>
          </w:tcPr>
          <w:p>
            <w:pPr>
              <w:spacing w:after="0"/>
              <w:rPr>
                <w:sz w:val="24"/>
                <w:szCs w:val="24"/>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tcBorders>
              <w:bottom w:val="single" w:sz="8" w:color="E3E4E5"/>
            </w:tcBorders>
          </w:tcPr>
          <w:p>
            <w:pPr>
              <w:spacing w:after="0"/>
              <w:rPr>
                <w:sz w:val="24"/>
                <w:szCs w:val="24"/>
                <w:color w:val="auto"/>
              </w:rPr>
            </w:pPr>
          </w:p>
        </w:tc>
        <w:tc>
          <w:tcPr>
            <w:tcW w:w="6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80"/>
        </w:trPr>
        <w:tc>
          <w:tcPr>
            <w:tcW w:w="60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Non-vested at end of the year</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744</w:t>
            </w:r>
          </w:p>
        </w:tc>
        <w:tc>
          <w:tcPr>
            <w:tcW w:w="44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2.16</w:t>
            </w:r>
          </w:p>
        </w:tc>
        <w:tc>
          <w:tcPr>
            <w:tcW w:w="10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116</w:t>
            </w:r>
          </w:p>
        </w:tc>
        <w:tc>
          <w:tcPr>
            <w:tcW w:w="44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4.72</w:t>
            </w:r>
          </w:p>
        </w:tc>
      </w:tr>
      <w:tr>
        <w:trPr>
          <w:trHeight w:val="20"/>
        </w:trPr>
        <w:tc>
          <w:tcPr>
            <w:tcW w:w="6000" w:type="dxa"/>
            <w:vAlign w:val="bottom"/>
            <w:tcBorders>
              <w:top w:val="single" w:sz="8" w:color="E3E4E5"/>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440" w:type="dxa"/>
            <w:vAlign w:val="bottom"/>
            <w:tcBorders>
              <w:top w:val="single" w:sz="8" w:color="E3E4E5"/>
            </w:tcBorders>
          </w:tcPr>
          <w:p>
            <w:pPr>
              <w:spacing w:after="0" w:line="20" w:lineRule="exact"/>
              <w:rPr>
                <w:sz w:val="1"/>
                <w:szCs w:val="1"/>
                <w:color w:val="auto"/>
              </w:rPr>
            </w:pPr>
          </w:p>
        </w:tc>
        <w:tc>
          <w:tcPr>
            <w:tcW w:w="64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440" w:type="dxa"/>
            <w:vAlign w:val="bottom"/>
            <w:tcBorders>
              <w:top w:val="single" w:sz="8" w:color="E3E4E5"/>
            </w:tcBorders>
          </w:tcPr>
          <w:p>
            <w:pPr>
              <w:spacing w:after="0" w:line="20" w:lineRule="exact"/>
              <w:rPr>
                <w:sz w:val="1"/>
                <w:szCs w:val="1"/>
                <w:color w:val="auto"/>
              </w:rPr>
            </w:pPr>
          </w:p>
        </w:tc>
        <w:tc>
          <w:tcPr>
            <w:tcW w:w="640" w:type="dxa"/>
            <w:vAlign w:val="bottom"/>
            <w:tcBorders>
              <w:top w:val="single" w:sz="8" w:color="E3E4E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-234315</wp:posOffset>
            </wp:positionV>
            <wp:extent cx="688975"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56">
                      <a:extLst>
                        <a:ext uri="{28A0092B-C50C-407E-A947-70E740481C1C}"/>
                      </a:extLst>
                    </a:blip>
                    <a:srcRect/>
                    <a:stretch>
                      <a:fillRect/>
                    </a:stretch>
                  </pic:blipFill>
                  <pic:spPr bwMode="auto">
                    <a:xfrm>
                      <a:off x="0" y="0"/>
                      <a:ext cx="688975" cy="5080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-234315</wp:posOffset>
            </wp:positionV>
            <wp:extent cx="68897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57">
                      <a:extLst>
                        <a:ext uri="{28A0092B-C50C-407E-A947-70E740481C1C}"/>
                      </a:extLst>
                    </a:blip>
                    <a:srcRect/>
                    <a:stretch>
                      <a:fillRect/>
                    </a:stretch>
                  </pic:blipFill>
                  <pic:spPr bwMode="auto">
                    <a:xfrm>
                      <a:off x="0" y="0"/>
                      <a:ext cx="688975"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-56515</wp:posOffset>
            </wp:positionV>
            <wp:extent cx="688975" cy="762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58">
                      <a:extLst>
                        <a:ext uri="{28A0092B-C50C-407E-A947-70E740481C1C}"/>
                      </a:extLst>
                    </a:blip>
                    <a:srcRect/>
                    <a:stretch>
                      <a:fillRect/>
                    </a:stretch>
                  </pic:blipFill>
                  <pic:spPr bwMode="auto">
                    <a:xfrm>
                      <a:off x="0" y="0"/>
                      <a:ext cx="688975" cy="7620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-56515</wp:posOffset>
            </wp:positionV>
            <wp:extent cx="688975" cy="762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59">
                      <a:extLst>
                        <a:ext uri="{28A0092B-C50C-407E-A947-70E740481C1C}"/>
                      </a:extLst>
                    </a:blip>
                    <a:srcRect/>
                    <a:stretch>
                      <a:fillRect/>
                    </a:stretch>
                  </pic:blipFill>
                  <pic:spPr bwMode="auto">
                    <a:xfrm>
                      <a:off x="0" y="0"/>
                      <a:ext cx="688975" cy="76200"/>
                    </a:xfrm>
                    <a:prstGeom prst="rect">
                      <a:avLst/>
                    </a:prstGeom>
                    <a:noFill/>
                  </pic:spPr>
                </pic:pic>
              </a:graphicData>
            </a:graphic>
          </wp:anchor>
        </w:drawing>
      </w:r>
    </w:p>
    <w:p>
      <w:pPr>
        <w:sectPr>
          <w:pgSz w:w="11880" w:h="15480" w:orient="portrait"/>
          <w:cols w:equalWidth="0" w:num="1">
            <w:col w:w="10260"/>
          </w:cols>
          <w:pgMar w:left="820" w:top="21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78</w:t>
      </w:r>
    </w:p>
    <w:p>
      <w:pPr>
        <w:sectPr>
          <w:pgSz w:w="11880" w:h="15480" w:orient="portrait"/>
          <w:cols w:equalWidth="0" w:num="1">
            <w:col w:w="10260"/>
          </w:cols>
          <w:pgMar w:left="820" w:top="213" w:right="800" w:bottom="0" w:gutter="0" w:footer="0" w:header="0"/>
          <w:type w:val="continuous"/>
        </w:sectPr>
      </w:pPr>
    </w:p>
    <w:bookmarkStart w:id="82" w:name="page83"/>
    <w:bookmarkEnd w:id="82"/>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454546"/>
        </w:rPr>
        <w:t>The assumptions we utilized in the Monte Carlo simulation model and the resulting weighted average fair value of performance stock grants were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2980" w:type="dxa"/>
            <w:vAlign w:val="bottom"/>
            <w:tcBorders>
              <w:bottom w:val="single" w:sz="8" w:color="454546"/>
            </w:tcBorders>
            <w:gridSpan w:val="5"/>
          </w:tcPr>
          <w:p>
            <w:pPr>
              <w:jc w:val="right"/>
              <w:ind w:right="384"/>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200" w:type="dxa"/>
            <w:vAlign w:val="bottom"/>
            <w:tcBorders>
              <w:bottom w:val="single" w:sz="8" w:color="454546"/>
            </w:tcBorders>
          </w:tcPr>
          <w:p>
            <w:pPr>
              <w:spacing w:after="0"/>
              <w:rPr>
                <w:sz w:val="18"/>
                <w:szCs w:val="18"/>
                <w:color w:val="auto"/>
              </w:rPr>
            </w:pPr>
          </w:p>
        </w:tc>
      </w:tr>
      <w:tr>
        <w:trPr>
          <w:trHeight w:val="265"/>
        </w:trPr>
        <w:tc>
          <w:tcPr>
            <w:tcW w:w="7020" w:type="dxa"/>
            <w:vAlign w:val="bottom"/>
            <w:tcBorders>
              <w:bottom w:val="single" w:sz="8" w:color="E3E4E5"/>
            </w:tcBorders>
          </w:tcPr>
          <w:p>
            <w:pPr>
              <w:spacing w:after="0"/>
              <w:rPr>
                <w:sz w:val="23"/>
                <w:szCs w:val="23"/>
                <w:color w:val="auto"/>
              </w:rPr>
            </w:pPr>
          </w:p>
        </w:tc>
        <w:tc>
          <w:tcPr>
            <w:tcW w:w="1300" w:type="dxa"/>
            <w:vAlign w:val="bottom"/>
            <w:tcBorders>
              <w:bottom w:val="single" w:sz="8" w:color="454546"/>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00" w:type="dxa"/>
            <w:vAlign w:val="bottom"/>
            <w:tcBorders>
              <w:bottom w:val="single" w:sz="8" w:color="454546"/>
            </w:tcBorders>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400" w:type="dxa"/>
            <w:vAlign w:val="bottom"/>
            <w:tcBorders>
              <w:bottom w:val="single" w:sz="8" w:color="454546"/>
            </w:tcBorders>
          </w:tcPr>
          <w:p>
            <w:pPr>
              <w:spacing w:after="0"/>
              <w:rPr>
                <w:sz w:val="23"/>
                <w:szCs w:val="23"/>
                <w:color w:val="auto"/>
              </w:rPr>
            </w:pPr>
          </w:p>
        </w:tc>
        <w:tc>
          <w:tcPr>
            <w:tcW w:w="1000" w:type="dxa"/>
            <w:vAlign w:val="bottom"/>
            <w:tcBorders>
              <w:bottom w:val="single" w:sz="8" w:color="454546"/>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200" w:type="dxa"/>
            <w:vAlign w:val="bottom"/>
            <w:tcBorders>
              <w:bottom w:val="single" w:sz="8" w:color="454546"/>
            </w:tcBorders>
          </w:tcPr>
          <w:p>
            <w:pPr>
              <w:spacing w:after="0"/>
              <w:rPr>
                <w:sz w:val="23"/>
                <w:szCs w:val="23"/>
                <w:color w:val="auto"/>
              </w:rPr>
            </w:pPr>
          </w:p>
        </w:tc>
      </w:tr>
      <w:tr>
        <w:trPr>
          <w:trHeight w:val="275"/>
        </w:trPr>
        <w:tc>
          <w:tcPr>
            <w:tcW w:w="70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Weighted average fair value of grants</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1.87</w:t>
            </w:r>
          </w:p>
        </w:tc>
        <w:tc>
          <w:tcPr>
            <w:tcW w:w="20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40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4.72</w:t>
            </w:r>
          </w:p>
        </w:tc>
        <w:tc>
          <w:tcPr>
            <w:tcW w:w="200" w:type="dxa"/>
            <w:vAlign w:val="bottom"/>
            <w:shd w:val="clear" w:color="auto" w:fill="E3E4E5"/>
          </w:tcPr>
          <w:p>
            <w:pPr>
              <w:spacing w:after="0"/>
              <w:rPr>
                <w:sz w:val="23"/>
                <w:szCs w:val="23"/>
                <w:color w:val="auto"/>
              </w:rPr>
            </w:pPr>
          </w:p>
        </w:tc>
      </w:tr>
      <w:tr>
        <w:trPr>
          <w:trHeight w:val="279"/>
        </w:trPr>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3.71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4.08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91"/>
        </w:trPr>
        <w:tc>
          <w:tcPr>
            <w:tcW w:w="70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Expected volatility</w:t>
            </w:r>
          </w:p>
        </w:tc>
        <w:tc>
          <w:tcPr>
            <w:tcW w:w="15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55.86 %</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57.00 %</w:t>
            </w:r>
          </w:p>
        </w:tc>
      </w:tr>
      <w:tr>
        <w:trPr>
          <w:trHeight w:val="272"/>
        </w:trPr>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Expected life in years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2.86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-740410</wp:posOffset>
            </wp:positionV>
            <wp:extent cx="2070100"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60">
                      <a:extLst>
                        <a:ext uri="{28A0092B-C50C-407E-A947-70E740481C1C}"/>
                      </a:extLst>
                    </a:blip>
                    <a:srcRect/>
                    <a:stretch>
                      <a:fillRect/>
                    </a:stretch>
                  </pic:blipFill>
                  <pic:spPr bwMode="auto">
                    <a:xfrm>
                      <a:off x="0" y="0"/>
                      <a:ext cx="2070100" cy="50800"/>
                    </a:xfrm>
                    <a:prstGeom prst="rect">
                      <a:avLst/>
                    </a:prstGeom>
                    <a:noFill/>
                  </pic:spPr>
                </pic:pic>
              </a:graphicData>
            </a:graphic>
          </wp:anchor>
        </w:drawing>
      </w:r>
    </w:p>
    <w:p>
      <w:pPr>
        <w:spacing w:after="0" w:line="2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454546"/>
        </w:rPr>
        <w:t>As of December 31, 2025, we expect to recognize $1.1 million of total unrecognized pre-tax stock-based compensation expense related to non-vested performance stock awards over a weighted-average life of 2.4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Stock Options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Stock option activity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80" w:type="dxa"/>
            <w:vAlign w:val="bottom"/>
          </w:tcPr>
          <w:p>
            <w:pPr>
              <w:spacing w:after="0"/>
              <w:rPr>
                <w:sz w:val="16"/>
                <w:szCs w:val="16"/>
                <w:color w:val="auto"/>
              </w:rPr>
            </w:pPr>
          </w:p>
        </w:tc>
        <w:tc>
          <w:tcPr>
            <w:tcW w:w="600" w:type="dxa"/>
            <w:vAlign w:val="bottom"/>
            <w:tcBorders>
              <w:bottom w:val="single" w:sz="8" w:color="454546"/>
            </w:tcBorders>
          </w:tcPr>
          <w:p>
            <w:pPr>
              <w:spacing w:after="0"/>
              <w:rPr>
                <w:sz w:val="16"/>
                <w:szCs w:val="16"/>
                <w:color w:val="auto"/>
              </w:rPr>
            </w:pPr>
          </w:p>
        </w:tc>
        <w:tc>
          <w:tcPr>
            <w:tcW w:w="60" w:type="dxa"/>
            <w:vAlign w:val="bottom"/>
            <w:tcBorders>
              <w:bottom w:val="single" w:sz="8" w:color="454546"/>
            </w:tcBorders>
          </w:tcPr>
          <w:p>
            <w:pPr>
              <w:spacing w:after="0"/>
              <w:rPr>
                <w:sz w:val="16"/>
                <w:szCs w:val="16"/>
                <w:color w:val="auto"/>
              </w:rPr>
            </w:pPr>
          </w:p>
        </w:tc>
        <w:tc>
          <w:tcPr>
            <w:tcW w:w="160" w:type="dxa"/>
            <w:vAlign w:val="bottom"/>
            <w:tcBorders>
              <w:bottom w:val="single" w:sz="8" w:color="454546"/>
            </w:tcBorders>
          </w:tcPr>
          <w:p>
            <w:pPr>
              <w:spacing w:after="0"/>
              <w:rPr>
                <w:sz w:val="16"/>
                <w:szCs w:val="16"/>
                <w:color w:val="auto"/>
              </w:rPr>
            </w:pPr>
          </w:p>
        </w:tc>
        <w:tc>
          <w:tcPr>
            <w:tcW w:w="1200" w:type="dxa"/>
            <w:vAlign w:val="bottom"/>
            <w:tcBorders>
              <w:bottom w:val="single" w:sz="8" w:color="454546"/>
            </w:tcBorders>
            <w:gridSpan w:val="3"/>
          </w:tcPr>
          <w:p>
            <w:pPr>
              <w:jc w:val="right"/>
              <w:ind w:right="480"/>
              <w:spacing w:after="0"/>
              <w:rPr>
                <w:sz w:val="20"/>
                <w:szCs w:val="20"/>
                <w:color w:val="auto"/>
              </w:rPr>
            </w:pPr>
            <w:r>
              <w:rPr>
                <w:rFonts w:ascii="Times New Roman" w:cs="Times New Roman" w:eastAsia="Times New Roman" w:hAnsi="Times New Roman"/>
                <w:sz w:val="14"/>
                <w:szCs w:val="14"/>
                <w:color w:val="454546"/>
              </w:rPr>
              <w:t>2025</w:t>
            </w:r>
          </w:p>
        </w:tc>
        <w:tc>
          <w:tcPr>
            <w:tcW w:w="80" w:type="dxa"/>
            <w:vAlign w:val="bottom"/>
            <w:tcBorders>
              <w:bottom w:val="single" w:sz="8" w:color="454546"/>
            </w:tcBorders>
          </w:tcPr>
          <w:p>
            <w:pPr>
              <w:spacing w:after="0"/>
              <w:rPr>
                <w:sz w:val="16"/>
                <w:szCs w:val="16"/>
                <w:color w:val="auto"/>
              </w:rPr>
            </w:pPr>
          </w:p>
        </w:tc>
        <w:tc>
          <w:tcPr>
            <w:tcW w:w="120" w:type="dxa"/>
            <w:vAlign w:val="bottom"/>
            <w:tcBorders>
              <w:bottom w:val="single" w:sz="8" w:color="454546"/>
            </w:tcBorders>
          </w:tcPr>
          <w:p>
            <w:pPr>
              <w:spacing w:after="0"/>
              <w:rPr>
                <w:sz w:val="16"/>
                <w:szCs w:val="16"/>
                <w:color w:val="auto"/>
              </w:rPr>
            </w:pPr>
          </w:p>
        </w:tc>
        <w:tc>
          <w:tcPr>
            <w:tcW w:w="480" w:type="dxa"/>
            <w:vAlign w:val="bottom"/>
            <w:tcBorders>
              <w:bottom w:val="single" w:sz="8" w:color="454546"/>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454546"/>
            </w:tcBorders>
          </w:tcPr>
          <w:p>
            <w:pPr>
              <w:spacing w:after="0"/>
              <w:rPr>
                <w:sz w:val="16"/>
                <w:szCs w:val="16"/>
                <w:color w:val="auto"/>
              </w:rPr>
            </w:pPr>
          </w:p>
        </w:tc>
        <w:tc>
          <w:tcPr>
            <w:tcW w:w="80" w:type="dxa"/>
            <w:vAlign w:val="bottom"/>
            <w:tcBorders>
              <w:bottom w:val="single" w:sz="8" w:color="454546"/>
            </w:tcBorders>
          </w:tcPr>
          <w:p>
            <w:pPr>
              <w:spacing w:after="0"/>
              <w:rPr>
                <w:sz w:val="16"/>
                <w:szCs w:val="16"/>
                <w:color w:val="auto"/>
              </w:rPr>
            </w:pPr>
          </w:p>
        </w:tc>
        <w:tc>
          <w:tcPr>
            <w:tcW w:w="140" w:type="dxa"/>
            <w:vAlign w:val="bottom"/>
            <w:tcBorders>
              <w:bottom w:val="single" w:sz="8" w:color="454546"/>
            </w:tcBorders>
          </w:tcPr>
          <w:p>
            <w:pPr>
              <w:spacing w:after="0"/>
              <w:rPr>
                <w:sz w:val="16"/>
                <w:szCs w:val="16"/>
                <w:color w:val="auto"/>
              </w:rPr>
            </w:pPr>
          </w:p>
        </w:tc>
        <w:tc>
          <w:tcPr>
            <w:tcW w:w="400" w:type="dxa"/>
            <w:vAlign w:val="bottom"/>
            <w:tcBorders>
              <w:bottom w:val="single" w:sz="8" w:color="454546"/>
            </w:tcBorders>
          </w:tcPr>
          <w:p>
            <w:pPr>
              <w:spacing w:after="0"/>
              <w:rPr>
                <w:sz w:val="16"/>
                <w:szCs w:val="16"/>
                <w:color w:val="auto"/>
              </w:rPr>
            </w:pPr>
          </w:p>
        </w:tc>
        <w:tc>
          <w:tcPr>
            <w:tcW w:w="820" w:type="dxa"/>
            <w:vAlign w:val="bottom"/>
            <w:tcBorders>
              <w:bottom w:val="single" w:sz="8" w:color="454546"/>
            </w:tcBorders>
            <w:gridSpan w:val="3"/>
          </w:tcPr>
          <w:p>
            <w:pPr>
              <w:jc w:val="right"/>
              <w:ind w:right="460"/>
              <w:spacing w:after="0"/>
              <w:rPr>
                <w:sz w:val="20"/>
                <w:szCs w:val="20"/>
                <w:color w:val="auto"/>
              </w:rPr>
            </w:pPr>
            <w:r>
              <w:rPr>
                <w:rFonts w:ascii="Times New Roman" w:cs="Times New Roman" w:eastAsia="Times New Roman" w:hAnsi="Times New Roman"/>
                <w:sz w:val="14"/>
                <w:szCs w:val="14"/>
                <w:color w:val="454546"/>
                <w:w w:val="99"/>
              </w:rPr>
              <w:t>2024</w:t>
            </w:r>
          </w:p>
        </w:tc>
        <w:tc>
          <w:tcPr>
            <w:tcW w:w="60" w:type="dxa"/>
            <w:vAlign w:val="bottom"/>
            <w:tcBorders>
              <w:bottom w:val="single" w:sz="8" w:color="454546"/>
            </w:tcBorders>
          </w:tcPr>
          <w:p>
            <w:pPr>
              <w:spacing w:after="0"/>
              <w:rPr>
                <w:sz w:val="16"/>
                <w:szCs w:val="16"/>
                <w:color w:val="auto"/>
              </w:rPr>
            </w:pPr>
          </w:p>
        </w:tc>
        <w:tc>
          <w:tcPr>
            <w:tcW w:w="140" w:type="dxa"/>
            <w:vAlign w:val="bottom"/>
            <w:tcBorders>
              <w:bottom w:val="single" w:sz="8" w:color="454546"/>
            </w:tcBorders>
          </w:tcPr>
          <w:p>
            <w:pPr>
              <w:spacing w:after="0"/>
              <w:rPr>
                <w:sz w:val="16"/>
                <w:szCs w:val="16"/>
                <w:color w:val="auto"/>
              </w:rPr>
            </w:pPr>
          </w:p>
        </w:tc>
        <w:tc>
          <w:tcPr>
            <w:tcW w:w="480" w:type="dxa"/>
            <w:vAlign w:val="bottom"/>
            <w:tcBorders>
              <w:bottom w:val="single" w:sz="8" w:color="454546"/>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454546"/>
            </w:tcBorders>
          </w:tcPr>
          <w:p>
            <w:pPr>
              <w:spacing w:after="0"/>
              <w:rPr>
                <w:sz w:val="16"/>
                <w:szCs w:val="16"/>
                <w:color w:val="auto"/>
              </w:rPr>
            </w:pPr>
          </w:p>
        </w:tc>
        <w:tc>
          <w:tcPr>
            <w:tcW w:w="60" w:type="dxa"/>
            <w:vAlign w:val="bottom"/>
            <w:tcBorders>
              <w:bottom w:val="single" w:sz="8" w:color="454546"/>
            </w:tcBorders>
          </w:tcPr>
          <w:p>
            <w:pPr>
              <w:spacing w:after="0"/>
              <w:rPr>
                <w:sz w:val="16"/>
                <w:szCs w:val="16"/>
                <w:color w:val="auto"/>
              </w:rPr>
            </w:pPr>
          </w:p>
        </w:tc>
        <w:tc>
          <w:tcPr>
            <w:tcW w:w="140" w:type="dxa"/>
            <w:vAlign w:val="bottom"/>
            <w:tcBorders>
              <w:bottom w:val="single" w:sz="8" w:color="454546"/>
            </w:tcBorders>
          </w:tcPr>
          <w:p>
            <w:pPr>
              <w:spacing w:after="0"/>
              <w:rPr>
                <w:sz w:val="16"/>
                <w:szCs w:val="16"/>
                <w:color w:val="auto"/>
              </w:rPr>
            </w:pPr>
          </w:p>
        </w:tc>
        <w:tc>
          <w:tcPr>
            <w:tcW w:w="1200" w:type="dxa"/>
            <w:vAlign w:val="bottom"/>
            <w:tcBorders>
              <w:bottom w:val="single" w:sz="8" w:color="454546"/>
            </w:tcBorders>
            <w:gridSpan w:val="3"/>
          </w:tcPr>
          <w:p>
            <w:pPr>
              <w:jc w:val="right"/>
              <w:ind w:right="460"/>
              <w:spacing w:after="0"/>
              <w:rPr>
                <w:sz w:val="20"/>
                <w:szCs w:val="20"/>
                <w:color w:val="auto"/>
              </w:rPr>
            </w:pPr>
            <w:r>
              <w:rPr>
                <w:rFonts w:ascii="Times New Roman" w:cs="Times New Roman" w:eastAsia="Times New Roman" w:hAnsi="Times New Roman"/>
                <w:sz w:val="14"/>
                <w:szCs w:val="14"/>
                <w:color w:val="454546"/>
              </w:rPr>
              <w:t>2023</w:t>
            </w:r>
          </w:p>
        </w:tc>
        <w:tc>
          <w:tcPr>
            <w:tcW w:w="80" w:type="dxa"/>
            <w:vAlign w:val="bottom"/>
            <w:tcBorders>
              <w:bottom w:val="single" w:sz="8" w:color="454546"/>
            </w:tcBorders>
          </w:tcPr>
          <w:p>
            <w:pPr>
              <w:spacing w:after="0"/>
              <w:rPr>
                <w:sz w:val="16"/>
                <w:szCs w:val="16"/>
                <w:color w:val="auto"/>
              </w:rPr>
            </w:pPr>
          </w:p>
        </w:tc>
        <w:tc>
          <w:tcPr>
            <w:tcW w:w="140" w:type="dxa"/>
            <w:vAlign w:val="bottom"/>
            <w:tcBorders>
              <w:bottom w:val="single" w:sz="8" w:color="454546"/>
            </w:tcBorders>
          </w:tcPr>
          <w:p>
            <w:pPr>
              <w:spacing w:after="0"/>
              <w:rPr>
                <w:sz w:val="16"/>
                <w:szCs w:val="16"/>
                <w:color w:val="auto"/>
              </w:rPr>
            </w:pPr>
          </w:p>
        </w:tc>
        <w:tc>
          <w:tcPr>
            <w:tcW w:w="480" w:type="dxa"/>
            <w:vAlign w:val="bottom"/>
            <w:tcBorders>
              <w:bottom w:val="single" w:sz="8" w:color="454546"/>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454546"/>
              </w:rPr>
              <w:t>Weighted-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454546"/>
                <w:w w:val="98"/>
              </w:rPr>
              <w:t>Weighted-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454546"/>
              </w:rPr>
              <w:t>Weighted-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454546"/>
                <w:w w:val="96"/>
              </w:rPr>
              <w:t>Number</w:t>
            </w:r>
          </w:p>
        </w:tc>
        <w:tc>
          <w:tcPr>
            <w:tcW w:w="60" w:type="dxa"/>
            <w:vAlign w:val="bottom"/>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454546"/>
              </w:rPr>
              <w:t>Weighted</w:t>
            </w: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8"/>
              </w:rPr>
              <w:t>Average</w:t>
            </w:r>
          </w:p>
        </w:tc>
        <w:tc>
          <w:tcPr>
            <w:tcW w:w="80" w:type="dxa"/>
            <w:vAlign w:val="bottom"/>
          </w:tcPr>
          <w:p>
            <w:pPr>
              <w:spacing w:after="0"/>
              <w:rPr>
                <w:sz w:val="10"/>
                <w:szCs w:val="10"/>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454546"/>
              </w:rPr>
              <w:t>Aggregate</w:t>
            </w:r>
          </w:p>
        </w:tc>
        <w:tc>
          <w:tcPr>
            <w:tcW w:w="8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454546"/>
                <w:w w:val="96"/>
              </w:rPr>
              <w:t>Number</w:t>
            </w:r>
          </w:p>
        </w:tc>
        <w:tc>
          <w:tcPr>
            <w:tcW w:w="80" w:type="dxa"/>
            <w:vAlign w:val="bottom"/>
          </w:tcPr>
          <w:p>
            <w:pPr>
              <w:spacing w:after="0"/>
              <w:rPr>
                <w:sz w:val="10"/>
                <w:szCs w:val="10"/>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454546"/>
                <w:w w:val="98"/>
              </w:rPr>
              <w:t>Weighted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rPr>
              <w:t>Average</w:t>
            </w:r>
          </w:p>
        </w:tc>
        <w:tc>
          <w:tcPr>
            <w:tcW w:w="6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454546"/>
              </w:rPr>
              <w:t>Aggregate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454546"/>
              </w:rPr>
              <w:t>Weighted</w:t>
            </w: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8"/>
              </w:rPr>
              <w:t>Average</w:t>
            </w:r>
          </w:p>
        </w:tc>
        <w:tc>
          <w:tcPr>
            <w:tcW w:w="8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454546"/>
              </w:rPr>
              <w:t>Aggregate</w:t>
            </w: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8"/>
              </w:rPr>
              <w:t>Remaining</w:t>
            </w: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rPr>
              <w:t>Remaining</w:t>
            </w: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454546"/>
              </w:rPr>
              <w:t>Number</w:t>
            </w: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8"/>
              </w:rPr>
              <w:t>Remaining</w:t>
            </w: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6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of</w:t>
            </w:r>
          </w:p>
        </w:tc>
        <w:tc>
          <w:tcPr>
            <w:tcW w:w="60" w:type="dxa"/>
            <w:vAlign w:val="bottom"/>
          </w:tcPr>
          <w:p>
            <w:pPr>
              <w:spacing w:after="0"/>
              <w:rPr>
                <w:sz w:val="10"/>
                <w:szCs w:val="10"/>
                <w:color w:val="auto"/>
              </w:rPr>
            </w:pPr>
          </w:p>
        </w:tc>
        <w:tc>
          <w:tcPr>
            <w:tcW w:w="60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2"/>
                <w:szCs w:val="12"/>
                <w:color w:val="454546"/>
              </w:rPr>
              <w:t>-Average</w:t>
            </w: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Contractual</w:t>
            </w:r>
          </w:p>
        </w:tc>
        <w:tc>
          <w:tcPr>
            <w:tcW w:w="80" w:type="dxa"/>
            <w:vAlign w:val="bottom"/>
          </w:tcPr>
          <w:p>
            <w:pPr>
              <w:spacing w:after="0"/>
              <w:rPr>
                <w:sz w:val="10"/>
                <w:szCs w:val="10"/>
                <w:color w:val="auto"/>
              </w:rPr>
            </w:pPr>
          </w:p>
        </w:tc>
        <w:tc>
          <w:tcPr>
            <w:tcW w:w="6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Intrinsic</w:t>
            </w:r>
          </w:p>
        </w:tc>
        <w:tc>
          <w:tcPr>
            <w:tcW w:w="80" w:type="dxa"/>
            <w:vAlign w:val="bottom"/>
          </w:tcPr>
          <w:p>
            <w:pPr>
              <w:spacing w:after="0"/>
              <w:rPr>
                <w:sz w:val="10"/>
                <w:szCs w:val="10"/>
                <w:color w:val="auto"/>
              </w:rPr>
            </w:pPr>
          </w:p>
        </w:tc>
        <w:tc>
          <w:tcPr>
            <w:tcW w:w="5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of</w:t>
            </w:r>
          </w:p>
        </w:tc>
        <w:tc>
          <w:tcPr>
            <w:tcW w:w="80" w:type="dxa"/>
            <w:vAlign w:val="bottom"/>
          </w:tcPr>
          <w:p>
            <w:pPr>
              <w:spacing w:after="0"/>
              <w:rPr>
                <w:sz w:val="10"/>
                <w:szCs w:val="10"/>
                <w:color w:val="auto"/>
              </w:rPr>
            </w:pPr>
          </w:p>
        </w:tc>
        <w:tc>
          <w:tcPr>
            <w:tcW w:w="54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2"/>
                <w:szCs w:val="12"/>
                <w:color w:val="454546"/>
                <w:w w:val="98"/>
              </w:rPr>
              <w:t>-Average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Contractual</w:t>
            </w:r>
          </w:p>
        </w:tc>
        <w:tc>
          <w:tcPr>
            <w:tcW w:w="60" w:type="dxa"/>
            <w:vAlign w:val="bottom"/>
          </w:tcPr>
          <w:p>
            <w:pPr>
              <w:spacing w:after="0"/>
              <w:rPr>
                <w:sz w:val="10"/>
                <w:szCs w:val="10"/>
                <w:color w:val="auto"/>
              </w:rPr>
            </w:pPr>
          </w:p>
        </w:tc>
        <w:tc>
          <w:tcPr>
            <w:tcW w:w="6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Intrinsic</w:t>
            </w: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2"/>
                <w:szCs w:val="12"/>
                <w:color w:val="454546"/>
              </w:rPr>
              <w:t>-Average</w:t>
            </w: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Contractual</w:t>
            </w:r>
          </w:p>
        </w:tc>
        <w:tc>
          <w:tcPr>
            <w:tcW w:w="80" w:type="dxa"/>
            <w:vAlign w:val="bottom"/>
          </w:tcPr>
          <w:p>
            <w:pPr>
              <w:spacing w:after="0"/>
              <w:rPr>
                <w:sz w:val="10"/>
                <w:szCs w:val="10"/>
                <w:color w:val="auto"/>
              </w:rPr>
            </w:pPr>
          </w:p>
        </w:tc>
        <w:tc>
          <w:tcPr>
            <w:tcW w:w="6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Intrinsic</w:t>
            </w: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6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Options</w:t>
            </w:r>
          </w:p>
        </w:tc>
        <w:tc>
          <w:tcPr>
            <w:tcW w:w="60" w:type="dxa"/>
            <w:vAlign w:val="bottom"/>
          </w:tcPr>
          <w:p>
            <w:pPr>
              <w:spacing w:after="0"/>
              <w:rPr>
                <w:sz w:val="10"/>
                <w:szCs w:val="10"/>
                <w:color w:val="auto"/>
              </w:rPr>
            </w:pPr>
          </w:p>
        </w:tc>
        <w:tc>
          <w:tcPr>
            <w:tcW w:w="600" w:type="dxa"/>
            <w:vAlign w:val="bottom"/>
            <w:gridSpan w:val="2"/>
          </w:tcPr>
          <w:p>
            <w:pPr>
              <w:jc w:val="right"/>
              <w:ind w:right="19"/>
              <w:spacing w:after="0" w:line="120" w:lineRule="exact"/>
              <w:rPr>
                <w:sz w:val="20"/>
                <w:szCs w:val="20"/>
                <w:color w:val="auto"/>
              </w:rPr>
            </w:pPr>
            <w:r>
              <w:rPr>
                <w:rFonts w:ascii="Times New Roman" w:cs="Times New Roman" w:eastAsia="Times New Roman" w:hAnsi="Times New Roman"/>
                <w:sz w:val="12"/>
                <w:szCs w:val="12"/>
                <w:color w:val="454546"/>
              </w:rPr>
              <w:t>Exercise</w:t>
            </w: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Term</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ind w:right="60"/>
              <w:spacing w:after="0" w:line="120" w:lineRule="exact"/>
              <w:rPr>
                <w:sz w:val="20"/>
                <w:szCs w:val="20"/>
                <w:color w:val="auto"/>
              </w:rPr>
            </w:pPr>
            <w:r>
              <w:rPr>
                <w:rFonts w:ascii="Times New Roman" w:cs="Times New Roman" w:eastAsia="Times New Roman" w:hAnsi="Times New Roman"/>
                <w:sz w:val="12"/>
                <w:szCs w:val="12"/>
                <w:color w:val="454546"/>
                <w:w w:val="97"/>
              </w:rPr>
              <w:t>Value</w:t>
            </w:r>
          </w:p>
        </w:tc>
        <w:tc>
          <w:tcPr>
            <w:tcW w:w="80" w:type="dxa"/>
            <w:vAlign w:val="bottom"/>
          </w:tcPr>
          <w:p>
            <w:pPr>
              <w:spacing w:after="0"/>
              <w:rPr>
                <w:sz w:val="10"/>
                <w:szCs w:val="10"/>
                <w:color w:val="auto"/>
              </w:rPr>
            </w:pPr>
          </w:p>
        </w:tc>
        <w:tc>
          <w:tcPr>
            <w:tcW w:w="5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Options</w:t>
            </w:r>
          </w:p>
        </w:tc>
        <w:tc>
          <w:tcPr>
            <w:tcW w:w="8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2"/>
                <w:szCs w:val="12"/>
                <w:color w:val="454546"/>
              </w:rPr>
              <w:t>Exercise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Term</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color w:val="454546"/>
              </w:rPr>
              <w:t>Value</w:t>
            </w:r>
          </w:p>
        </w:tc>
        <w:tc>
          <w:tcPr>
            <w:tcW w:w="80" w:type="dxa"/>
            <w:vAlign w:val="bottom"/>
          </w:tcPr>
          <w:p>
            <w:pPr>
              <w:spacing w:after="0"/>
              <w:rPr>
                <w:sz w:val="10"/>
                <w:szCs w:val="10"/>
                <w:color w:val="auto"/>
              </w:rPr>
            </w:pPr>
          </w:p>
        </w:tc>
        <w:tc>
          <w:tcPr>
            <w:tcW w:w="6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rPr>
              <w:t>of Options</w:t>
            </w:r>
          </w:p>
        </w:tc>
        <w:tc>
          <w:tcPr>
            <w:tcW w:w="60" w:type="dxa"/>
            <w:vAlign w:val="bottom"/>
          </w:tcPr>
          <w:p>
            <w:pPr>
              <w:spacing w:after="0"/>
              <w:rPr>
                <w:sz w:val="10"/>
                <w:szCs w:val="10"/>
                <w:color w:val="auto"/>
              </w:rPr>
            </w:pPr>
          </w:p>
        </w:tc>
        <w:tc>
          <w:tcPr>
            <w:tcW w:w="600" w:type="dxa"/>
            <w:vAlign w:val="bottom"/>
            <w:gridSpan w:val="2"/>
          </w:tcPr>
          <w:p>
            <w:pPr>
              <w:jc w:val="right"/>
              <w:ind w:right="39"/>
              <w:spacing w:after="0" w:line="120" w:lineRule="exact"/>
              <w:rPr>
                <w:sz w:val="20"/>
                <w:szCs w:val="20"/>
                <w:color w:val="auto"/>
              </w:rPr>
            </w:pPr>
            <w:r>
              <w:rPr>
                <w:rFonts w:ascii="Times New Roman" w:cs="Times New Roman" w:eastAsia="Times New Roman" w:hAnsi="Times New Roman"/>
                <w:sz w:val="12"/>
                <w:szCs w:val="12"/>
                <w:color w:val="454546"/>
              </w:rPr>
              <w:t>Exercise</w:t>
            </w: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454546"/>
                <w:w w:val="99"/>
              </w:rPr>
              <w:t>Term</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color w:val="454546"/>
                <w:w w:val="97"/>
              </w:rPr>
              <w:t>Value</w:t>
            </w:r>
          </w:p>
        </w:tc>
        <w:tc>
          <w:tcPr>
            <w:tcW w:w="0" w:type="dxa"/>
            <w:vAlign w:val="bottom"/>
          </w:tcPr>
          <w:p>
            <w:pPr>
              <w:spacing w:after="0"/>
              <w:rPr>
                <w:sz w:val="1"/>
                <w:szCs w:val="1"/>
                <w:color w:val="auto"/>
              </w:rPr>
            </w:pPr>
          </w:p>
        </w:tc>
      </w:tr>
      <w:tr>
        <w:trPr>
          <w:trHeight w:val="165"/>
        </w:trPr>
        <w:tc>
          <w:tcPr>
            <w:tcW w:w="1980" w:type="dxa"/>
            <w:vAlign w:val="bottom"/>
            <w:tcBorders>
              <w:bottom w:val="single" w:sz="8" w:color="E3E4E5"/>
            </w:tcBorders>
          </w:tcPr>
          <w:p>
            <w:pPr>
              <w:spacing w:after="0"/>
              <w:rPr>
                <w:sz w:val="14"/>
                <w:szCs w:val="14"/>
                <w:color w:val="auto"/>
              </w:rPr>
            </w:pPr>
          </w:p>
        </w:tc>
        <w:tc>
          <w:tcPr>
            <w:tcW w:w="60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2"/>
                <w:szCs w:val="12"/>
                <w:color w:val="454546"/>
              </w:rPr>
              <w:t>(in 000's)</w:t>
            </w:r>
          </w:p>
        </w:tc>
        <w:tc>
          <w:tcPr>
            <w:tcW w:w="60" w:type="dxa"/>
            <w:vAlign w:val="bottom"/>
            <w:tcBorders>
              <w:bottom w:val="single" w:sz="8" w:color="E3E4E5"/>
            </w:tcBorders>
          </w:tcPr>
          <w:p>
            <w:pPr>
              <w:spacing w:after="0"/>
              <w:rPr>
                <w:sz w:val="14"/>
                <w:szCs w:val="14"/>
                <w:color w:val="auto"/>
              </w:rPr>
            </w:pPr>
          </w:p>
        </w:tc>
        <w:tc>
          <w:tcPr>
            <w:tcW w:w="160" w:type="dxa"/>
            <w:vAlign w:val="bottom"/>
            <w:tcBorders>
              <w:bottom w:val="single" w:sz="8" w:color="454546"/>
            </w:tcBorders>
          </w:tcPr>
          <w:p>
            <w:pPr>
              <w:spacing w:after="0"/>
              <w:rPr>
                <w:sz w:val="14"/>
                <w:szCs w:val="14"/>
                <w:color w:val="auto"/>
              </w:rPr>
            </w:pPr>
          </w:p>
        </w:tc>
        <w:tc>
          <w:tcPr>
            <w:tcW w:w="440" w:type="dxa"/>
            <w:vAlign w:val="bottom"/>
            <w:tcBorders>
              <w:bottom w:val="single" w:sz="8" w:color="454546"/>
            </w:tcBorders>
          </w:tcPr>
          <w:p>
            <w:pPr>
              <w:jc w:val="right"/>
              <w:ind w:right="119"/>
              <w:spacing w:after="0"/>
              <w:rPr>
                <w:sz w:val="20"/>
                <w:szCs w:val="20"/>
                <w:color w:val="auto"/>
              </w:rPr>
            </w:pPr>
            <w:r>
              <w:rPr>
                <w:rFonts w:ascii="Times New Roman" w:cs="Times New Roman" w:eastAsia="Times New Roman" w:hAnsi="Times New Roman"/>
                <w:sz w:val="12"/>
                <w:szCs w:val="12"/>
                <w:color w:val="454546"/>
                <w:w w:val="97"/>
              </w:rPr>
              <w:t>Price</w:t>
            </w:r>
          </w:p>
        </w:tc>
        <w:tc>
          <w:tcPr>
            <w:tcW w:w="80" w:type="dxa"/>
            <w:vAlign w:val="bottom"/>
            <w:tcBorders>
              <w:bottom w:val="single" w:sz="8" w:color="E3E4E5"/>
            </w:tcBorders>
          </w:tcPr>
          <w:p>
            <w:pPr>
              <w:spacing w:after="0"/>
              <w:rPr>
                <w:sz w:val="14"/>
                <w:szCs w:val="14"/>
                <w:color w:val="auto"/>
              </w:rPr>
            </w:pPr>
          </w:p>
        </w:tc>
        <w:tc>
          <w:tcPr>
            <w:tcW w:w="68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2"/>
                <w:szCs w:val="12"/>
                <w:color w:val="454546"/>
              </w:rPr>
              <w:t>(in years)</w:t>
            </w:r>
          </w:p>
        </w:tc>
        <w:tc>
          <w:tcPr>
            <w:tcW w:w="80" w:type="dxa"/>
            <w:vAlign w:val="bottom"/>
            <w:tcBorders>
              <w:bottom w:val="single" w:sz="8" w:color="E3E4E5"/>
            </w:tcBorders>
          </w:tcPr>
          <w:p>
            <w:pPr>
              <w:spacing w:after="0"/>
              <w:rPr>
                <w:sz w:val="14"/>
                <w:szCs w:val="14"/>
                <w:color w:val="auto"/>
              </w:rPr>
            </w:pPr>
          </w:p>
        </w:tc>
        <w:tc>
          <w:tcPr>
            <w:tcW w:w="600" w:type="dxa"/>
            <w:vAlign w:val="bottom"/>
            <w:tcBorders>
              <w:bottom w:val="single" w:sz="8" w:color="454546"/>
            </w:tcBorders>
            <w:gridSpan w:val="2"/>
          </w:tcPr>
          <w:p>
            <w:pPr>
              <w:jc w:val="center"/>
              <w:spacing w:after="0"/>
              <w:rPr>
                <w:sz w:val="20"/>
                <w:szCs w:val="20"/>
                <w:color w:val="auto"/>
              </w:rPr>
            </w:pPr>
            <w:r>
              <w:rPr>
                <w:rFonts w:ascii="Times New Roman" w:cs="Times New Roman" w:eastAsia="Times New Roman" w:hAnsi="Times New Roman"/>
                <w:sz w:val="12"/>
                <w:szCs w:val="12"/>
                <w:color w:val="454546"/>
                <w:w w:val="97"/>
              </w:rPr>
              <w:t>(in 000's)</w:t>
            </w:r>
          </w:p>
        </w:tc>
        <w:tc>
          <w:tcPr>
            <w:tcW w:w="80" w:type="dxa"/>
            <w:vAlign w:val="bottom"/>
            <w:tcBorders>
              <w:bottom w:val="single" w:sz="8" w:color="E3E4E5"/>
            </w:tcBorders>
          </w:tcPr>
          <w:p>
            <w:pPr>
              <w:spacing w:after="0"/>
              <w:rPr>
                <w:sz w:val="14"/>
                <w:szCs w:val="14"/>
                <w:color w:val="auto"/>
              </w:rPr>
            </w:pPr>
          </w:p>
        </w:tc>
        <w:tc>
          <w:tcPr>
            <w:tcW w:w="58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2"/>
                <w:szCs w:val="12"/>
                <w:color w:val="454546"/>
              </w:rPr>
              <w:t>(in 000's)</w:t>
            </w:r>
          </w:p>
        </w:tc>
        <w:tc>
          <w:tcPr>
            <w:tcW w:w="80" w:type="dxa"/>
            <w:vAlign w:val="bottom"/>
            <w:tcBorders>
              <w:bottom w:val="single" w:sz="8" w:color="E3E4E5"/>
            </w:tcBorders>
          </w:tcPr>
          <w:p>
            <w:pPr>
              <w:spacing w:after="0"/>
              <w:rPr>
                <w:sz w:val="14"/>
                <w:szCs w:val="14"/>
                <w:color w:val="auto"/>
              </w:rPr>
            </w:pPr>
          </w:p>
        </w:tc>
        <w:tc>
          <w:tcPr>
            <w:tcW w:w="140" w:type="dxa"/>
            <w:vAlign w:val="bottom"/>
            <w:tcBorders>
              <w:bottom w:val="single" w:sz="8" w:color="454546"/>
            </w:tcBorders>
          </w:tcPr>
          <w:p>
            <w:pPr>
              <w:spacing w:after="0"/>
              <w:rPr>
                <w:sz w:val="14"/>
                <w:szCs w:val="14"/>
                <w:color w:val="auto"/>
              </w:rPr>
            </w:pPr>
          </w:p>
        </w:tc>
        <w:tc>
          <w:tcPr>
            <w:tcW w:w="400" w:type="dxa"/>
            <w:vAlign w:val="bottom"/>
            <w:tcBorders>
              <w:bottom w:val="single" w:sz="8" w:color="454546"/>
            </w:tcBorders>
          </w:tcPr>
          <w:p>
            <w:pPr>
              <w:jc w:val="right"/>
              <w:ind w:right="60"/>
              <w:spacing w:after="0"/>
              <w:rPr>
                <w:sz w:val="20"/>
                <w:szCs w:val="20"/>
                <w:color w:val="auto"/>
              </w:rPr>
            </w:pPr>
            <w:r>
              <w:rPr>
                <w:rFonts w:ascii="Times New Roman" w:cs="Times New Roman" w:eastAsia="Times New Roman" w:hAnsi="Times New Roman"/>
                <w:sz w:val="12"/>
                <w:szCs w:val="12"/>
                <w:color w:val="454546"/>
              </w:rPr>
              <w:t>Price</w:t>
            </w:r>
          </w:p>
        </w:tc>
        <w:tc>
          <w:tcPr>
            <w:tcW w:w="60" w:type="dxa"/>
            <w:vAlign w:val="bottom"/>
            <w:tcBorders>
              <w:bottom w:val="single" w:sz="8" w:color="454546"/>
            </w:tcBorders>
          </w:tcPr>
          <w:p>
            <w:pPr>
              <w:spacing w:after="0"/>
              <w:rPr>
                <w:sz w:val="14"/>
                <w:szCs w:val="14"/>
                <w:color w:val="auto"/>
              </w:rPr>
            </w:pPr>
          </w:p>
        </w:tc>
        <w:tc>
          <w:tcPr>
            <w:tcW w:w="80" w:type="dxa"/>
            <w:vAlign w:val="bottom"/>
            <w:tcBorders>
              <w:bottom w:val="single" w:sz="8" w:color="E3E4E5"/>
            </w:tcBorders>
          </w:tcPr>
          <w:p>
            <w:pPr>
              <w:spacing w:after="0"/>
              <w:rPr>
                <w:sz w:val="14"/>
                <w:szCs w:val="14"/>
                <w:color w:val="auto"/>
              </w:rPr>
            </w:pPr>
          </w:p>
        </w:tc>
        <w:tc>
          <w:tcPr>
            <w:tcW w:w="68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2"/>
                <w:szCs w:val="12"/>
                <w:color w:val="454546"/>
              </w:rPr>
              <w:t>(in years)</w:t>
            </w:r>
          </w:p>
        </w:tc>
        <w:tc>
          <w:tcPr>
            <w:tcW w:w="60" w:type="dxa"/>
            <w:vAlign w:val="bottom"/>
            <w:tcBorders>
              <w:bottom w:val="single" w:sz="8" w:color="E3E4E5"/>
            </w:tcBorders>
          </w:tcPr>
          <w:p>
            <w:pPr>
              <w:spacing w:after="0"/>
              <w:rPr>
                <w:sz w:val="14"/>
                <w:szCs w:val="14"/>
                <w:color w:val="auto"/>
              </w:rPr>
            </w:pPr>
          </w:p>
        </w:tc>
        <w:tc>
          <w:tcPr>
            <w:tcW w:w="620" w:type="dxa"/>
            <w:vAlign w:val="bottom"/>
            <w:tcBorders>
              <w:bottom w:val="single" w:sz="8" w:color="454546"/>
            </w:tcBorders>
            <w:gridSpan w:val="2"/>
          </w:tcPr>
          <w:p>
            <w:pPr>
              <w:jc w:val="center"/>
              <w:spacing w:after="0"/>
              <w:rPr>
                <w:sz w:val="20"/>
                <w:szCs w:val="20"/>
                <w:color w:val="auto"/>
              </w:rPr>
            </w:pPr>
            <w:r>
              <w:rPr>
                <w:rFonts w:ascii="Times New Roman" w:cs="Times New Roman" w:eastAsia="Times New Roman" w:hAnsi="Times New Roman"/>
                <w:sz w:val="12"/>
                <w:szCs w:val="12"/>
                <w:color w:val="454546"/>
              </w:rPr>
              <w:t>(in 000's)</w:t>
            </w:r>
          </w:p>
        </w:tc>
        <w:tc>
          <w:tcPr>
            <w:tcW w:w="80" w:type="dxa"/>
            <w:vAlign w:val="bottom"/>
            <w:tcBorders>
              <w:bottom w:val="single" w:sz="8" w:color="E3E4E5"/>
            </w:tcBorders>
          </w:tcPr>
          <w:p>
            <w:pPr>
              <w:spacing w:after="0"/>
              <w:rPr>
                <w:sz w:val="14"/>
                <w:szCs w:val="14"/>
                <w:color w:val="auto"/>
              </w:rPr>
            </w:pPr>
          </w:p>
        </w:tc>
        <w:tc>
          <w:tcPr>
            <w:tcW w:w="6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2"/>
                <w:szCs w:val="12"/>
                <w:color w:val="454546"/>
                <w:w w:val="97"/>
              </w:rPr>
              <w:t>(in 000's)</w:t>
            </w:r>
          </w:p>
        </w:tc>
        <w:tc>
          <w:tcPr>
            <w:tcW w:w="60" w:type="dxa"/>
            <w:vAlign w:val="bottom"/>
            <w:tcBorders>
              <w:bottom w:val="single" w:sz="8" w:color="E3E4E5"/>
            </w:tcBorders>
          </w:tcPr>
          <w:p>
            <w:pPr>
              <w:spacing w:after="0"/>
              <w:rPr>
                <w:sz w:val="14"/>
                <w:szCs w:val="14"/>
                <w:color w:val="auto"/>
              </w:rPr>
            </w:pPr>
          </w:p>
        </w:tc>
        <w:tc>
          <w:tcPr>
            <w:tcW w:w="140" w:type="dxa"/>
            <w:vAlign w:val="bottom"/>
            <w:tcBorders>
              <w:bottom w:val="single" w:sz="8" w:color="454546"/>
            </w:tcBorders>
          </w:tcPr>
          <w:p>
            <w:pPr>
              <w:spacing w:after="0"/>
              <w:rPr>
                <w:sz w:val="14"/>
                <w:szCs w:val="14"/>
                <w:color w:val="auto"/>
              </w:rPr>
            </w:pPr>
          </w:p>
        </w:tc>
        <w:tc>
          <w:tcPr>
            <w:tcW w:w="460" w:type="dxa"/>
            <w:vAlign w:val="bottom"/>
            <w:tcBorders>
              <w:bottom w:val="single" w:sz="8" w:color="454546"/>
            </w:tcBorders>
          </w:tcPr>
          <w:p>
            <w:pPr>
              <w:jc w:val="right"/>
              <w:ind w:right="119"/>
              <w:spacing w:after="0"/>
              <w:rPr>
                <w:sz w:val="20"/>
                <w:szCs w:val="20"/>
                <w:color w:val="auto"/>
              </w:rPr>
            </w:pPr>
            <w:r>
              <w:rPr>
                <w:rFonts w:ascii="Times New Roman" w:cs="Times New Roman" w:eastAsia="Times New Roman" w:hAnsi="Times New Roman"/>
                <w:sz w:val="12"/>
                <w:szCs w:val="12"/>
                <w:color w:val="454546"/>
              </w:rPr>
              <w:t>Price</w:t>
            </w:r>
          </w:p>
        </w:tc>
        <w:tc>
          <w:tcPr>
            <w:tcW w:w="60" w:type="dxa"/>
            <w:vAlign w:val="bottom"/>
            <w:tcBorders>
              <w:bottom w:val="single" w:sz="8" w:color="E3E4E5"/>
            </w:tcBorders>
          </w:tcPr>
          <w:p>
            <w:pPr>
              <w:spacing w:after="0"/>
              <w:rPr>
                <w:sz w:val="14"/>
                <w:szCs w:val="14"/>
                <w:color w:val="auto"/>
              </w:rPr>
            </w:pPr>
          </w:p>
        </w:tc>
        <w:tc>
          <w:tcPr>
            <w:tcW w:w="68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2"/>
                <w:szCs w:val="12"/>
                <w:color w:val="454546"/>
              </w:rPr>
              <w:t>(in years)</w:t>
            </w:r>
          </w:p>
        </w:tc>
        <w:tc>
          <w:tcPr>
            <w:tcW w:w="80" w:type="dxa"/>
            <w:vAlign w:val="bottom"/>
            <w:tcBorders>
              <w:bottom w:val="single" w:sz="8" w:color="E3E4E5"/>
            </w:tcBorders>
          </w:tcPr>
          <w:p>
            <w:pPr>
              <w:spacing w:after="0"/>
              <w:rPr>
                <w:sz w:val="14"/>
                <w:szCs w:val="14"/>
                <w:color w:val="auto"/>
              </w:rPr>
            </w:pPr>
          </w:p>
        </w:tc>
        <w:tc>
          <w:tcPr>
            <w:tcW w:w="620" w:type="dxa"/>
            <w:vAlign w:val="bottom"/>
            <w:tcBorders>
              <w:bottom w:val="single" w:sz="8" w:color="454546"/>
            </w:tcBorders>
            <w:gridSpan w:val="2"/>
          </w:tcPr>
          <w:p>
            <w:pPr>
              <w:jc w:val="center"/>
              <w:spacing w:after="0"/>
              <w:rPr>
                <w:sz w:val="20"/>
                <w:szCs w:val="20"/>
                <w:color w:val="auto"/>
              </w:rPr>
            </w:pPr>
            <w:r>
              <w:rPr>
                <w:rFonts w:ascii="Times New Roman" w:cs="Times New Roman" w:eastAsia="Times New Roman" w:hAnsi="Times New Roman"/>
                <w:sz w:val="12"/>
                <w:szCs w:val="12"/>
                <w:color w:val="454546"/>
                <w:w w:val="97"/>
              </w:rPr>
              <w:t>(in 000's)</w:t>
            </w:r>
          </w:p>
        </w:tc>
        <w:tc>
          <w:tcPr>
            <w:tcW w:w="0" w:type="dxa"/>
            <w:vAlign w:val="bottom"/>
          </w:tcPr>
          <w:p>
            <w:pPr>
              <w:spacing w:after="0"/>
              <w:rPr>
                <w:sz w:val="1"/>
                <w:szCs w:val="1"/>
                <w:color w:val="auto"/>
              </w:rPr>
            </w:pPr>
          </w:p>
        </w:tc>
      </w:tr>
      <w:tr>
        <w:trPr>
          <w:trHeight w:val="290"/>
        </w:trPr>
        <w:tc>
          <w:tcPr>
            <w:tcW w:w="1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2"/>
                <w:szCs w:val="12"/>
                <w:color w:val="454546"/>
              </w:rPr>
              <w:t>Outstanding at beginning of the year</w:t>
            </w:r>
          </w:p>
        </w:tc>
        <w:tc>
          <w:tcPr>
            <w:tcW w:w="6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779</w:t>
            </w:r>
          </w:p>
        </w:tc>
        <w:tc>
          <w:tcPr>
            <w:tcW w:w="22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35.67</w:t>
            </w:r>
          </w:p>
        </w:tc>
        <w:tc>
          <w:tcPr>
            <w:tcW w:w="80" w:type="dxa"/>
            <w:vAlign w:val="bottom"/>
            <w:shd w:val="clear" w:color="auto" w:fill="E3E4E5"/>
          </w:tcPr>
          <w:p>
            <w:pPr>
              <w:spacing w:after="0"/>
              <w:rPr>
                <w:sz w:val="24"/>
                <w:szCs w:val="24"/>
                <w:color w:val="auto"/>
              </w:rPr>
            </w:pPr>
          </w:p>
        </w:tc>
        <w:tc>
          <w:tcPr>
            <w:tcW w:w="6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12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6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901</w:t>
            </w:r>
          </w:p>
        </w:tc>
        <w:tc>
          <w:tcPr>
            <w:tcW w:w="22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12"/>
                <w:szCs w:val="12"/>
                <w:color w:val="454546"/>
                <w:w w:val="99"/>
              </w:rPr>
              <w:t>$</w:t>
            </w:r>
          </w:p>
        </w:tc>
        <w:tc>
          <w:tcPr>
            <w:tcW w:w="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38.78</w:t>
            </w:r>
          </w:p>
        </w:tc>
        <w:tc>
          <w:tcPr>
            <w:tcW w:w="6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6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782</w:t>
            </w: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44.16</w:t>
            </w:r>
          </w:p>
        </w:tc>
        <w:tc>
          <w:tcPr>
            <w:tcW w:w="60" w:type="dxa"/>
            <w:vAlign w:val="bottom"/>
            <w:shd w:val="clear" w:color="auto" w:fill="E3E4E5"/>
          </w:tcPr>
          <w:p>
            <w:pPr>
              <w:spacing w:after="0"/>
              <w:rPr>
                <w:sz w:val="24"/>
                <w:szCs w:val="24"/>
                <w:color w:val="auto"/>
              </w:rPr>
            </w:pPr>
          </w:p>
        </w:tc>
        <w:tc>
          <w:tcPr>
            <w:tcW w:w="6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980" w:type="dxa"/>
            <w:vAlign w:val="bottom"/>
          </w:tcPr>
          <w:p>
            <w:pPr>
              <w:ind w:left="40"/>
              <w:spacing w:after="0"/>
              <w:rPr>
                <w:sz w:val="20"/>
                <w:szCs w:val="20"/>
                <w:color w:val="auto"/>
              </w:rPr>
            </w:pPr>
            <w:r>
              <w:rPr>
                <w:rFonts w:ascii="Times New Roman" w:cs="Times New Roman" w:eastAsia="Times New Roman" w:hAnsi="Times New Roman"/>
                <w:sz w:val="12"/>
                <w:szCs w:val="12"/>
                <w:color w:val="454546"/>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454546"/>
              </w:rPr>
              <w:t>280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454546"/>
              </w:rPr>
              <w:t>3.07</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454546"/>
              </w:rPr>
              <w:t>235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454546"/>
              </w:rPr>
              <w:t>24.77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2"/>
                <w:szCs w:val="12"/>
                <w:color w:val="454546"/>
              </w:rPr>
              <w:t>Exercised</w:t>
            </w:r>
          </w:p>
        </w:tc>
        <w:tc>
          <w:tcPr>
            <w:tcW w:w="6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6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80" w:type="dxa"/>
            <w:vAlign w:val="bottom"/>
            <w:shd w:val="clear" w:color="auto" w:fill="E3E4E5"/>
          </w:tcPr>
          <w:p>
            <w:pPr>
              <w:spacing w:after="0"/>
              <w:rPr>
                <w:sz w:val="24"/>
                <w:szCs w:val="24"/>
                <w:color w:val="auto"/>
              </w:rPr>
            </w:pPr>
          </w:p>
        </w:tc>
        <w:tc>
          <w:tcPr>
            <w:tcW w:w="680" w:type="dxa"/>
            <w:vAlign w:val="bottom"/>
            <w:shd w:val="clear" w:color="auto" w:fill="E3E4E5"/>
          </w:tcPr>
          <w:p>
            <w:pPr>
              <w:spacing w:after="0"/>
              <w:rPr>
                <w:sz w:val="24"/>
                <w:szCs w:val="24"/>
                <w:color w:val="auto"/>
              </w:rPr>
            </w:pP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80" w:type="dxa"/>
            <w:vAlign w:val="bottom"/>
            <w:shd w:val="clear" w:color="auto" w:fill="E3E4E5"/>
          </w:tcPr>
          <w:p>
            <w:pPr>
              <w:spacing w:after="0"/>
              <w:rPr>
                <w:sz w:val="24"/>
                <w:szCs w:val="24"/>
                <w:color w:val="auto"/>
              </w:rPr>
            </w:pP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8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6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680" w:type="dxa"/>
            <w:vAlign w:val="bottom"/>
            <w:shd w:val="clear" w:color="auto" w:fill="E3E4E5"/>
          </w:tcPr>
          <w:p>
            <w:pPr>
              <w:spacing w:after="0"/>
              <w:rPr>
                <w:sz w:val="24"/>
                <w:szCs w:val="24"/>
                <w:color w:val="auto"/>
              </w:rPr>
            </w:pP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shd w:val="clear" w:color="auto" w:fill="E3E4E5"/>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80" w:type="dxa"/>
            <w:vAlign w:val="bottom"/>
            <w:shd w:val="clear" w:color="auto" w:fill="E3E4E5"/>
          </w:tcPr>
          <w:p>
            <w:pPr>
              <w:spacing w:after="0"/>
              <w:rPr>
                <w:sz w:val="24"/>
                <w:szCs w:val="24"/>
                <w:color w:val="auto"/>
              </w:rPr>
            </w:pPr>
          </w:p>
        </w:tc>
        <w:tc>
          <w:tcPr>
            <w:tcW w:w="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6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60" w:type="dxa"/>
            <w:vAlign w:val="bottom"/>
            <w:shd w:val="clear" w:color="auto" w:fill="E3E4E5"/>
          </w:tcPr>
          <w:p>
            <w:pPr>
              <w:spacing w:after="0"/>
              <w:rPr>
                <w:sz w:val="24"/>
                <w:szCs w:val="24"/>
                <w:color w:val="auto"/>
              </w:rPr>
            </w:pPr>
          </w:p>
        </w:tc>
        <w:tc>
          <w:tcPr>
            <w:tcW w:w="680" w:type="dxa"/>
            <w:vAlign w:val="bottom"/>
            <w:shd w:val="clear" w:color="auto" w:fill="E3E4E5"/>
          </w:tcPr>
          <w:p>
            <w:pPr>
              <w:spacing w:after="0"/>
              <w:rPr>
                <w:sz w:val="24"/>
                <w:szCs w:val="24"/>
                <w:color w:val="auto"/>
              </w:rPr>
            </w:pPr>
          </w:p>
        </w:tc>
        <w:tc>
          <w:tcPr>
            <w:tcW w:w="22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80" w:type="dxa"/>
            <w:vAlign w:val="bottom"/>
            <w:shd w:val="clear" w:color="auto" w:fill="E3E4E5"/>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0" w:type="dxa"/>
            <w:vAlign w:val="bottom"/>
          </w:tcPr>
          <w:p>
            <w:pPr>
              <w:spacing w:after="0"/>
              <w:rPr>
                <w:sz w:val="1"/>
                <w:szCs w:val="1"/>
                <w:color w:val="auto"/>
              </w:rPr>
            </w:pPr>
          </w:p>
        </w:tc>
      </w:tr>
      <w:tr>
        <w:trPr>
          <w:trHeight w:val="290"/>
        </w:trPr>
        <w:tc>
          <w:tcPr>
            <w:tcW w:w="19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2"/>
                <w:szCs w:val="12"/>
                <w:color w:val="454546"/>
              </w:rPr>
              <w:t>Forfeited/canceled/expired</w:t>
            </w:r>
          </w:p>
        </w:tc>
        <w:tc>
          <w:tcPr>
            <w:tcW w:w="6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2"/>
                <w:szCs w:val="12"/>
                <w:color w:val="454546"/>
              </w:rPr>
              <w:t>(203)</w:t>
            </w:r>
          </w:p>
        </w:tc>
        <w:tc>
          <w:tcPr>
            <w:tcW w:w="60" w:type="dxa"/>
            <w:vAlign w:val="bottom"/>
            <w:tcBorders>
              <w:bottom w:val="single" w:sz="8" w:color="E3E4E5"/>
            </w:tcBorders>
          </w:tcPr>
          <w:p>
            <w:pPr>
              <w:spacing w:after="0"/>
              <w:rPr>
                <w:sz w:val="24"/>
                <w:szCs w:val="24"/>
                <w:color w:val="auto"/>
              </w:rPr>
            </w:pPr>
          </w:p>
        </w:tc>
        <w:tc>
          <w:tcPr>
            <w:tcW w:w="160" w:type="dxa"/>
            <w:vAlign w:val="bottom"/>
            <w:tcBorders>
              <w:bottom w:val="single" w:sz="8" w:color="E3E4E5"/>
            </w:tcBorders>
          </w:tcPr>
          <w:p>
            <w:pPr>
              <w:spacing w:after="0"/>
              <w:rPr>
                <w:sz w:val="24"/>
                <w:szCs w:val="24"/>
                <w:color w:val="auto"/>
              </w:rPr>
            </w:pPr>
          </w:p>
        </w:tc>
        <w:tc>
          <w:tcPr>
            <w:tcW w:w="4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12"/>
                <w:szCs w:val="12"/>
                <w:color w:val="454546"/>
              </w:rPr>
              <w:t>38.68</w:t>
            </w:r>
          </w:p>
        </w:tc>
        <w:tc>
          <w:tcPr>
            <w:tcW w:w="80" w:type="dxa"/>
            <w:vAlign w:val="bottom"/>
            <w:tcBorders>
              <w:bottom w:val="single" w:sz="8" w:color="E3E4E5"/>
            </w:tcBorders>
          </w:tcPr>
          <w:p>
            <w:pPr>
              <w:spacing w:after="0"/>
              <w:rPr>
                <w:sz w:val="24"/>
                <w:szCs w:val="24"/>
                <w:color w:val="auto"/>
              </w:rPr>
            </w:pPr>
          </w:p>
        </w:tc>
        <w:tc>
          <w:tcPr>
            <w:tcW w:w="68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120" w:type="dxa"/>
            <w:vAlign w:val="bottom"/>
            <w:tcBorders>
              <w:bottom w:val="single" w:sz="8" w:color="E3E4E5"/>
            </w:tcBorders>
          </w:tcPr>
          <w:p>
            <w:pPr>
              <w:spacing w:after="0"/>
              <w:rPr>
                <w:sz w:val="24"/>
                <w:szCs w:val="24"/>
                <w:color w:val="auto"/>
              </w:rPr>
            </w:pPr>
          </w:p>
        </w:tc>
        <w:tc>
          <w:tcPr>
            <w:tcW w:w="48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5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2"/>
                <w:szCs w:val="12"/>
                <w:color w:val="454546"/>
              </w:rPr>
              <w:t>(122)</w:t>
            </w:r>
          </w:p>
        </w:tc>
        <w:tc>
          <w:tcPr>
            <w:tcW w:w="80" w:type="dxa"/>
            <w:vAlign w:val="bottom"/>
            <w:tcBorders>
              <w:bottom w:val="single" w:sz="8" w:color="E3E4E5"/>
            </w:tcBorders>
          </w:tcPr>
          <w:p>
            <w:pPr>
              <w:spacing w:after="0"/>
              <w:rPr>
                <w:sz w:val="24"/>
                <w:szCs w:val="24"/>
                <w:color w:val="auto"/>
              </w:rPr>
            </w:pPr>
          </w:p>
        </w:tc>
        <w:tc>
          <w:tcPr>
            <w:tcW w:w="140" w:type="dxa"/>
            <w:vAlign w:val="bottom"/>
            <w:tcBorders>
              <w:bottom w:val="single" w:sz="8" w:color="E3E4E5"/>
            </w:tcBorders>
          </w:tcPr>
          <w:p>
            <w:pPr>
              <w:spacing w:after="0"/>
              <w:rPr>
                <w:sz w:val="24"/>
                <w:szCs w:val="24"/>
                <w:color w:val="auto"/>
              </w:rPr>
            </w:pPr>
          </w:p>
        </w:tc>
        <w:tc>
          <w:tcPr>
            <w:tcW w:w="4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12"/>
                <w:szCs w:val="12"/>
                <w:color w:val="454546"/>
              </w:rPr>
              <w:t>58.52</w:t>
            </w:r>
          </w:p>
        </w:tc>
        <w:tc>
          <w:tcPr>
            <w:tcW w:w="6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68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140" w:type="dxa"/>
            <w:vAlign w:val="bottom"/>
            <w:tcBorders>
              <w:bottom w:val="single" w:sz="8" w:color="E3E4E5"/>
            </w:tcBorders>
          </w:tcPr>
          <w:p>
            <w:pPr>
              <w:spacing w:after="0"/>
              <w:rPr>
                <w:sz w:val="24"/>
                <w:szCs w:val="24"/>
                <w:color w:val="auto"/>
              </w:rPr>
            </w:pPr>
          </w:p>
        </w:tc>
        <w:tc>
          <w:tcPr>
            <w:tcW w:w="48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6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2"/>
                <w:szCs w:val="12"/>
                <w:color w:val="454546"/>
              </w:rPr>
              <w:t>(116)</w:t>
            </w:r>
          </w:p>
        </w:tc>
        <w:tc>
          <w:tcPr>
            <w:tcW w:w="60" w:type="dxa"/>
            <w:vAlign w:val="bottom"/>
            <w:tcBorders>
              <w:bottom w:val="single" w:sz="8" w:color="E3E4E5"/>
            </w:tcBorders>
          </w:tcPr>
          <w:p>
            <w:pPr>
              <w:spacing w:after="0"/>
              <w:rPr>
                <w:sz w:val="24"/>
                <w:szCs w:val="24"/>
                <w:color w:val="auto"/>
              </w:rPr>
            </w:pPr>
          </w:p>
        </w:tc>
        <w:tc>
          <w:tcPr>
            <w:tcW w:w="140" w:type="dxa"/>
            <w:vAlign w:val="bottom"/>
            <w:tcBorders>
              <w:bottom w:val="single" w:sz="8" w:color="E3E4E5"/>
            </w:tcBorders>
          </w:tcPr>
          <w:p>
            <w:pPr>
              <w:spacing w:after="0"/>
              <w:rPr>
                <w:sz w:val="24"/>
                <w:szCs w:val="24"/>
                <w:color w:val="auto"/>
              </w:rPr>
            </w:pPr>
          </w:p>
        </w:tc>
        <w:tc>
          <w:tcPr>
            <w:tcW w:w="46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12"/>
                <w:szCs w:val="12"/>
                <w:color w:val="454546"/>
              </w:rPr>
              <w:t>46.59</w:t>
            </w:r>
          </w:p>
        </w:tc>
        <w:tc>
          <w:tcPr>
            <w:tcW w:w="60" w:type="dxa"/>
            <w:vAlign w:val="bottom"/>
            <w:tcBorders>
              <w:bottom w:val="single" w:sz="8" w:color="E3E4E5"/>
            </w:tcBorders>
          </w:tcPr>
          <w:p>
            <w:pPr>
              <w:spacing w:after="0"/>
              <w:rPr>
                <w:sz w:val="24"/>
                <w:szCs w:val="24"/>
                <w:color w:val="auto"/>
              </w:rPr>
            </w:pPr>
          </w:p>
        </w:tc>
        <w:tc>
          <w:tcPr>
            <w:tcW w:w="68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140" w:type="dxa"/>
            <w:vAlign w:val="bottom"/>
            <w:tcBorders>
              <w:bottom w:val="single" w:sz="8" w:color="E3E4E5"/>
            </w:tcBorders>
          </w:tcPr>
          <w:p>
            <w:pPr>
              <w:spacing w:after="0"/>
              <w:rPr>
                <w:sz w:val="24"/>
                <w:szCs w:val="24"/>
                <w:color w:val="auto"/>
              </w:rPr>
            </w:pPr>
          </w:p>
        </w:tc>
        <w:tc>
          <w:tcPr>
            <w:tcW w:w="48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2"/>
                <w:szCs w:val="12"/>
                <w:color w:val="454546"/>
              </w:rPr>
              <w:t xml:space="preserve">Outstanding at end of the year </w:t>
            </w:r>
            <w:r>
              <w:rPr>
                <w:rFonts w:ascii="Times New Roman" w:cs="Times New Roman" w:eastAsia="Times New Roman" w:hAnsi="Times New Roman"/>
                <w:sz w:val="15"/>
                <w:szCs w:val="15"/>
                <w:color w:val="454546"/>
                <w:vertAlign w:val="superscript"/>
              </w:rPr>
              <w:t>(1)</w:t>
            </w:r>
          </w:p>
        </w:tc>
        <w:tc>
          <w:tcPr>
            <w:tcW w:w="6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856</w:t>
            </w:r>
          </w:p>
        </w:tc>
        <w:tc>
          <w:tcPr>
            <w:tcW w:w="22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24.29</w:t>
            </w:r>
          </w:p>
        </w:tc>
        <w:tc>
          <w:tcPr>
            <w:tcW w:w="760" w:type="dxa"/>
            <w:vAlign w:val="bottom"/>
            <w:gridSpan w:val="2"/>
            <w:shd w:val="clear" w:color="auto" w:fill="E3E4E5"/>
          </w:tcPr>
          <w:p>
            <w:pPr>
              <w:jc w:val="center"/>
              <w:ind w:left="20"/>
              <w:spacing w:after="0"/>
              <w:rPr>
                <w:sz w:val="20"/>
                <w:szCs w:val="20"/>
                <w:color w:val="auto"/>
              </w:rPr>
            </w:pPr>
            <w:r>
              <w:rPr>
                <w:rFonts w:ascii="Times New Roman" w:cs="Times New Roman" w:eastAsia="Times New Roman" w:hAnsi="Times New Roman"/>
                <w:sz w:val="12"/>
                <w:szCs w:val="12"/>
                <w:color w:val="454546"/>
                <w:w w:val="95"/>
              </w:rPr>
              <w:t>4.96</w:t>
            </w: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150</w:t>
            </w:r>
          </w:p>
        </w:tc>
        <w:tc>
          <w:tcPr>
            <w:tcW w:w="6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779</w:t>
            </w:r>
          </w:p>
        </w:tc>
        <w:tc>
          <w:tcPr>
            <w:tcW w:w="22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12"/>
                <w:szCs w:val="12"/>
                <w:color w:val="454546"/>
                <w:w w:val="99"/>
              </w:rPr>
              <w:t>$</w:t>
            </w:r>
          </w:p>
        </w:tc>
        <w:tc>
          <w:tcPr>
            <w:tcW w:w="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35.67</w:t>
            </w:r>
          </w:p>
        </w:tc>
        <w:tc>
          <w:tcPr>
            <w:tcW w:w="820" w:type="dxa"/>
            <w:vAlign w:val="bottom"/>
            <w:gridSpan w:val="3"/>
            <w:shd w:val="clear" w:color="auto" w:fill="E3E4E5"/>
          </w:tcPr>
          <w:p>
            <w:pPr>
              <w:jc w:val="center"/>
              <w:ind w:left="58"/>
              <w:spacing w:after="0"/>
              <w:rPr>
                <w:sz w:val="20"/>
                <w:szCs w:val="20"/>
                <w:color w:val="auto"/>
              </w:rPr>
            </w:pPr>
            <w:r>
              <w:rPr>
                <w:rFonts w:ascii="Times New Roman" w:cs="Times New Roman" w:eastAsia="Times New Roman" w:hAnsi="Times New Roman"/>
                <w:sz w:val="12"/>
                <w:szCs w:val="12"/>
                <w:color w:val="454546"/>
              </w:rPr>
              <w:t>3.12</w:t>
            </w: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shd w:val="clear" w:color="auto" w:fill="E3E4E5"/>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901</w:t>
            </w: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38.78</w:t>
            </w:r>
          </w:p>
        </w:tc>
        <w:tc>
          <w:tcPr>
            <w:tcW w:w="74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12"/>
                <w:szCs w:val="12"/>
                <w:color w:val="454546"/>
                <w:w w:val="95"/>
              </w:rPr>
              <w:t>3.67</w:t>
            </w:r>
          </w:p>
        </w:tc>
        <w:tc>
          <w:tcPr>
            <w:tcW w:w="22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80" w:type="dxa"/>
            <w:vAlign w:val="bottom"/>
            <w:shd w:val="clear" w:color="auto" w:fill="E3E4E5"/>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0" w:type="dxa"/>
            <w:vAlign w:val="bottom"/>
          </w:tcPr>
          <w:p>
            <w:pPr>
              <w:spacing w:after="0"/>
              <w:rPr>
                <w:sz w:val="1"/>
                <w:szCs w:val="1"/>
                <w:color w:val="auto"/>
              </w:rPr>
            </w:pPr>
          </w:p>
        </w:tc>
      </w:tr>
      <w:tr>
        <w:trPr>
          <w:trHeight w:val="20"/>
        </w:trPr>
        <w:tc>
          <w:tcPr>
            <w:tcW w:w="1980" w:type="dxa"/>
            <w:vAlign w:val="bottom"/>
            <w:tcBorders>
              <w:top w:val="single" w:sz="8" w:color="E3E4E5"/>
              <w:bottom w:val="single" w:sz="8" w:color="E3E4E5"/>
            </w:tcBorders>
            <w:vMerge w:val="restart"/>
          </w:tcPr>
          <w:p>
            <w:pPr>
              <w:ind w:left="40"/>
              <w:spacing w:after="0" w:line="115" w:lineRule="exact"/>
              <w:rPr>
                <w:sz w:val="20"/>
                <w:szCs w:val="20"/>
                <w:color w:val="auto"/>
              </w:rPr>
            </w:pPr>
            <w:r>
              <w:rPr>
                <w:rFonts w:ascii="Times New Roman" w:cs="Times New Roman" w:eastAsia="Times New Roman" w:hAnsi="Times New Roman"/>
                <w:sz w:val="12"/>
                <w:szCs w:val="12"/>
                <w:color w:val="454546"/>
              </w:rPr>
              <w:t>Vested and expected to vest at the end</w:t>
            </w:r>
          </w:p>
        </w:tc>
        <w:tc>
          <w:tcPr>
            <w:tcW w:w="6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E3E4E5"/>
            </w:tcBorders>
          </w:tcPr>
          <w:p>
            <w:pPr>
              <w:spacing w:after="0" w:line="20" w:lineRule="exact"/>
              <w:rPr>
                <w:sz w:val="1"/>
                <w:szCs w:val="1"/>
                <w:color w:val="auto"/>
              </w:rPr>
            </w:pPr>
          </w:p>
        </w:tc>
        <w:tc>
          <w:tcPr>
            <w:tcW w:w="44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68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20" w:type="dxa"/>
            <w:vAlign w:val="bottom"/>
            <w:tcBorders>
              <w:top w:val="single" w:sz="8" w:color="E3E4E5"/>
            </w:tcBorders>
          </w:tcPr>
          <w:p>
            <w:pPr>
              <w:spacing w:after="0" w:line="20" w:lineRule="exact"/>
              <w:rPr>
                <w:sz w:val="1"/>
                <w:szCs w:val="1"/>
                <w:color w:val="auto"/>
              </w:rPr>
            </w:pPr>
          </w:p>
        </w:tc>
        <w:tc>
          <w:tcPr>
            <w:tcW w:w="48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58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E3E4E5"/>
            </w:tcBorders>
          </w:tcPr>
          <w:p>
            <w:pPr>
              <w:spacing w:after="0" w:line="20" w:lineRule="exact"/>
              <w:rPr>
                <w:sz w:val="1"/>
                <w:szCs w:val="1"/>
                <w:color w:val="auto"/>
              </w:rPr>
            </w:pPr>
          </w:p>
        </w:tc>
        <w:tc>
          <w:tcPr>
            <w:tcW w:w="400" w:type="dxa"/>
            <w:vAlign w:val="bottom"/>
            <w:tcBorders>
              <w:top w:val="single" w:sz="8" w:color="E3E4E5"/>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680" w:type="dxa"/>
            <w:vAlign w:val="bottom"/>
            <w:tcBorders>
              <w:top w:val="single" w:sz="8" w:color="E3E4E5"/>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E3E4E5"/>
            </w:tcBorders>
          </w:tcPr>
          <w:p>
            <w:pPr>
              <w:spacing w:after="0" w:line="20" w:lineRule="exact"/>
              <w:rPr>
                <w:sz w:val="1"/>
                <w:szCs w:val="1"/>
                <w:color w:val="auto"/>
              </w:rPr>
            </w:pPr>
          </w:p>
        </w:tc>
        <w:tc>
          <w:tcPr>
            <w:tcW w:w="48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62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E3E4E5"/>
            </w:tcBorders>
          </w:tcPr>
          <w:p>
            <w:pPr>
              <w:spacing w:after="0" w:line="20" w:lineRule="exact"/>
              <w:rPr>
                <w:sz w:val="1"/>
                <w:szCs w:val="1"/>
                <w:color w:val="auto"/>
              </w:rPr>
            </w:pPr>
          </w:p>
        </w:tc>
        <w:tc>
          <w:tcPr>
            <w:tcW w:w="460" w:type="dxa"/>
            <w:vAlign w:val="bottom"/>
            <w:tcBorders>
              <w:top w:val="single" w:sz="8" w:color="E3E4E5"/>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68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E3E4E5"/>
            </w:tcBorders>
          </w:tcPr>
          <w:p>
            <w:pPr>
              <w:spacing w:after="0" w:line="20" w:lineRule="exact"/>
              <w:rPr>
                <w:sz w:val="1"/>
                <w:szCs w:val="1"/>
                <w:color w:val="auto"/>
              </w:rPr>
            </w:pPr>
          </w:p>
        </w:tc>
        <w:tc>
          <w:tcPr>
            <w:tcW w:w="480" w:type="dxa"/>
            <w:vAlign w:val="bottom"/>
            <w:tcBorders>
              <w:top w:val="single" w:sz="8" w:color="E3E4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80" w:type="dxa"/>
            <w:vAlign w:val="bottom"/>
            <w:vMerge w:val="continue"/>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454546"/>
              </w:rPr>
              <w:t>856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454546"/>
              </w:rPr>
              <w:t>24.29</w:t>
            </w:r>
          </w:p>
        </w:tc>
        <w:tc>
          <w:tcPr>
            <w:tcW w:w="76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2"/>
                <w:szCs w:val="12"/>
                <w:color w:val="454546"/>
                <w:w w:val="95"/>
              </w:rPr>
              <w:t>4.96</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454546"/>
              </w:rPr>
              <w:t>150</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454546"/>
              </w:rPr>
              <w:t>779</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454546"/>
                <w:w w:val="99"/>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454546"/>
              </w:rPr>
              <w:t>35.67</w:t>
            </w:r>
          </w:p>
        </w:tc>
        <w:tc>
          <w:tcPr>
            <w:tcW w:w="820" w:type="dxa"/>
            <w:vAlign w:val="bottom"/>
            <w:gridSpan w:val="3"/>
            <w:vMerge w:val="restart"/>
          </w:tcPr>
          <w:p>
            <w:pPr>
              <w:jc w:val="center"/>
              <w:ind w:left="58"/>
              <w:spacing w:after="0"/>
              <w:rPr>
                <w:sz w:val="20"/>
                <w:szCs w:val="20"/>
                <w:color w:val="auto"/>
              </w:rPr>
            </w:pPr>
            <w:r>
              <w:rPr>
                <w:rFonts w:ascii="Times New Roman" w:cs="Times New Roman" w:eastAsia="Times New Roman" w:hAnsi="Times New Roman"/>
                <w:sz w:val="12"/>
                <w:szCs w:val="12"/>
                <w:color w:val="454546"/>
              </w:rPr>
              <w:t>3.12</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454546"/>
              </w:rPr>
              <w:t>901</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454546"/>
              </w:rPr>
              <w:t>38.78</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454546"/>
                <w:w w:val="95"/>
              </w:rPr>
              <w:t>3.67</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0" w:type="dxa"/>
            <w:vAlign w:val="bottom"/>
          </w:tcPr>
          <w:p>
            <w:pPr>
              <w:spacing w:after="0"/>
              <w:rPr>
                <w:sz w:val="1"/>
                <w:szCs w:val="1"/>
                <w:color w:val="auto"/>
              </w:rPr>
            </w:pPr>
          </w:p>
        </w:tc>
      </w:tr>
      <w:tr>
        <w:trPr>
          <w:trHeight w:val="175"/>
        </w:trPr>
        <w:tc>
          <w:tcPr>
            <w:tcW w:w="1980" w:type="dxa"/>
            <w:vAlign w:val="bottom"/>
          </w:tcPr>
          <w:p>
            <w:pPr>
              <w:ind w:left="40"/>
              <w:spacing w:after="0"/>
              <w:rPr>
                <w:sz w:val="20"/>
                <w:szCs w:val="20"/>
                <w:color w:val="auto"/>
              </w:rPr>
            </w:pPr>
            <w:r>
              <w:rPr>
                <w:rFonts w:ascii="Times New Roman" w:cs="Times New Roman" w:eastAsia="Times New Roman" w:hAnsi="Times New Roman"/>
                <w:sz w:val="12"/>
                <w:szCs w:val="12"/>
                <w:color w:val="454546"/>
              </w:rPr>
              <w:t xml:space="preserve">of the year </w:t>
            </w:r>
            <w:r>
              <w:rPr>
                <w:rFonts w:ascii="Times New Roman" w:cs="Times New Roman" w:eastAsia="Times New Roman" w:hAnsi="Times New Roman"/>
                <w:sz w:val="15"/>
                <w:szCs w:val="15"/>
                <w:color w:val="454546"/>
                <w:vertAlign w:val="superscript"/>
              </w:rPr>
              <w:t>(1)</w:t>
            </w:r>
          </w:p>
        </w:tc>
        <w:tc>
          <w:tcPr>
            <w:tcW w:w="6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2"/>
                <w:szCs w:val="12"/>
                <w:color w:val="454546"/>
              </w:rPr>
              <w:t xml:space="preserve">Exercisable at the end of the year </w:t>
            </w:r>
            <w:r>
              <w:rPr>
                <w:rFonts w:ascii="Times New Roman" w:cs="Times New Roman" w:eastAsia="Times New Roman" w:hAnsi="Times New Roman"/>
                <w:sz w:val="15"/>
                <w:szCs w:val="15"/>
                <w:color w:val="454546"/>
                <w:vertAlign w:val="superscript"/>
              </w:rPr>
              <w:t>(1)</w:t>
            </w:r>
          </w:p>
        </w:tc>
        <w:tc>
          <w:tcPr>
            <w:tcW w:w="6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576</w:t>
            </w:r>
          </w:p>
        </w:tc>
        <w:tc>
          <w:tcPr>
            <w:tcW w:w="22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34.61</w:t>
            </w:r>
          </w:p>
        </w:tc>
        <w:tc>
          <w:tcPr>
            <w:tcW w:w="760" w:type="dxa"/>
            <w:vAlign w:val="bottom"/>
            <w:gridSpan w:val="2"/>
            <w:shd w:val="clear" w:color="auto" w:fill="E3E4E5"/>
          </w:tcPr>
          <w:p>
            <w:pPr>
              <w:jc w:val="center"/>
              <w:ind w:left="20"/>
              <w:spacing w:after="0"/>
              <w:rPr>
                <w:sz w:val="20"/>
                <w:szCs w:val="20"/>
                <w:color w:val="auto"/>
              </w:rPr>
            </w:pPr>
            <w:r>
              <w:rPr>
                <w:rFonts w:ascii="Times New Roman" w:cs="Times New Roman" w:eastAsia="Times New Roman" w:hAnsi="Times New Roman"/>
                <w:sz w:val="12"/>
                <w:szCs w:val="12"/>
                <w:color w:val="454546"/>
                <w:w w:val="95"/>
              </w:rPr>
              <w:t>2.54</w:t>
            </w: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w:t>
            </w:r>
          </w:p>
        </w:tc>
        <w:tc>
          <w:tcPr>
            <w:tcW w:w="6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673</w:t>
            </w:r>
          </w:p>
        </w:tc>
        <w:tc>
          <w:tcPr>
            <w:tcW w:w="22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12"/>
                <w:szCs w:val="12"/>
                <w:color w:val="454546"/>
                <w:w w:val="99"/>
              </w:rPr>
              <w:t>$</w:t>
            </w:r>
          </w:p>
        </w:tc>
        <w:tc>
          <w:tcPr>
            <w:tcW w:w="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37.24</w:t>
            </w:r>
          </w:p>
        </w:tc>
        <w:tc>
          <w:tcPr>
            <w:tcW w:w="820" w:type="dxa"/>
            <w:vAlign w:val="bottom"/>
            <w:gridSpan w:val="3"/>
            <w:shd w:val="clear" w:color="auto" w:fill="E3E4E5"/>
          </w:tcPr>
          <w:p>
            <w:pPr>
              <w:jc w:val="center"/>
              <w:ind w:left="58"/>
              <w:spacing w:after="0"/>
              <w:rPr>
                <w:sz w:val="20"/>
                <w:szCs w:val="20"/>
                <w:color w:val="auto"/>
              </w:rPr>
            </w:pPr>
            <w:r>
              <w:rPr>
                <w:rFonts w:ascii="Times New Roman" w:cs="Times New Roman" w:eastAsia="Times New Roman" w:hAnsi="Times New Roman"/>
                <w:sz w:val="12"/>
                <w:szCs w:val="12"/>
                <w:color w:val="454546"/>
              </w:rPr>
              <w:t>2.79</w:t>
            </w: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80" w:type="dxa"/>
            <w:vAlign w:val="bottom"/>
            <w:shd w:val="clear" w:color="auto" w:fill="E3E4E5"/>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620</w:t>
            </w:r>
          </w:p>
        </w:tc>
        <w:tc>
          <w:tcPr>
            <w:tcW w:w="20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w w:val="99"/>
              </w:rPr>
              <w:t>$</w:t>
            </w:r>
          </w:p>
        </w:tc>
        <w:tc>
          <w:tcPr>
            <w:tcW w:w="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2"/>
                <w:szCs w:val="12"/>
                <w:color w:val="454546"/>
              </w:rPr>
              <w:t>44.06</w:t>
            </w:r>
          </w:p>
        </w:tc>
        <w:tc>
          <w:tcPr>
            <w:tcW w:w="74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12"/>
                <w:szCs w:val="12"/>
                <w:color w:val="454546"/>
                <w:w w:val="95"/>
              </w:rPr>
              <w:t>2.60</w:t>
            </w:r>
          </w:p>
        </w:tc>
        <w:tc>
          <w:tcPr>
            <w:tcW w:w="220" w:type="dxa"/>
            <w:vAlign w:val="bottom"/>
            <w:gridSpan w:val="2"/>
            <w:shd w:val="clear" w:color="auto" w:fill="E3E4E5"/>
          </w:tcPr>
          <w:p>
            <w:pPr>
              <w:ind w:left="120"/>
              <w:spacing w:after="0"/>
              <w:rPr>
                <w:sz w:val="20"/>
                <w:szCs w:val="20"/>
                <w:color w:val="auto"/>
              </w:rPr>
            </w:pPr>
            <w:r>
              <w:rPr>
                <w:rFonts w:ascii="Times New Roman" w:cs="Times New Roman" w:eastAsia="Times New Roman" w:hAnsi="Times New Roman"/>
                <w:sz w:val="12"/>
                <w:szCs w:val="12"/>
                <w:color w:val="454546"/>
              </w:rPr>
              <w:t>$</w:t>
            </w:r>
          </w:p>
        </w:tc>
        <w:tc>
          <w:tcPr>
            <w:tcW w:w="480" w:type="dxa"/>
            <w:vAlign w:val="bottom"/>
            <w:shd w:val="clear" w:color="auto" w:fill="E3E4E5"/>
          </w:tcPr>
          <w:p>
            <w:pPr>
              <w:ind w:left="300"/>
              <w:spacing w:after="0"/>
              <w:rPr>
                <w:sz w:val="20"/>
                <w:szCs w:val="20"/>
                <w:color w:val="auto"/>
              </w:rPr>
            </w:pPr>
            <w:r>
              <w:rPr>
                <w:rFonts w:ascii="Times New Roman" w:cs="Times New Roman" w:eastAsia="Times New Roman" w:hAnsi="Times New Roman"/>
                <w:sz w:val="12"/>
                <w:szCs w:val="12"/>
                <w:color w:val="45454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-1310640</wp:posOffset>
            </wp:positionV>
            <wp:extent cx="5308600"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61">
                      <a:extLst>
                        <a:ext uri="{28A0092B-C50C-407E-A947-70E740481C1C}"/>
                      </a:extLst>
                    </a:blip>
                    <a:srcRect/>
                    <a:stretch>
                      <a:fillRect/>
                    </a:stretch>
                  </pic:blipFill>
                  <pic:spPr bwMode="auto">
                    <a:xfrm>
                      <a:off x="0" y="0"/>
                      <a:ext cx="5308600" cy="50800"/>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-548640</wp:posOffset>
            </wp:positionV>
            <wp:extent cx="431800"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62">
                      <a:extLst>
                        <a:ext uri="{28A0092B-C50C-407E-A947-70E740481C1C}"/>
                      </a:extLst>
                    </a:blip>
                    <a:srcRect/>
                    <a:stretch>
                      <a:fillRect/>
                    </a:stretch>
                  </pic:blipFill>
                  <pic:spPr bwMode="auto">
                    <a:xfrm>
                      <a:off x="0" y="0"/>
                      <a:ext cx="431800" cy="5080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-548640</wp:posOffset>
            </wp:positionV>
            <wp:extent cx="422275"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63">
                      <a:extLst>
                        <a:ext uri="{28A0092B-C50C-407E-A947-70E740481C1C}"/>
                      </a:extLst>
                    </a:blip>
                    <a:srcRect/>
                    <a:stretch>
                      <a:fillRect/>
                    </a:stretch>
                  </pic:blipFill>
                  <pic:spPr bwMode="auto">
                    <a:xfrm>
                      <a:off x="0" y="0"/>
                      <a:ext cx="42227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-548640</wp:posOffset>
            </wp:positionV>
            <wp:extent cx="441325"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64">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-370840</wp:posOffset>
            </wp:positionV>
            <wp:extent cx="431800" cy="762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65">
                      <a:extLst>
                        <a:ext uri="{28A0092B-C50C-407E-A947-70E740481C1C}"/>
                      </a:extLst>
                    </a:blip>
                    <a:srcRect/>
                    <a:stretch>
                      <a:fillRect/>
                    </a:stretch>
                  </pic:blipFill>
                  <pic:spPr bwMode="auto">
                    <a:xfrm>
                      <a:off x="0" y="0"/>
                      <a:ext cx="431800" cy="7620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-370840</wp:posOffset>
            </wp:positionV>
            <wp:extent cx="422275" cy="762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66">
                      <a:extLst>
                        <a:ext uri="{28A0092B-C50C-407E-A947-70E740481C1C}"/>
                      </a:extLst>
                    </a:blip>
                    <a:srcRect/>
                    <a:stretch>
                      <a:fillRect/>
                    </a:stretch>
                  </pic:blipFill>
                  <pic:spPr bwMode="auto">
                    <a:xfrm>
                      <a:off x="0" y="0"/>
                      <a:ext cx="422275" cy="762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-370840</wp:posOffset>
            </wp:positionV>
            <wp:extent cx="441325" cy="762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7">
                      <a:extLst>
                        <a:ext uri="{28A0092B-C50C-407E-A947-70E740481C1C}"/>
                      </a:extLst>
                    </a:blip>
                    <a:srcRect/>
                    <a:stretch>
                      <a:fillRect/>
                    </a:stretch>
                  </pic:blipFill>
                  <pic:spPr bwMode="auto">
                    <a:xfrm>
                      <a:off x="0" y="0"/>
                      <a:ext cx="441325" cy="76200"/>
                    </a:xfrm>
                    <a:prstGeom prst="rect">
                      <a:avLst/>
                    </a:prstGeom>
                    <a:noFill/>
                  </pic:spPr>
                </pic:pic>
              </a:graphicData>
            </a:graphic>
          </wp:anchor>
        </w:drawing>
      </w:r>
    </w:p>
    <w:p>
      <w:pPr>
        <w:spacing w:after="0" w:line="78" w:lineRule="exact"/>
        <w:rPr>
          <w:sz w:val="20"/>
          <w:szCs w:val="20"/>
          <w:color w:val="auto"/>
        </w:rPr>
      </w:pPr>
    </w:p>
    <w:p>
      <w:pPr>
        <w:jc w:val="both"/>
        <w:ind w:left="720" w:hanging="370"/>
        <w:spacing w:after="0" w:line="237" w:lineRule="auto"/>
        <w:tabs>
          <w:tab w:leader="none" w:pos="720" w:val="left"/>
        </w:tabs>
        <w:numPr>
          <w:ilvl w:val="0"/>
          <w:numId w:val="39"/>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The aggregate intrinsic value represents the total pre-tax value (the difference between our closing stock price on the last trading day of 2025, 2024 and 2023 and the exercise price, multiplied by the number of in-the-money options) that would have been received by the option holders had they all exercised their options on December 31, 2025, 2024 and 2023. This amount will change based on the fair market value of our stock.</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454546"/>
        </w:rPr>
        <w:t>The assumptions we utilized in the Black-Scholes option pricing model and the resulting weighted average fair value of stock option grants were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center"/>
              <w:ind w:left="567"/>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35"/>
        </w:trPr>
        <w:tc>
          <w:tcPr>
            <w:tcW w:w="618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Weighted average fair value of grants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167"/>
              <w:spacing w:after="0"/>
              <w:rPr>
                <w:sz w:val="20"/>
                <w:szCs w:val="20"/>
                <w:color w:val="auto"/>
              </w:rPr>
            </w:pPr>
            <w:r>
              <w:rPr>
                <w:rFonts w:ascii="Times New Roman" w:cs="Times New Roman" w:eastAsia="Times New Roman" w:hAnsi="Times New Roman"/>
                <w:sz w:val="20"/>
                <w:szCs w:val="20"/>
                <w:color w:val="454546"/>
              </w:rPr>
              <w:t>1.60</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ind w:left="54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164"/>
              <w:spacing w:after="0"/>
              <w:rPr>
                <w:sz w:val="20"/>
                <w:szCs w:val="20"/>
                <w:color w:val="auto"/>
              </w:rPr>
            </w:pPr>
            <w:r>
              <w:rPr>
                <w:rFonts w:ascii="Times New Roman" w:cs="Times New Roman" w:eastAsia="Times New Roman" w:hAnsi="Times New Roman"/>
                <w:sz w:val="20"/>
                <w:szCs w:val="20"/>
                <w:color w:val="454546"/>
              </w:rPr>
              <w:t>10.83</w:t>
            </w: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Risk-free interest rate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3.72 %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20"/>
                <w:szCs w:val="20"/>
                <w:color w:val="454546"/>
              </w:rPr>
              <w:t>—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3.86 %</w:t>
            </w:r>
          </w:p>
        </w:tc>
      </w:tr>
      <w:tr>
        <w:trPr>
          <w:trHeight w:val="306"/>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Expected volatility</w:t>
            </w: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54.46 %</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ind w:left="540"/>
              <w:spacing w:after="0"/>
              <w:rPr>
                <w:sz w:val="20"/>
                <w:szCs w:val="20"/>
                <w:color w:val="auto"/>
              </w:rPr>
            </w:pPr>
            <w:r>
              <w:rPr>
                <w:rFonts w:ascii="Times New Roman" w:cs="Times New Roman" w:eastAsia="Times New Roman" w:hAnsi="Times New Roman"/>
                <w:sz w:val="20"/>
                <w:szCs w:val="20"/>
                <w:color w:val="454546"/>
              </w:rPr>
              <w:t>— %</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45.89 %</w:t>
            </w:r>
          </w:p>
        </w:tc>
      </w:tr>
      <w:tr>
        <w:trPr>
          <w:trHeight w:val="28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Expected life in years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5.27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-778510</wp:posOffset>
            </wp:positionV>
            <wp:extent cx="2632075"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68">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spacing w:after="0" w:line="2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Significant option groups outstanding at December 31, 2025 and the related weighted average exercise price and life information were as follows: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79</w:t>
      </w:r>
    </w:p>
    <w:p>
      <w:pPr>
        <w:sectPr>
          <w:pgSz w:w="11880" w:h="15480" w:orient="portrait"/>
          <w:cols w:equalWidth="0" w:num="1">
            <w:col w:w="10260"/>
          </w:cols>
          <w:pgMar w:left="820" w:top="213" w:right="800" w:bottom="0" w:gutter="0" w:footer="0" w:header="0"/>
          <w:type w:val="continuous"/>
        </w:sectPr>
      </w:pPr>
    </w:p>
    <w:bookmarkStart w:id="83" w:name="page84"/>
    <w:bookmarkEnd w:id="83"/>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1100" w:type="dxa"/>
            <w:vAlign w:val="bottom"/>
            <w:tcBorders>
              <w:bottom w:val="single" w:sz="8" w:color="454546"/>
            </w:tcBorders>
          </w:tcPr>
          <w:p>
            <w:pPr>
              <w:spacing w:after="0"/>
              <w:rPr>
                <w:sz w:val="18"/>
                <w:szCs w:val="18"/>
                <w:color w:val="auto"/>
              </w:rPr>
            </w:pPr>
          </w:p>
        </w:tc>
        <w:tc>
          <w:tcPr>
            <w:tcW w:w="16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rPr>
              <w:t>Options Outstanding</w:t>
            </w:r>
          </w:p>
        </w:tc>
        <w:tc>
          <w:tcPr>
            <w:tcW w:w="200" w:type="dxa"/>
            <w:vAlign w:val="bottom"/>
            <w:tcBorders>
              <w:bottom w:val="single" w:sz="8" w:color="454546"/>
            </w:tcBorders>
          </w:tcPr>
          <w:p>
            <w:pPr>
              <w:spacing w:after="0"/>
              <w:rPr>
                <w:sz w:val="18"/>
                <w:szCs w:val="18"/>
                <w:color w:val="auto"/>
              </w:rPr>
            </w:pPr>
          </w:p>
        </w:tc>
        <w:tc>
          <w:tcPr>
            <w:tcW w:w="960" w:type="dxa"/>
            <w:vAlign w:val="bottom"/>
            <w:tcBorders>
              <w:bottom w:val="single" w:sz="8" w:color="454546"/>
            </w:tcBorders>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Borders>
              <w:bottom w:val="single" w:sz="8" w:color="454546"/>
            </w:tcBorders>
            <w:gridSpan w:val="3"/>
          </w:tcPr>
          <w:p>
            <w:pPr>
              <w:jc w:val="right"/>
              <w:ind w:right="407"/>
              <w:spacing w:after="0"/>
              <w:rPr>
                <w:sz w:val="20"/>
                <w:szCs w:val="20"/>
                <w:color w:val="auto"/>
              </w:rPr>
            </w:pPr>
            <w:r>
              <w:rPr>
                <w:rFonts w:ascii="Times New Roman" w:cs="Times New Roman" w:eastAsia="Times New Roman" w:hAnsi="Times New Roman"/>
                <w:sz w:val="16"/>
                <w:szCs w:val="16"/>
                <w:b w:val="1"/>
                <w:bCs w:val="1"/>
                <w:color w:val="454546"/>
              </w:rPr>
              <w:t>Options Exercisable</w:t>
            </w: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Number</w:t>
            </w:r>
          </w:p>
        </w:tc>
        <w:tc>
          <w:tcPr>
            <w:tcW w:w="16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454546"/>
                <w:w w:val="99"/>
              </w:rPr>
              <w:t>Weighted-Average</w:t>
            </w:r>
          </w:p>
        </w:tc>
        <w:tc>
          <w:tcPr>
            <w:tcW w:w="200" w:type="dxa"/>
            <w:vAlign w:val="bottom"/>
          </w:tcPr>
          <w:p>
            <w:pPr>
              <w:spacing w:after="0"/>
              <w:rPr>
                <w:sz w:val="15"/>
                <w:szCs w:val="15"/>
                <w:color w:val="auto"/>
              </w:rPr>
            </w:pPr>
          </w:p>
        </w:tc>
        <w:tc>
          <w:tcPr>
            <w:tcW w:w="960" w:type="dxa"/>
            <w:vAlign w:val="bottom"/>
            <w:vMerge w:val="restart"/>
          </w:tcPr>
          <w:p>
            <w:pPr>
              <w:jc w:val="center"/>
              <w:ind w:right="87"/>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8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Number</w:t>
            </w:r>
          </w:p>
        </w:tc>
        <w:tc>
          <w:tcPr>
            <w:tcW w:w="260" w:type="dxa"/>
            <w:vAlign w:val="bottom"/>
          </w:tcPr>
          <w:p>
            <w:pPr>
              <w:spacing w:after="0"/>
              <w:rPr>
                <w:sz w:val="15"/>
                <w:szCs w:val="15"/>
                <w:color w:val="auto"/>
              </w:rPr>
            </w:pPr>
          </w:p>
        </w:tc>
        <w:tc>
          <w:tcPr>
            <w:tcW w:w="960" w:type="dxa"/>
            <w:vAlign w:val="bottom"/>
            <w:vMerge w:val="restart"/>
          </w:tcPr>
          <w:p>
            <w:pPr>
              <w:jc w:val="center"/>
              <w:ind w:right="107"/>
              <w:spacing w:after="0"/>
              <w:rPr>
                <w:sz w:val="20"/>
                <w:szCs w:val="20"/>
                <w:color w:val="auto"/>
              </w:rPr>
            </w:pPr>
            <w:r>
              <w:rPr>
                <w:rFonts w:ascii="Times New Roman" w:cs="Times New Roman" w:eastAsia="Times New Roman" w:hAnsi="Times New Roman"/>
                <w:sz w:val="16"/>
                <w:szCs w:val="16"/>
                <w:b w:val="1"/>
                <w:bCs w:val="1"/>
                <w:color w:val="454546"/>
              </w:rPr>
              <w:t>Weighted-</w:t>
            </w: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20" w:type="dxa"/>
            <w:vAlign w:val="bottom"/>
          </w:tcPr>
          <w:p>
            <w:pPr>
              <w:jc w:val="right"/>
              <w:ind w:right="371"/>
              <w:spacing w:after="0" w:line="160" w:lineRule="exact"/>
              <w:rPr>
                <w:sz w:val="20"/>
                <w:szCs w:val="20"/>
                <w:color w:val="auto"/>
              </w:rPr>
            </w:pPr>
            <w:r>
              <w:rPr>
                <w:rFonts w:ascii="Times New Roman" w:cs="Times New Roman" w:eastAsia="Times New Roman" w:hAnsi="Times New Roman"/>
                <w:sz w:val="16"/>
                <w:szCs w:val="16"/>
                <w:b w:val="1"/>
                <w:bCs w:val="1"/>
                <w:color w:val="454546"/>
              </w:rPr>
              <w:t>Remaining</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Range of Exercise Prices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Outstanding</w:t>
            </w: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Contractual Term</w:t>
            </w:r>
          </w:p>
        </w:tc>
        <w:tc>
          <w:tcPr>
            <w:tcW w:w="200" w:type="dxa"/>
            <w:vAlign w:val="bottom"/>
          </w:tcPr>
          <w:p>
            <w:pPr>
              <w:spacing w:after="0"/>
              <w:rPr>
                <w:sz w:val="13"/>
                <w:szCs w:val="13"/>
                <w:color w:val="auto"/>
              </w:rPr>
            </w:pPr>
          </w:p>
        </w:tc>
        <w:tc>
          <w:tcPr>
            <w:tcW w:w="960" w:type="dxa"/>
            <w:vAlign w:val="bottom"/>
          </w:tcPr>
          <w:p>
            <w:pPr>
              <w:jc w:val="center"/>
              <w:ind w:right="87"/>
              <w:spacing w:after="0" w:line="160" w:lineRule="exact"/>
              <w:rPr>
                <w:sz w:val="20"/>
                <w:szCs w:val="20"/>
                <w:color w:val="auto"/>
              </w:rPr>
            </w:pPr>
            <w:r>
              <w:rPr>
                <w:rFonts w:ascii="Times New Roman" w:cs="Times New Roman" w:eastAsia="Times New Roman" w:hAnsi="Times New Roman"/>
                <w:sz w:val="16"/>
                <w:szCs w:val="16"/>
                <w:b w:val="1"/>
                <w:bCs w:val="1"/>
                <w:color w:val="454546"/>
              </w:rPr>
              <w:t>Average</w:t>
            </w:r>
          </w:p>
        </w:tc>
        <w:tc>
          <w:tcPr>
            <w:tcW w:w="8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Exercisable</w:t>
            </w:r>
          </w:p>
        </w:tc>
        <w:tc>
          <w:tcPr>
            <w:tcW w:w="260" w:type="dxa"/>
            <w:vAlign w:val="bottom"/>
          </w:tcPr>
          <w:p>
            <w:pPr>
              <w:spacing w:after="0"/>
              <w:rPr>
                <w:sz w:val="13"/>
                <w:szCs w:val="13"/>
                <w:color w:val="auto"/>
              </w:rPr>
            </w:pPr>
          </w:p>
        </w:tc>
        <w:tc>
          <w:tcPr>
            <w:tcW w:w="960" w:type="dxa"/>
            <w:vAlign w:val="bottom"/>
          </w:tcPr>
          <w:p>
            <w:pPr>
              <w:jc w:val="center"/>
              <w:ind w:right="107"/>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Average</w:t>
            </w:r>
          </w:p>
        </w:tc>
        <w:tc>
          <w:tcPr>
            <w:tcW w:w="0" w:type="dxa"/>
            <w:vAlign w:val="bottom"/>
          </w:tcPr>
          <w:p>
            <w:pPr>
              <w:spacing w:after="0"/>
              <w:rPr>
                <w:sz w:val="1"/>
                <w:szCs w:val="1"/>
                <w:color w:val="auto"/>
              </w:rPr>
            </w:pPr>
          </w:p>
        </w:tc>
      </w:tr>
      <w:tr>
        <w:trPr>
          <w:trHeight w:val="217"/>
        </w:trPr>
        <w:tc>
          <w:tcPr>
            <w:tcW w:w="39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(in 000's)</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(in years)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rPr>
              <w:t>Exercise Price</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(in 000's)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Exercise Price</w:t>
            </w:r>
          </w:p>
        </w:tc>
        <w:tc>
          <w:tcPr>
            <w:tcW w:w="0" w:type="dxa"/>
            <w:vAlign w:val="bottom"/>
          </w:tcPr>
          <w:p>
            <w:pPr>
              <w:spacing w:after="0"/>
              <w:rPr>
                <w:sz w:val="1"/>
                <w:szCs w:val="1"/>
                <w:color w:val="auto"/>
              </w:rPr>
            </w:pPr>
          </w:p>
        </w:tc>
      </w:tr>
      <w:tr>
        <w:trPr>
          <w:trHeight w:val="307"/>
        </w:trPr>
        <w:tc>
          <w:tcPr>
            <w:tcW w:w="3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$2.97 to $3.21</w:t>
            </w:r>
          </w:p>
        </w:tc>
        <w:tc>
          <w:tcPr>
            <w:tcW w:w="1100" w:type="dxa"/>
            <w:vAlign w:val="bottom"/>
            <w:shd w:val="clear" w:color="auto" w:fill="E3E4E5"/>
          </w:tcPr>
          <w:p>
            <w:pPr>
              <w:jc w:val="right"/>
              <w:ind w:right="9"/>
              <w:spacing w:after="0"/>
              <w:rPr>
                <w:sz w:val="20"/>
                <w:szCs w:val="20"/>
                <w:color w:val="auto"/>
              </w:rPr>
            </w:pPr>
            <w:r>
              <w:rPr>
                <w:rFonts w:ascii="Times New Roman" w:cs="Times New Roman" w:eastAsia="Times New Roman" w:hAnsi="Times New Roman"/>
                <w:sz w:val="20"/>
                <w:szCs w:val="20"/>
                <w:color w:val="454546"/>
              </w:rPr>
              <w:t>280</w:t>
            </w:r>
          </w:p>
        </w:tc>
        <w:tc>
          <w:tcPr>
            <w:tcW w:w="1620" w:type="dxa"/>
            <w:vAlign w:val="bottom"/>
            <w:shd w:val="clear" w:color="auto" w:fill="E3E4E5"/>
          </w:tcPr>
          <w:p>
            <w:pPr>
              <w:jc w:val="right"/>
              <w:ind w:right="11"/>
              <w:spacing w:after="0"/>
              <w:rPr>
                <w:sz w:val="20"/>
                <w:szCs w:val="20"/>
                <w:color w:val="auto"/>
              </w:rPr>
            </w:pPr>
            <w:r>
              <w:rPr>
                <w:rFonts w:ascii="Times New Roman" w:cs="Times New Roman" w:eastAsia="Times New Roman" w:hAnsi="Times New Roman"/>
                <w:sz w:val="20"/>
                <w:szCs w:val="20"/>
                <w:color w:val="454546"/>
              </w:rPr>
              <w:t>9.92</w:t>
            </w:r>
          </w:p>
        </w:tc>
        <w:tc>
          <w:tcPr>
            <w:tcW w:w="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3.07</w:t>
            </w:r>
          </w:p>
        </w:tc>
        <w:tc>
          <w:tcPr>
            <w:tcW w:w="8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ind w:right="7"/>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94"/>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$24.77 to $34.56</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454546"/>
              </w:rPr>
              <w:t>411</w:t>
            </w: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454546"/>
              </w:rPr>
              <w:t>2.83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27.66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411</w:t>
            </w:r>
          </w:p>
        </w:tc>
        <w:tc>
          <w:tcPr>
            <w:tcW w:w="2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27.66</w:t>
            </w:r>
          </w:p>
        </w:tc>
        <w:tc>
          <w:tcPr>
            <w:tcW w:w="0" w:type="dxa"/>
            <w:vAlign w:val="bottom"/>
          </w:tcPr>
          <w:p>
            <w:pPr>
              <w:spacing w:after="0"/>
              <w:rPr>
                <w:sz w:val="1"/>
                <w:szCs w:val="1"/>
                <w:color w:val="auto"/>
              </w:rPr>
            </w:pPr>
          </w:p>
        </w:tc>
      </w:tr>
      <w:tr>
        <w:trPr>
          <w:trHeight w:val="296"/>
        </w:trPr>
        <w:tc>
          <w:tcPr>
            <w:tcW w:w="39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$46.17 to $59.43</w:t>
            </w:r>
          </w:p>
        </w:tc>
        <w:tc>
          <w:tcPr>
            <w:tcW w:w="1100" w:type="dxa"/>
            <w:vAlign w:val="bottom"/>
            <w:tcBorders>
              <w:bottom w:val="single" w:sz="8" w:color="454546"/>
            </w:tcBorders>
            <w:shd w:val="clear" w:color="auto" w:fill="E3E4E5"/>
          </w:tcPr>
          <w:p>
            <w:pPr>
              <w:jc w:val="right"/>
              <w:ind w:right="9"/>
              <w:spacing w:after="0"/>
              <w:rPr>
                <w:sz w:val="20"/>
                <w:szCs w:val="20"/>
                <w:color w:val="auto"/>
              </w:rPr>
            </w:pPr>
            <w:r>
              <w:rPr>
                <w:rFonts w:ascii="Times New Roman" w:cs="Times New Roman" w:eastAsia="Times New Roman" w:hAnsi="Times New Roman"/>
                <w:sz w:val="20"/>
                <w:szCs w:val="20"/>
                <w:color w:val="454546"/>
              </w:rPr>
              <w:t>165</w:t>
            </w:r>
          </w:p>
        </w:tc>
        <w:tc>
          <w:tcPr>
            <w:tcW w:w="1620" w:type="dxa"/>
            <w:vAlign w:val="bottom"/>
            <w:tcBorders>
              <w:bottom w:val="single" w:sz="8" w:color="E3E4E5"/>
            </w:tcBorders>
            <w:shd w:val="clear" w:color="auto" w:fill="E3E4E5"/>
          </w:tcPr>
          <w:p>
            <w:pPr>
              <w:jc w:val="right"/>
              <w:ind w:right="11"/>
              <w:spacing w:after="0"/>
              <w:rPr>
                <w:sz w:val="20"/>
                <w:szCs w:val="20"/>
                <w:color w:val="auto"/>
              </w:rPr>
            </w:pPr>
            <w:r>
              <w:rPr>
                <w:rFonts w:ascii="Times New Roman" w:cs="Times New Roman" w:eastAsia="Times New Roman" w:hAnsi="Times New Roman"/>
                <w:sz w:val="20"/>
                <w:szCs w:val="20"/>
                <w:color w:val="454546"/>
              </w:rPr>
              <w:t>2.24</w:t>
            </w:r>
          </w:p>
        </w:tc>
        <w:tc>
          <w:tcPr>
            <w:tcW w:w="200" w:type="dxa"/>
            <w:vAlign w:val="bottom"/>
            <w:tcBorders>
              <w:bottom w:val="single" w:sz="8" w:color="E3E4E5"/>
            </w:tcBorders>
            <w:shd w:val="clear" w:color="auto" w:fill="E3E4E5"/>
          </w:tcPr>
          <w:p>
            <w:pPr>
              <w:spacing w:after="0"/>
              <w:rPr>
                <w:sz w:val="24"/>
                <w:szCs w:val="24"/>
                <w:color w:val="auto"/>
              </w:rPr>
            </w:pPr>
          </w:p>
        </w:tc>
        <w:tc>
          <w:tcPr>
            <w:tcW w:w="9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51.93</w:t>
            </w:r>
          </w:p>
        </w:tc>
        <w:tc>
          <w:tcPr>
            <w:tcW w:w="80" w:type="dxa"/>
            <w:vAlign w:val="bottom"/>
            <w:tcBorders>
              <w:bottom w:val="single" w:sz="8" w:color="E3E4E5"/>
            </w:tcBorders>
            <w:shd w:val="clear" w:color="auto" w:fill="E3E4E5"/>
          </w:tcPr>
          <w:p>
            <w:pPr>
              <w:spacing w:after="0"/>
              <w:rPr>
                <w:sz w:val="24"/>
                <w:szCs w:val="24"/>
                <w:color w:val="auto"/>
              </w:rPr>
            </w:pPr>
          </w:p>
        </w:tc>
        <w:tc>
          <w:tcPr>
            <w:tcW w:w="1140" w:type="dxa"/>
            <w:vAlign w:val="bottom"/>
            <w:tcBorders>
              <w:bottom w:val="single" w:sz="8" w:color="454546"/>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165</w:t>
            </w:r>
          </w:p>
        </w:tc>
        <w:tc>
          <w:tcPr>
            <w:tcW w:w="260" w:type="dxa"/>
            <w:vAlign w:val="bottom"/>
            <w:tcBorders>
              <w:bottom w:val="single" w:sz="8" w:color="E3E4E5"/>
            </w:tcBorders>
            <w:shd w:val="clear" w:color="auto" w:fill="E3E4E5"/>
          </w:tcPr>
          <w:p>
            <w:pPr>
              <w:spacing w:after="0"/>
              <w:rPr>
                <w:sz w:val="24"/>
                <w:szCs w:val="24"/>
                <w:color w:val="auto"/>
              </w:rPr>
            </w:pPr>
          </w:p>
        </w:tc>
        <w:tc>
          <w:tcPr>
            <w:tcW w:w="960" w:type="dxa"/>
            <w:vAlign w:val="bottom"/>
            <w:tcBorders>
              <w:bottom w:val="single" w:sz="8" w:color="E3E4E5"/>
            </w:tcBorders>
            <w:shd w:val="clear" w:color="auto" w:fill="E3E4E5"/>
          </w:tcPr>
          <w:p>
            <w:pPr>
              <w:jc w:val="right"/>
              <w:ind w:right="7"/>
              <w:spacing w:after="0"/>
              <w:rPr>
                <w:sz w:val="20"/>
                <w:szCs w:val="20"/>
                <w:color w:val="auto"/>
              </w:rPr>
            </w:pPr>
            <w:r>
              <w:rPr>
                <w:rFonts w:ascii="Times New Roman" w:cs="Times New Roman" w:eastAsia="Times New Roman" w:hAnsi="Times New Roman"/>
                <w:sz w:val="20"/>
                <w:szCs w:val="20"/>
                <w:color w:val="454546"/>
              </w:rPr>
              <w:t>51.93</w:t>
            </w:r>
          </w:p>
        </w:tc>
        <w:tc>
          <w:tcPr>
            <w:tcW w:w="0" w:type="dxa"/>
            <w:vAlign w:val="bottom"/>
          </w:tcPr>
          <w:p>
            <w:pPr>
              <w:spacing w:after="0"/>
              <w:rPr>
                <w:sz w:val="1"/>
                <w:szCs w:val="1"/>
                <w:color w:val="auto"/>
              </w:rPr>
            </w:pPr>
          </w:p>
        </w:tc>
      </w:tr>
      <w:tr>
        <w:trPr>
          <w:trHeight w:val="260"/>
        </w:trPr>
        <w:tc>
          <w:tcPr>
            <w:tcW w:w="3940" w:type="dxa"/>
            <w:vAlign w:val="bottom"/>
          </w:tcPr>
          <w:p>
            <w:pPr>
              <w:spacing w:after="0"/>
              <w:rPr>
                <w:sz w:val="22"/>
                <w:szCs w:val="22"/>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454546"/>
              </w:rPr>
              <w:t>856</w:t>
            </w: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454546"/>
              </w:rPr>
              <w:t>4.96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576</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454546"/>
              </w:rPr>
              <w:t>34.61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tcBorders>
              <w:top w:val="single" w:sz="8" w:color="454546"/>
              <w:bottom w:val="single" w:sz="8" w:color="454546"/>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454546"/>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-234315</wp:posOffset>
            </wp:positionV>
            <wp:extent cx="746125"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69">
                      <a:extLst>
                        <a:ext uri="{28A0092B-C50C-407E-A947-70E740481C1C}"/>
                      </a:extLst>
                    </a:blip>
                    <a:srcRect/>
                    <a:stretch>
                      <a:fillRect/>
                    </a:stretch>
                  </pic:blipFill>
                  <pic:spPr bwMode="auto">
                    <a:xfrm>
                      <a:off x="0" y="0"/>
                      <a:ext cx="7461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-234315</wp:posOffset>
            </wp:positionV>
            <wp:extent cx="774700"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70">
                      <a:extLst>
                        <a:ext uri="{28A0092B-C50C-407E-A947-70E740481C1C}"/>
                      </a:extLst>
                    </a:blip>
                    <a:srcRect/>
                    <a:stretch>
                      <a:fillRect/>
                    </a:stretch>
                  </pic:blipFill>
                  <pic:spPr bwMode="auto">
                    <a:xfrm>
                      <a:off x="0" y="0"/>
                      <a:ext cx="774700" cy="508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As of December 31, 2025, we expect to recognize $0.5 million of total unrecognized pre-tax stock-based compensation expense related to non-vested stock options over a remaining weighted-average life of 2.8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Stock Incentive Plans</w:t>
      </w: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Our active stock-based incentive plan was adopted in 2018 ("Stock Incentive Plan"). Under the Stock Incentive Plan, we may grant restricted stock units, performance stock units, stock options, stock appreciation rights, or any combination thereof for a period of ten years from the approval date of each respective plan, unless the plan is terminated by resolution of our Board. No stock appreciation rights have been awarded under our Stock Incentive Plan as of December 31, 2025. Only directors and employees meeting certain employment qualifications are eligible to receive stock-based awards.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The grant price of restricted stock and stock option awards granted under our Stock Incentive Plan is the average of the high and low trades of our stock on the grant date. We prohibit the re-pricing or backdating of stock options. Restricted stock awards vest in various proportions over a one- to three-year time period. Our stock options become exercisable in various proportions over a three-year time frame. Stock options have a maximum ten-year term. Our performance stock awards vest in various proportions over a three to five-year term, subject to a service condition and stock price-based market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Detailed information regarding our active Stock Incentive Plans was as follows at December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Total Shares</w:t>
            </w:r>
          </w:p>
        </w:tc>
        <w:tc>
          <w:tcPr>
            <w:tcW w:w="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Remaining Shares</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Outstanding Shares</w:t>
            </w:r>
          </w:p>
        </w:tc>
        <w:tc>
          <w:tcPr>
            <w:tcW w:w="0" w:type="dxa"/>
            <w:vAlign w:val="bottom"/>
          </w:tcPr>
          <w:p>
            <w:pPr>
              <w:spacing w:after="0"/>
              <w:rPr>
                <w:sz w:val="1"/>
                <w:szCs w:val="1"/>
                <w:color w:val="auto"/>
              </w:rPr>
            </w:pPr>
          </w:p>
        </w:tc>
      </w:tr>
      <w:tr>
        <w:trPr>
          <w:trHeight w:val="160"/>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Name</w:t>
            </w:r>
          </w:p>
        </w:tc>
        <w:tc>
          <w:tcPr>
            <w:tcW w:w="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Approval Date</w:t>
            </w:r>
          </w:p>
        </w:tc>
        <w:tc>
          <w:tcPr>
            <w:tcW w:w="8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Available for Grant</w:t>
            </w:r>
          </w:p>
        </w:tc>
        <w:tc>
          <w:tcPr>
            <w:tcW w:w="6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Available for Grant</w:t>
            </w:r>
          </w:p>
        </w:tc>
        <w:tc>
          <w:tcPr>
            <w:tcW w:w="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Granted</w:t>
            </w:r>
          </w:p>
        </w:tc>
        <w:tc>
          <w:tcPr>
            <w:tcW w:w="0" w:type="dxa"/>
            <w:vAlign w:val="bottom"/>
          </w:tcPr>
          <w:p>
            <w:pPr>
              <w:spacing w:after="0"/>
              <w:rPr>
                <w:sz w:val="1"/>
                <w:szCs w:val="1"/>
                <w:color w:val="auto"/>
              </w:rPr>
            </w:pPr>
          </w:p>
        </w:tc>
      </w:tr>
      <w:tr>
        <w:trPr>
          <w:trHeight w:val="214"/>
        </w:trPr>
        <w:tc>
          <w:tcPr>
            <w:tcW w:w="4080" w:type="dxa"/>
            <w:vAlign w:val="bottom"/>
            <w:tcBorders>
              <w:bottom w:val="single" w:sz="8" w:color="454546"/>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60" w:type="dxa"/>
            <w:vAlign w:val="bottom"/>
            <w:tcBorders>
              <w:bottom w:val="single" w:sz="8" w:color="454546"/>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5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Under the Plan</w:t>
            </w:r>
          </w:p>
        </w:tc>
        <w:tc>
          <w:tcPr>
            <w:tcW w:w="60" w:type="dxa"/>
            <w:vAlign w:val="bottom"/>
            <w:tcBorders>
              <w:bottom w:val="single" w:sz="8" w:color="E3E4E5"/>
            </w:tcBorders>
          </w:tcPr>
          <w:p>
            <w:pPr>
              <w:spacing w:after="0"/>
              <w:rPr>
                <w:sz w:val="18"/>
                <w:szCs w:val="18"/>
                <w:color w:val="auto"/>
              </w:rPr>
            </w:pPr>
          </w:p>
        </w:tc>
        <w:tc>
          <w:tcPr>
            <w:tcW w:w="15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Under the Plan</w:t>
            </w:r>
          </w:p>
        </w:tc>
        <w:tc>
          <w:tcPr>
            <w:tcW w:w="60" w:type="dxa"/>
            <w:vAlign w:val="bottom"/>
            <w:tcBorders>
              <w:bottom w:val="single" w:sz="8" w:color="E3E4E5"/>
            </w:tcBorders>
          </w:tcPr>
          <w:p>
            <w:pPr>
              <w:spacing w:after="0"/>
              <w:rPr>
                <w:sz w:val="18"/>
                <w:szCs w:val="18"/>
                <w:color w:val="auto"/>
              </w:rPr>
            </w:pPr>
          </w:p>
        </w:tc>
        <w:tc>
          <w:tcPr>
            <w:tcW w:w="16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Under the Plan</w:t>
            </w:r>
          </w:p>
        </w:tc>
        <w:tc>
          <w:tcPr>
            <w:tcW w:w="0" w:type="dxa"/>
            <w:vAlign w:val="bottom"/>
          </w:tcPr>
          <w:p>
            <w:pPr>
              <w:spacing w:after="0"/>
              <w:rPr>
                <w:sz w:val="1"/>
                <w:szCs w:val="1"/>
                <w:color w:val="auto"/>
              </w:rPr>
            </w:pPr>
          </w:p>
        </w:tc>
      </w:tr>
      <w:tr>
        <w:trPr>
          <w:trHeight w:val="181"/>
        </w:trPr>
        <w:tc>
          <w:tcPr>
            <w:tcW w:w="4080" w:type="dxa"/>
            <w:vAlign w:val="bottom"/>
            <w:shd w:val="clear" w:color="auto" w:fill="E3E4E5"/>
          </w:tcPr>
          <w:p>
            <w:pPr>
              <w:ind w:left="40"/>
              <w:spacing w:after="0" w:line="182" w:lineRule="exact"/>
              <w:rPr>
                <w:sz w:val="20"/>
                <w:szCs w:val="20"/>
                <w:color w:val="auto"/>
              </w:rPr>
            </w:pPr>
            <w:r>
              <w:rPr>
                <w:rFonts w:ascii="Times New Roman" w:cs="Times New Roman" w:eastAsia="Times New Roman" w:hAnsi="Times New Roman"/>
                <w:sz w:val="20"/>
                <w:szCs w:val="20"/>
                <w:color w:val="454546"/>
              </w:rPr>
              <w:t>Amended and Restated 2018 Equity and</w:t>
            </w:r>
          </w:p>
        </w:tc>
        <w:tc>
          <w:tcPr>
            <w:tcW w:w="1240" w:type="dxa"/>
            <w:vAlign w:val="bottom"/>
            <w:gridSpan w:val="2"/>
            <w:vMerge w:val="restart"/>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6/11/2024</w:t>
            </w:r>
          </w:p>
        </w:tc>
        <w:tc>
          <w:tcPr>
            <w:tcW w:w="1640" w:type="dxa"/>
            <w:vAlign w:val="bottom"/>
            <w:gridSpan w:val="2"/>
            <w:vMerge w:val="restart"/>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3,391,794</w:t>
            </w:r>
          </w:p>
        </w:tc>
        <w:tc>
          <w:tcPr>
            <w:tcW w:w="60" w:type="dxa"/>
            <w:vAlign w:val="bottom"/>
            <w:shd w:val="clear" w:color="auto" w:fill="E3E4E5"/>
          </w:tcPr>
          <w:p>
            <w:pPr>
              <w:spacing w:after="0"/>
              <w:rPr>
                <w:sz w:val="15"/>
                <w:szCs w:val="15"/>
                <w:color w:val="auto"/>
              </w:rPr>
            </w:pPr>
          </w:p>
        </w:tc>
        <w:tc>
          <w:tcPr>
            <w:tcW w:w="1560" w:type="dxa"/>
            <w:vAlign w:val="bottom"/>
            <w:vMerge w:val="restart"/>
            <w:shd w:val="clear" w:color="auto" w:fill="E3E4E5"/>
          </w:tcPr>
          <w:p>
            <w:pPr>
              <w:ind w:left="126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vMerge w:val="restart"/>
            <w:shd w:val="clear" w:color="auto" w:fill="E3E4E5"/>
          </w:tcPr>
          <w:p>
            <w:pPr>
              <w:spacing w:after="0"/>
              <w:rPr>
                <w:sz w:val="15"/>
                <w:szCs w:val="15"/>
                <w:color w:val="auto"/>
              </w:rPr>
            </w:pPr>
          </w:p>
        </w:tc>
        <w:tc>
          <w:tcPr>
            <w:tcW w:w="1620" w:type="dxa"/>
            <w:vAlign w:val="bottom"/>
            <w:vMerge w:val="restart"/>
            <w:shd w:val="clear" w:color="auto" w:fill="E3E4E5"/>
          </w:tcPr>
          <w:p>
            <w:pPr>
              <w:jc w:val="right"/>
              <w:ind w:right="15"/>
              <w:spacing w:after="0"/>
              <w:rPr>
                <w:sz w:val="20"/>
                <w:szCs w:val="20"/>
                <w:color w:val="auto"/>
              </w:rPr>
            </w:pPr>
            <w:r>
              <w:rPr>
                <w:rFonts w:ascii="Times New Roman" w:cs="Times New Roman" w:eastAsia="Times New Roman" w:hAnsi="Times New Roman"/>
                <w:sz w:val="20"/>
                <w:szCs w:val="20"/>
                <w:color w:val="454546"/>
              </w:rPr>
              <w:t>2,094,545</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E3E4E5"/>
            </w:tcBorders>
            <w:shd w:val="clear" w:color="auto" w:fill="E3E4E5"/>
          </w:tcPr>
          <w:p>
            <w:pPr>
              <w:ind w:left="40"/>
              <w:spacing w:after="0" w:line="263" w:lineRule="exact"/>
              <w:rPr>
                <w:sz w:val="20"/>
                <w:szCs w:val="20"/>
                <w:color w:val="auto"/>
              </w:rPr>
            </w:pPr>
            <w:r>
              <w:rPr>
                <w:rFonts w:ascii="Times New Roman" w:cs="Times New Roman" w:eastAsia="Times New Roman" w:hAnsi="Times New Roman"/>
                <w:sz w:val="20"/>
                <w:szCs w:val="20"/>
                <w:color w:val="454546"/>
              </w:rPr>
              <w:t xml:space="preserve">Incentive Compensation Plan </w:t>
            </w:r>
            <w:r>
              <w:rPr>
                <w:rFonts w:ascii="Times New Roman" w:cs="Times New Roman" w:eastAsia="Times New Roman" w:hAnsi="Times New Roman"/>
                <w:sz w:val="26"/>
                <w:szCs w:val="26"/>
                <w:color w:val="454546"/>
                <w:vertAlign w:val="superscript"/>
              </w:rPr>
              <w:t>(1)</w:t>
            </w:r>
          </w:p>
        </w:tc>
        <w:tc>
          <w:tcPr>
            <w:tcW w:w="1240" w:type="dxa"/>
            <w:vAlign w:val="bottom"/>
            <w:tcBorders>
              <w:bottom w:val="single" w:sz="8" w:color="E3E4E5"/>
            </w:tcBorders>
            <w:gridSpan w:val="2"/>
            <w:vMerge w:val="continue"/>
            <w:shd w:val="clear" w:color="auto" w:fill="E3E4E5"/>
          </w:tcPr>
          <w:p>
            <w:pPr>
              <w:spacing w:after="0"/>
              <w:rPr>
                <w:sz w:val="22"/>
                <w:szCs w:val="22"/>
                <w:color w:val="auto"/>
              </w:rPr>
            </w:pPr>
          </w:p>
        </w:tc>
        <w:tc>
          <w:tcPr>
            <w:tcW w:w="1640" w:type="dxa"/>
            <w:vAlign w:val="bottom"/>
            <w:tcBorders>
              <w:bottom w:val="single" w:sz="8" w:color="E3E4E5"/>
            </w:tcBorders>
            <w:gridSpan w:val="2"/>
            <w:vMerge w:val="continue"/>
            <w:shd w:val="clear" w:color="auto" w:fill="E3E4E5"/>
          </w:tcPr>
          <w:p>
            <w:pPr>
              <w:spacing w:after="0"/>
              <w:rPr>
                <w:sz w:val="22"/>
                <w:szCs w:val="22"/>
                <w:color w:val="auto"/>
              </w:rPr>
            </w:pPr>
          </w:p>
        </w:tc>
        <w:tc>
          <w:tcPr>
            <w:tcW w:w="60" w:type="dxa"/>
            <w:vAlign w:val="bottom"/>
            <w:tcBorders>
              <w:bottom w:val="single" w:sz="8" w:color="E3E4E5"/>
            </w:tcBorders>
            <w:shd w:val="clear" w:color="auto" w:fill="E3E4E5"/>
          </w:tcPr>
          <w:p>
            <w:pPr>
              <w:spacing w:after="0"/>
              <w:rPr>
                <w:sz w:val="22"/>
                <w:szCs w:val="22"/>
                <w:color w:val="auto"/>
              </w:rPr>
            </w:pPr>
          </w:p>
        </w:tc>
        <w:tc>
          <w:tcPr>
            <w:tcW w:w="1560" w:type="dxa"/>
            <w:vAlign w:val="bottom"/>
            <w:tcBorders>
              <w:bottom w:val="single" w:sz="8" w:color="454546"/>
            </w:tcBorders>
            <w:vMerge w:val="continue"/>
            <w:shd w:val="clear" w:color="auto" w:fill="E3E4E5"/>
          </w:tcPr>
          <w:p>
            <w:pPr>
              <w:spacing w:after="0"/>
              <w:rPr>
                <w:sz w:val="22"/>
                <w:szCs w:val="22"/>
                <w:color w:val="auto"/>
              </w:rPr>
            </w:pPr>
          </w:p>
        </w:tc>
        <w:tc>
          <w:tcPr>
            <w:tcW w:w="60" w:type="dxa"/>
            <w:vAlign w:val="bottom"/>
            <w:tcBorders>
              <w:bottom w:val="single" w:sz="8" w:color="E3E4E5"/>
            </w:tcBorders>
            <w:vMerge w:val="continue"/>
            <w:shd w:val="clear" w:color="auto" w:fill="E3E4E5"/>
          </w:tcPr>
          <w:p>
            <w:pPr>
              <w:spacing w:after="0"/>
              <w:rPr>
                <w:sz w:val="22"/>
                <w:szCs w:val="22"/>
                <w:color w:val="auto"/>
              </w:rPr>
            </w:pPr>
          </w:p>
        </w:tc>
        <w:tc>
          <w:tcPr>
            <w:tcW w:w="1620" w:type="dxa"/>
            <w:vAlign w:val="bottom"/>
            <w:tcBorders>
              <w:bottom w:val="single" w:sz="8" w:color="454546"/>
            </w:tcBorders>
            <w:vMerge w:val="continue"/>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ind w:left="1260"/>
              <w:spacing w:after="0"/>
              <w:rPr>
                <w:sz w:val="20"/>
                <w:szCs w:val="20"/>
                <w:color w:val="auto"/>
              </w:rPr>
            </w:pPr>
            <w:r>
              <w:rPr>
                <w:rFonts w:ascii="Times New Roman" w:cs="Times New Roman" w:eastAsia="Times New Roman" w:hAnsi="Times New Roman"/>
                <w:sz w:val="20"/>
                <w:szCs w:val="20"/>
                <w:color w:val="454546"/>
              </w:rPr>
              <w:t>—</w:t>
            </w:r>
          </w:p>
        </w:tc>
        <w:tc>
          <w:tcPr>
            <w:tcW w:w="168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454546"/>
              </w:rPr>
              <w:t>2,094,545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-529590</wp:posOffset>
            </wp:positionV>
            <wp:extent cx="6565900"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71">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-234315</wp:posOffset>
            </wp:positionV>
            <wp:extent cx="1063625"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72">
                      <a:extLst>
                        <a:ext uri="{28A0092B-C50C-407E-A947-70E740481C1C}"/>
                      </a:extLst>
                    </a:blip>
                    <a:srcRect/>
                    <a:stretch>
                      <a:fillRect/>
                    </a:stretch>
                  </pic:blipFill>
                  <pic:spPr bwMode="auto">
                    <a:xfrm>
                      <a:off x="0" y="0"/>
                      <a:ext cx="1063625" cy="50800"/>
                    </a:xfrm>
                    <a:prstGeom prst="rect">
                      <a:avLst/>
                    </a:prstGeom>
                    <a:noFill/>
                  </pic:spPr>
                </pic:pic>
              </a:graphicData>
            </a:graphic>
          </wp:anchor>
        </w:drawing>
      </w:r>
    </w:p>
    <w:p>
      <w:pPr>
        <w:spacing w:after="0" w:line="48" w:lineRule="exact"/>
        <w:rPr>
          <w:sz w:val="20"/>
          <w:szCs w:val="20"/>
          <w:color w:val="auto"/>
        </w:rPr>
      </w:pPr>
    </w:p>
    <w:p>
      <w:pPr>
        <w:jc w:val="both"/>
        <w:ind w:left="720" w:hanging="370"/>
        <w:spacing w:after="0" w:line="266" w:lineRule="auto"/>
        <w:tabs>
          <w:tab w:leader="none" w:pos="720" w:val="left"/>
        </w:tabs>
        <w:numPr>
          <w:ilvl w:val="0"/>
          <w:numId w:val="40"/>
        </w:numPr>
        <w:rPr>
          <w:rFonts w:ascii="Times New Roman" w:cs="Times New Roman" w:eastAsia="Times New Roman" w:hAnsi="Times New Roman"/>
          <w:sz w:val="12"/>
          <w:szCs w:val="12"/>
          <w:color w:val="454546"/>
        </w:rPr>
      </w:pPr>
      <w:r>
        <w:rPr>
          <w:rFonts w:ascii="Times New Roman" w:cs="Times New Roman" w:eastAsia="Times New Roman" w:hAnsi="Times New Roman"/>
          <w:sz w:val="20"/>
          <w:szCs w:val="20"/>
          <w:color w:val="454546"/>
        </w:rPr>
        <w:t>The 2018 Equity and Incentive Compensation Plan, as amended on June 8, 2021, was amended and restated on June 11, 2024 to create the Amended and Restated 2018 Equity and Incentive Compensation Plan which added an additional 1,000,000 shares.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80</w:t>
      </w:r>
    </w:p>
    <w:p>
      <w:pPr>
        <w:sectPr>
          <w:pgSz w:w="11880" w:h="15480" w:orient="portrait"/>
          <w:cols w:equalWidth="0" w:num="1">
            <w:col w:w="10260"/>
          </w:cols>
          <w:pgMar w:left="820" w:top="213" w:right="800" w:bottom="0" w:gutter="0" w:footer="0" w:header="0"/>
          <w:type w:val="continuous"/>
        </w:sectPr>
      </w:pPr>
    </w:p>
    <w:bookmarkStart w:id="84" w:name="page85"/>
    <w:bookmarkEnd w:id="84"/>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16 — Other Income (Expense), Net</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year ended December 31, 2025, in order to collect an open accounts receivable balance with an Argentine customer, we purchased $2.5 million and sold $2.3 million of BCS securities and incurred a loss on the transactions of $0.2 million which is recorded in other income (expense) on our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Other income (expense), net consisted of the following:</w:t>
      </w:r>
    </w:p>
    <w:p>
      <w:pPr>
        <w:sectPr>
          <w:pgSz w:w="11880" w:h="15480" w:orient="portrait"/>
          <w:cols w:equalWidth="0" w:num="1">
            <w:col w:w="10260"/>
          </w:cols>
          <w:pgMar w:left="820" w:top="213" w:right="800" w:bottom="0" w:gutter="0" w:footer="0" w:header="0"/>
        </w:sect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540500" cy="2063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7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454546"/>
        </w:rPr>
        <w:t xml:space="preserve">Net gain (loss) on foreign currency exchange contracts </w:t>
      </w:r>
      <w:r>
        <w:rPr>
          <w:rFonts w:ascii="Times New Roman" w:cs="Times New Roman" w:eastAsia="Times New Roman" w:hAnsi="Times New Roman"/>
          <w:sz w:val="25"/>
          <w:szCs w:val="25"/>
          <w:color w:val="454546"/>
          <w:vertAlign w:val="superscript"/>
        </w:rPr>
        <w:t>(1)</w:t>
      </w:r>
    </w:p>
    <w:p>
      <w:pPr>
        <w:ind w:left="40"/>
        <w:spacing w:after="0"/>
        <w:rPr>
          <w:sz w:val="20"/>
          <w:szCs w:val="20"/>
          <w:color w:val="auto"/>
        </w:rPr>
      </w:pPr>
      <w:r>
        <w:rPr>
          <w:rFonts w:ascii="Times New Roman" w:cs="Times New Roman" w:eastAsia="Times New Roman" w:hAnsi="Times New Roman"/>
          <w:sz w:val="20"/>
          <w:szCs w:val="20"/>
          <w:color w:val="454546"/>
        </w:rPr>
        <w:t>Net gain (loss) on foreign currency exchange transactions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 xml:space="preserve">Other income (expense) </w:t>
      </w:r>
      <w:r>
        <w:rPr>
          <w:rFonts w:ascii="Times New Roman" w:cs="Times New Roman" w:eastAsia="Times New Roman" w:hAnsi="Times New Roman"/>
          <w:sz w:val="26"/>
          <w:szCs w:val="26"/>
          <w:color w:val="454546"/>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540500" cy="2063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74">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0"/>
          <w:szCs w:val="20"/>
          <w:color w:val="454546"/>
        </w:rPr>
        <w:t>Other income (expense), net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454546"/>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58127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1275"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1pt" to="203.5pt,2.1pt" o:allowincell="f" strokecolor="#454546"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75"/>
        </w:trPr>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(271)</w:t>
            </w:r>
          </w:p>
        </w:tc>
        <w:tc>
          <w:tcPr>
            <w:tcW w:w="60" w:type="dxa"/>
            <w:vAlign w:val="bottom"/>
            <w:shd w:val="clear" w:color="auto" w:fill="E3E4E5"/>
          </w:tcPr>
          <w:p>
            <w:pPr>
              <w:spacing w:after="0"/>
              <w:rPr>
                <w:sz w:val="23"/>
                <w:szCs w:val="23"/>
                <w:color w:val="auto"/>
              </w:rPr>
            </w:pP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(727)</w:t>
            </w:r>
          </w:p>
        </w:tc>
        <w:tc>
          <w:tcPr>
            <w:tcW w:w="60" w:type="dxa"/>
            <w:vAlign w:val="bottom"/>
            <w:shd w:val="clear" w:color="auto" w:fill="E3E4E5"/>
          </w:tcPr>
          <w:p>
            <w:pPr>
              <w:spacing w:after="0"/>
              <w:rPr>
                <w:sz w:val="23"/>
                <w:szCs w:val="23"/>
                <w:color w:val="auto"/>
              </w:rPr>
            </w:pP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(3,238)</w:t>
            </w:r>
          </w:p>
        </w:tc>
      </w:tr>
      <w:tr>
        <w:trPr>
          <w:trHeight w:val="279"/>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(5,053)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403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(262)</w:t>
            </w:r>
          </w:p>
        </w:tc>
      </w:tr>
      <w:tr>
        <w:trPr>
          <w:trHeight w:val="281"/>
        </w:trPr>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703</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384</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879</w:t>
            </w:r>
          </w:p>
        </w:tc>
      </w:tr>
      <w:tr>
        <w:trPr>
          <w:trHeight w:val="245"/>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(4,621)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60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(2,621)</w:t>
            </w:r>
          </w:p>
        </w:tc>
      </w:tr>
      <w:tr>
        <w:trPr>
          <w:trHeight w:val="20"/>
        </w:trPr>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r>
    </w:tbl>
    <w:p>
      <w:pPr>
        <w:spacing w:after="0" w:line="68" w:lineRule="exact"/>
        <w:rPr>
          <w:sz w:val="20"/>
          <w:szCs w:val="20"/>
          <w:color w:val="auto"/>
        </w:rPr>
      </w:pPr>
    </w:p>
    <w:p>
      <w:pPr>
        <w:sectPr>
          <w:pgSz w:w="11880" w:h="15480" w:orient="portrait"/>
          <w:cols w:equalWidth="0" w:num="2">
            <w:col w:w="5460" w:space="720"/>
            <w:col w:w="4080"/>
          </w:cols>
          <w:pgMar w:left="820" w:top="213" w:right="800" w:bottom="0" w:gutter="0" w:footer="0" w:header="0"/>
          <w:type w:val="continuous"/>
        </w:sectPr>
      </w:pPr>
    </w:p>
    <w:p>
      <w:pPr>
        <w:ind w:left="720" w:hanging="370"/>
        <w:spacing w:after="0" w:line="226" w:lineRule="auto"/>
        <w:tabs>
          <w:tab w:leader="none" w:pos="720" w:val="left"/>
        </w:tabs>
        <w:numPr>
          <w:ilvl w:val="0"/>
          <w:numId w:val="41"/>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This represents the gains (losses) incurred on foreign currency hedging derivatives. See Note 18 for further information concerning our foreign currency exchange contracts.</w:t>
      </w:r>
    </w:p>
    <w:p>
      <w:pPr>
        <w:spacing w:after="0" w:line="41" w:lineRule="exact"/>
        <w:rPr>
          <w:rFonts w:ascii="Times New Roman" w:cs="Times New Roman" w:eastAsia="Times New Roman" w:hAnsi="Times New Roman"/>
          <w:sz w:val="26"/>
          <w:szCs w:val="26"/>
          <w:color w:val="454546"/>
          <w:vertAlign w:val="superscript"/>
        </w:rPr>
      </w:pPr>
    </w:p>
    <w:p>
      <w:pPr>
        <w:ind w:left="720" w:hanging="370"/>
        <w:spacing w:after="0" w:line="226" w:lineRule="auto"/>
        <w:tabs>
          <w:tab w:leader="none" w:pos="720" w:val="left"/>
        </w:tabs>
        <w:numPr>
          <w:ilvl w:val="0"/>
          <w:numId w:val="41"/>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Included in this amount is $0.2 million of loss related to BCS security transactions during the year ended December 31,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17 — Earnings (Loss) Per Share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Earnings (loss) per share was calculated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 except per-share amounts)</w:t>
            </w: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454546"/>
            </w:tcBorders>
          </w:tcPr>
          <w:p>
            <w:pPr>
              <w:spacing w:after="0"/>
              <w:rPr>
                <w:sz w:val="20"/>
                <w:szCs w:val="20"/>
                <w:color w:val="auto"/>
              </w:rPr>
            </w:pPr>
          </w:p>
        </w:tc>
        <w:tc>
          <w:tcPr>
            <w:tcW w:w="1000" w:type="dxa"/>
            <w:vAlign w:val="bottom"/>
            <w:tcBorders>
              <w:bottom w:val="single" w:sz="8" w:color="454546"/>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454546"/>
            </w:tcBorders>
          </w:tcPr>
          <w:p>
            <w:pPr>
              <w:spacing w:after="0"/>
              <w:rPr>
                <w:sz w:val="20"/>
                <w:szCs w:val="20"/>
                <w:color w:val="auto"/>
              </w:rPr>
            </w:pPr>
          </w:p>
        </w:tc>
        <w:tc>
          <w:tcPr>
            <w:tcW w:w="980" w:type="dxa"/>
            <w:vAlign w:val="bottom"/>
            <w:tcBorders>
              <w:bottom w:val="single" w:sz="8" w:color="454546"/>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0" w:type="dxa"/>
            <w:vAlign w:val="bottom"/>
          </w:tcPr>
          <w:p>
            <w:pPr>
              <w:spacing w:after="0"/>
              <w:rPr>
                <w:sz w:val="1"/>
                <w:szCs w:val="1"/>
                <w:color w:val="auto"/>
              </w:rPr>
            </w:pPr>
          </w:p>
        </w:tc>
      </w:tr>
      <w:tr>
        <w:trPr>
          <w:trHeight w:val="255"/>
        </w:trPr>
        <w:tc>
          <w:tcPr>
            <w:tcW w:w="6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454546"/>
              </w:rPr>
              <w:t>BASIC</w:t>
            </w:r>
          </w:p>
        </w:tc>
        <w:tc>
          <w:tcPr>
            <w:tcW w:w="320" w:type="dxa"/>
            <w:vAlign w:val="bottom"/>
            <w:tcBorders>
              <w:bottom w:val="single" w:sz="8" w:color="E3E4E5"/>
            </w:tcBorders>
            <w:shd w:val="clear" w:color="auto" w:fill="E3E4E5"/>
          </w:tcPr>
          <w:p>
            <w:pPr>
              <w:spacing w:after="0"/>
              <w:rPr>
                <w:sz w:val="22"/>
                <w:szCs w:val="22"/>
                <w:color w:val="auto"/>
              </w:rPr>
            </w:pPr>
          </w:p>
        </w:tc>
        <w:tc>
          <w:tcPr>
            <w:tcW w:w="1000" w:type="dxa"/>
            <w:vAlign w:val="bottom"/>
            <w:tcBorders>
              <w:bottom w:val="single" w:sz="8" w:color="E3E4E5"/>
            </w:tcBorders>
            <w:shd w:val="clear" w:color="auto" w:fill="E3E4E5"/>
          </w:tcPr>
          <w:p>
            <w:pPr>
              <w:spacing w:after="0"/>
              <w:rPr>
                <w:sz w:val="22"/>
                <w:szCs w:val="22"/>
                <w:color w:val="auto"/>
              </w:rPr>
            </w:pPr>
          </w:p>
        </w:tc>
        <w:tc>
          <w:tcPr>
            <w:tcW w:w="60" w:type="dxa"/>
            <w:vAlign w:val="bottom"/>
            <w:tcBorders>
              <w:bottom w:val="single" w:sz="8" w:color="E3E4E5"/>
            </w:tcBorders>
            <w:shd w:val="clear" w:color="auto" w:fill="E3E4E5"/>
          </w:tcPr>
          <w:p>
            <w:pPr>
              <w:spacing w:after="0"/>
              <w:rPr>
                <w:sz w:val="22"/>
                <w:szCs w:val="22"/>
                <w:color w:val="auto"/>
              </w:rPr>
            </w:pPr>
          </w:p>
        </w:tc>
        <w:tc>
          <w:tcPr>
            <w:tcW w:w="320" w:type="dxa"/>
            <w:vAlign w:val="bottom"/>
            <w:tcBorders>
              <w:bottom w:val="single" w:sz="8" w:color="E3E4E5"/>
            </w:tcBorders>
            <w:shd w:val="clear" w:color="auto" w:fill="E3E4E5"/>
          </w:tcPr>
          <w:p>
            <w:pPr>
              <w:spacing w:after="0"/>
              <w:rPr>
                <w:sz w:val="22"/>
                <w:szCs w:val="22"/>
                <w:color w:val="auto"/>
              </w:rPr>
            </w:pPr>
          </w:p>
        </w:tc>
        <w:tc>
          <w:tcPr>
            <w:tcW w:w="1000" w:type="dxa"/>
            <w:vAlign w:val="bottom"/>
            <w:tcBorders>
              <w:bottom w:val="single" w:sz="8" w:color="E3E4E5"/>
            </w:tcBorders>
            <w:shd w:val="clear" w:color="auto" w:fill="E3E4E5"/>
          </w:tcPr>
          <w:p>
            <w:pPr>
              <w:spacing w:after="0"/>
              <w:rPr>
                <w:sz w:val="22"/>
                <w:szCs w:val="22"/>
                <w:color w:val="auto"/>
              </w:rPr>
            </w:pPr>
          </w:p>
        </w:tc>
        <w:tc>
          <w:tcPr>
            <w:tcW w:w="60" w:type="dxa"/>
            <w:vAlign w:val="bottom"/>
            <w:tcBorders>
              <w:bottom w:val="single" w:sz="8" w:color="E3E4E5"/>
            </w:tcBorders>
            <w:shd w:val="clear" w:color="auto" w:fill="E3E4E5"/>
          </w:tcPr>
          <w:p>
            <w:pPr>
              <w:spacing w:after="0"/>
              <w:rPr>
                <w:sz w:val="22"/>
                <w:szCs w:val="22"/>
                <w:color w:val="auto"/>
              </w:rPr>
            </w:pPr>
          </w:p>
        </w:tc>
        <w:tc>
          <w:tcPr>
            <w:tcW w:w="340" w:type="dxa"/>
            <w:vAlign w:val="bottom"/>
            <w:tcBorders>
              <w:bottom w:val="single" w:sz="8" w:color="E3E4E5"/>
            </w:tcBorders>
            <w:shd w:val="clear" w:color="auto" w:fill="E3E4E5"/>
          </w:tcPr>
          <w:p>
            <w:pPr>
              <w:spacing w:after="0"/>
              <w:rPr>
                <w:sz w:val="22"/>
                <w:szCs w:val="22"/>
                <w:color w:val="auto"/>
              </w:rPr>
            </w:pPr>
          </w:p>
        </w:tc>
        <w:tc>
          <w:tcPr>
            <w:tcW w:w="980" w:type="dxa"/>
            <w:vAlign w:val="bottom"/>
            <w:tcBorders>
              <w:bottom w:val="single" w:sz="8" w:color="E3E4E5"/>
            </w:tcBorders>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Net income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(18,599)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(24,029)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(98,238)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Weighted-average common shares outstanding</w:t>
            </w: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13,172</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12,959</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12,855</w:t>
            </w:r>
          </w:p>
        </w:tc>
        <w:tc>
          <w:tcPr>
            <w:tcW w:w="0" w:type="dxa"/>
            <w:vAlign w:val="bottom"/>
          </w:tcPr>
          <w:p>
            <w:pPr>
              <w:spacing w:after="0"/>
              <w:rPr>
                <w:sz w:val="1"/>
                <w:szCs w:val="1"/>
                <w:color w:val="auto"/>
              </w:rPr>
            </w:pPr>
          </w:p>
        </w:tc>
      </w:tr>
      <w:tr>
        <w:trPr>
          <w:trHeight w:val="24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Basic earnings (loss) per share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(7.64)</w:t>
            </w:r>
          </w:p>
        </w:tc>
        <w:tc>
          <w:tcPr>
            <w:tcW w:w="0" w:type="dxa"/>
            <w:vAlign w:val="bottom"/>
          </w:tcPr>
          <w:p>
            <w:pPr>
              <w:spacing w:after="0"/>
              <w:rPr>
                <w:sz w:val="1"/>
                <w:szCs w:val="1"/>
                <w:color w:val="auto"/>
              </w:rPr>
            </w:pPr>
          </w:p>
        </w:tc>
      </w:tr>
      <w:tr>
        <w:trPr>
          <w:trHeight w:val="20"/>
        </w:trPr>
        <w:tc>
          <w:tcPr>
            <w:tcW w:w="6180" w:type="dxa"/>
            <w:vAlign w:val="bottom"/>
            <w:tcBorders>
              <w:bottom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180" w:type="dxa"/>
            <w:vAlign w:val="bottom"/>
            <w:shd w:val="clear" w:color="auto" w:fill="E3E4E5"/>
          </w:tcPr>
          <w:p>
            <w:pPr>
              <w:spacing w:after="0"/>
              <w:rPr>
                <w:sz w:val="22"/>
                <w:szCs w:val="22"/>
                <w:color w:val="auto"/>
              </w:rPr>
            </w:pPr>
          </w:p>
        </w:tc>
        <w:tc>
          <w:tcPr>
            <w:tcW w:w="320" w:type="dxa"/>
            <w:vAlign w:val="bottom"/>
            <w:shd w:val="clear" w:color="auto" w:fill="E3E4E5"/>
          </w:tcPr>
          <w:p>
            <w:pPr>
              <w:spacing w:after="0"/>
              <w:rPr>
                <w:sz w:val="22"/>
                <w:szCs w:val="22"/>
                <w:color w:val="auto"/>
              </w:rPr>
            </w:pPr>
          </w:p>
        </w:tc>
        <w:tc>
          <w:tcPr>
            <w:tcW w:w="100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320" w:type="dxa"/>
            <w:vAlign w:val="bottom"/>
            <w:shd w:val="clear" w:color="auto" w:fill="E3E4E5"/>
          </w:tcPr>
          <w:p>
            <w:pPr>
              <w:spacing w:after="0"/>
              <w:rPr>
                <w:sz w:val="22"/>
                <w:szCs w:val="22"/>
                <w:color w:val="auto"/>
              </w:rPr>
            </w:pPr>
          </w:p>
        </w:tc>
        <w:tc>
          <w:tcPr>
            <w:tcW w:w="100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340" w:type="dxa"/>
            <w:vAlign w:val="bottom"/>
            <w:shd w:val="clear" w:color="auto" w:fill="E3E4E5"/>
          </w:tcPr>
          <w:p>
            <w:pPr>
              <w:spacing w:after="0"/>
              <w:rPr>
                <w:sz w:val="22"/>
                <w:szCs w:val="22"/>
                <w:color w:val="auto"/>
              </w:rPr>
            </w:pPr>
          </w:p>
        </w:tc>
        <w:tc>
          <w:tcPr>
            <w:tcW w:w="98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454546"/>
              </w:rPr>
              <w:t>DILUTED</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Net income (loss)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(18,599)</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(24,029)</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(98,238)</w:t>
            </w:r>
          </w:p>
        </w:tc>
        <w:tc>
          <w:tcPr>
            <w:tcW w:w="0" w:type="dxa"/>
            <w:vAlign w:val="bottom"/>
          </w:tcPr>
          <w:p>
            <w:pPr>
              <w:spacing w:after="0"/>
              <w:rPr>
                <w:sz w:val="1"/>
                <w:szCs w:val="1"/>
                <w:color w:val="auto"/>
              </w:rPr>
            </w:pPr>
          </w:p>
        </w:tc>
      </w:tr>
      <w:tr>
        <w:trPr>
          <w:trHeight w:val="20"/>
        </w:trPr>
        <w:tc>
          <w:tcPr>
            <w:tcW w:w="6180" w:type="dxa"/>
            <w:vAlign w:val="bottom"/>
            <w:tcBorders>
              <w:top w:val="single" w:sz="8" w:color="E3E4E5"/>
              <w:bottom w:val="single" w:sz="8" w:color="E3E4E5"/>
            </w:tcBorders>
            <w:vMerge w:val="restart"/>
          </w:tcPr>
          <w:p>
            <w:pPr>
              <w:ind w:left="40"/>
              <w:spacing w:after="0"/>
              <w:rPr>
                <w:sz w:val="20"/>
                <w:szCs w:val="20"/>
                <w:color w:val="auto"/>
              </w:rPr>
            </w:pPr>
            <w:r>
              <w:rPr>
                <w:rFonts w:ascii="Times New Roman" w:cs="Times New Roman" w:eastAsia="Times New Roman" w:hAnsi="Times New Roman"/>
                <w:sz w:val="20"/>
                <w:szCs w:val="20"/>
                <w:color w:val="454546"/>
              </w:rPr>
              <w:t>Weighted-average common shares outstanding for basic</w:t>
            </w: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1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454546"/>
              </w:rPr>
              <w:t>13,172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12,959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454546"/>
              </w:rPr>
              <w:t>12,855</w:t>
            </w:r>
          </w:p>
        </w:tc>
        <w:tc>
          <w:tcPr>
            <w:tcW w:w="0" w:type="dxa"/>
            <w:vAlign w:val="bottom"/>
          </w:tcPr>
          <w:p>
            <w:pPr>
              <w:spacing w:after="0"/>
              <w:rPr>
                <w:sz w:val="1"/>
                <w:szCs w:val="1"/>
                <w:color w:val="auto"/>
              </w:rPr>
            </w:pPr>
          </w:p>
        </w:tc>
      </w:tr>
      <w:tr>
        <w:trPr>
          <w:trHeight w:val="196"/>
        </w:trPr>
        <w:tc>
          <w:tcPr>
            <w:tcW w:w="6180" w:type="dxa"/>
            <w:vAlign w:val="bottom"/>
            <w:shd w:val="clear" w:color="auto" w:fill="E3E4E5"/>
          </w:tcPr>
          <w:p>
            <w:pPr>
              <w:ind w:left="40"/>
              <w:spacing w:after="0" w:line="196" w:lineRule="exact"/>
              <w:rPr>
                <w:sz w:val="20"/>
                <w:szCs w:val="20"/>
                <w:color w:val="auto"/>
              </w:rPr>
            </w:pPr>
            <w:r>
              <w:rPr>
                <w:rFonts w:ascii="Times New Roman" w:cs="Times New Roman" w:eastAsia="Times New Roman" w:hAnsi="Times New Roman"/>
                <w:sz w:val="20"/>
                <w:szCs w:val="20"/>
                <w:color w:val="454546"/>
              </w:rPr>
              <w:t>Dilutive effect of restricted stock, performance stock awards, stock options</w:t>
            </w:r>
          </w:p>
        </w:tc>
        <w:tc>
          <w:tcPr>
            <w:tcW w:w="320" w:type="dxa"/>
            <w:vAlign w:val="bottom"/>
            <w:shd w:val="clear" w:color="auto" w:fill="E3E4E5"/>
          </w:tcPr>
          <w:p>
            <w:pPr>
              <w:spacing w:after="0"/>
              <w:rPr>
                <w:sz w:val="17"/>
                <w:szCs w:val="17"/>
                <w:color w:val="auto"/>
              </w:rPr>
            </w:pPr>
          </w:p>
        </w:tc>
        <w:tc>
          <w:tcPr>
            <w:tcW w:w="1000" w:type="dxa"/>
            <w:vAlign w:val="bottom"/>
            <w:vMerge w:val="restart"/>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1000" w:type="dxa"/>
            <w:vAlign w:val="bottom"/>
            <w:vMerge w:val="restart"/>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17"/>
                <w:szCs w:val="17"/>
                <w:color w:val="auto"/>
              </w:rPr>
            </w:pPr>
          </w:p>
        </w:tc>
        <w:tc>
          <w:tcPr>
            <w:tcW w:w="340" w:type="dxa"/>
            <w:vAlign w:val="bottom"/>
            <w:shd w:val="clear" w:color="auto" w:fill="E3E4E5"/>
          </w:tcPr>
          <w:p>
            <w:pPr>
              <w:spacing w:after="0"/>
              <w:rPr>
                <w:sz w:val="17"/>
                <w:szCs w:val="17"/>
                <w:color w:val="auto"/>
              </w:rPr>
            </w:pPr>
          </w:p>
        </w:tc>
        <w:tc>
          <w:tcPr>
            <w:tcW w:w="980" w:type="dxa"/>
            <w:vAlign w:val="bottom"/>
            <w:vMerge w:val="restart"/>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82"/>
        </w:trPr>
        <w:tc>
          <w:tcPr>
            <w:tcW w:w="61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and common stock warrants</w:t>
            </w: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vMerge w:val="continue"/>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454546"/>
            </w:tcBorders>
            <w:shd w:val="clear" w:color="auto" w:fill="E3E4E5"/>
          </w:tcPr>
          <w:p>
            <w:pPr>
              <w:spacing w:after="0"/>
              <w:rPr>
                <w:sz w:val="24"/>
                <w:szCs w:val="24"/>
                <w:color w:val="auto"/>
              </w:rPr>
            </w:pPr>
          </w:p>
        </w:tc>
        <w:tc>
          <w:tcPr>
            <w:tcW w:w="1000" w:type="dxa"/>
            <w:vAlign w:val="bottom"/>
            <w:tcBorders>
              <w:bottom w:val="single" w:sz="8" w:color="454546"/>
            </w:tcBorders>
            <w:vMerge w:val="continue"/>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454546"/>
            </w:tcBorders>
            <w:shd w:val="clear" w:color="auto" w:fill="E3E4E5"/>
          </w:tcPr>
          <w:p>
            <w:pPr>
              <w:spacing w:after="0"/>
              <w:rPr>
                <w:sz w:val="24"/>
                <w:szCs w:val="24"/>
                <w:color w:val="auto"/>
              </w:rPr>
            </w:pPr>
          </w:p>
        </w:tc>
        <w:tc>
          <w:tcPr>
            <w:tcW w:w="980" w:type="dxa"/>
            <w:vAlign w:val="bottom"/>
            <w:tcBorders>
              <w:bottom w:val="single" w:sz="8" w:color="454546"/>
            </w:tcBorders>
            <w:vMerge w:val="continue"/>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454546"/>
              </w:rPr>
              <w:t>Weighted-average common shares outstanding on a diluted basis</w:t>
            </w:r>
          </w:p>
        </w:tc>
        <w:tc>
          <w:tcPr>
            <w:tcW w:w="320" w:type="dxa"/>
            <w:vAlign w:val="bottom"/>
            <w:tcBorders>
              <w:bottom w:val="single" w:sz="8" w:color="454546"/>
            </w:tcBorders>
          </w:tcPr>
          <w:p>
            <w:pPr>
              <w:spacing w:after="0"/>
              <w:rPr>
                <w:sz w:val="22"/>
                <w:szCs w:val="22"/>
                <w:color w:val="auto"/>
              </w:rPr>
            </w:pPr>
          </w:p>
        </w:tc>
        <w:tc>
          <w:tcPr>
            <w:tcW w:w="1000" w:type="dxa"/>
            <w:vAlign w:val="bottom"/>
            <w:tcBorders>
              <w:bottom w:val="single" w:sz="8" w:color="454546"/>
            </w:tcBorders>
          </w:tcPr>
          <w:p>
            <w:pPr>
              <w:jc w:val="right"/>
              <w:ind w:right="4"/>
              <w:spacing w:after="0"/>
              <w:rPr>
                <w:sz w:val="20"/>
                <w:szCs w:val="20"/>
                <w:color w:val="auto"/>
              </w:rPr>
            </w:pPr>
            <w:r>
              <w:rPr>
                <w:rFonts w:ascii="Times New Roman" w:cs="Times New Roman" w:eastAsia="Times New Roman" w:hAnsi="Times New Roman"/>
                <w:sz w:val="20"/>
                <w:szCs w:val="20"/>
                <w:color w:val="454546"/>
              </w:rPr>
              <w:t>13,172</w:t>
            </w:r>
          </w:p>
        </w:tc>
        <w:tc>
          <w:tcPr>
            <w:tcW w:w="60" w:type="dxa"/>
            <w:vAlign w:val="bottom"/>
            <w:tcBorders>
              <w:bottom w:val="single" w:sz="8" w:color="E3E4E5"/>
            </w:tcBorders>
          </w:tcPr>
          <w:p>
            <w:pPr>
              <w:spacing w:after="0"/>
              <w:rPr>
                <w:sz w:val="22"/>
                <w:szCs w:val="22"/>
                <w:color w:val="auto"/>
              </w:rPr>
            </w:pPr>
          </w:p>
        </w:tc>
        <w:tc>
          <w:tcPr>
            <w:tcW w:w="320" w:type="dxa"/>
            <w:vAlign w:val="bottom"/>
            <w:tcBorders>
              <w:bottom w:val="single" w:sz="8" w:color="454546"/>
            </w:tcBorders>
          </w:tcPr>
          <w:p>
            <w:pPr>
              <w:spacing w:after="0"/>
              <w:rPr>
                <w:sz w:val="22"/>
                <w:szCs w:val="22"/>
                <w:color w:val="auto"/>
              </w:rPr>
            </w:pPr>
          </w:p>
        </w:tc>
        <w:tc>
          <w:tcPr>
            <w:tcW w:w="1000" w:type="dxa"/>
            <w:vAlign w:val="bottom"/>
            <w:tcBorders>
              <w:bottom w:val="single" w:sz="8" w:color="454546"/>
            </w:tcBorders>
          </w:tcPr>
          <w:p>
            <w:pPr>
              <w:jc w:val="right"/>
              <w:ind w:right="2"/>
              <w:spacing w:after="0"/>
              <w:rPr>
                <w:sz w:val="20"/>
                <w:szCs w:val="20"/>
                <w:color w:val="auto"/>
              </w:rPr>
            </w:pPr>
            <w:r>
              <w:rPr>
                <w:rFonts w:ascii="Times New Roman" w:cs="Times New Roman" w:eastAsia="Times New Roman" w:hAnsi="Times New Roman"/>
                <w:sz w:val="20"/>
                <w:szCs w:val="20"/>
                <w:color w:val="454546"/>
              </w:rPr>
              <w:t>12,959</w:t>
            </w:r>
          </w:p>
        </w:tc>
        <w:tc>
          <w:tcPr>
            <w:tcW w:w="60" w:type="dxa"/>
            <w:vAlign w:val="bottom"/>
            <w:tcBorders>
              <w:bottom w:val="single" w:sz="8" w:color="E3E4E5"/>
            </w:tcBorders>
          </w:tcPr>
          <w:p>
            <w:pPr>
              <w:spacing w:after="0"/>
              <w:rPr>
                <w:sz w:val="22"/>
                <w:szCs w:val="22"/>
                <w:color w:val="auto"/>
              </w:rPr>
            </w:pPr>
          </w:p>
        </w:tc>
        <w:tc>
          <w:tcPr>
            <w:tcW w:w="340" w:type="dxa"/>
            <w:vAlign w:val="bottom"/>
            <w:tcBorders>
              <w:bottom w:val="single" w:sz="8" w:color="454546"/>
            </w:tcBorders>
          </w:tcPr>
          <w:p>
            <w:pPr>
              <w:spacing w:after="0"/>
              <w:rPr>
                <w:sz w:val="22"/>
                <w:szCs w:val="22"/>
                <w:color w:val="auto"/>
              </w:rPr>
            </w:pPr>
          </w:p>
        </w:tc>
        <w:tc>
          <w:tcPr>
            <w:tcW w:w="980" w:type="dxa"/>
            <w:vAlign w:val="bottom"/>
            <w:tcBorders>
              <w:bottom w:val="single" w:sz="8" w:color="454546"/>
            </w:tcBorders>
          </w:tcPr>
          <w:p>
            <w:pPr>
              <w:jc w:val="right"/>
              <w:ind w:right="2"/>
              <w:spacing w:after="0"/>
              <w:rPr>
                <w:sz w:val="20"/>
                <w:szCs w:val="20"/>
                <w:color w:val="auto"/>
              </w:rPr>
            </w:pPr>
            <w:r>
              <w:rPr>
                <w:rFonts w:ascii="Times New Roman" w:cs="Times New Roman" w:eastAsia="Times New Roman" w:hAnsi="Times New Roman"/>
                <w:sz w:val="20"/>
                <w:szCs w:val="20"/>
                <w:color w:val="454546"/>
              </w:rPr>
              <w:t>12,855</w:t>
            </w:r>
          </w:p>
        </w:tc>
        <w:tc>
          <w:tcPr>
            <w:tcW w:w="0" w:type="dxa"/>
            <w:vAlign w:val="bottom"/>
          </w:tcPr>
          <w:p>
            <w:pPr>
              <w:spacing w:after="0"/>
              <w:rPr>
                <w:sz w:val="1"/>
                <w:szCs w:val="1"/>
                <w:color w:val="auto"/>
              </w:rPr>
            </w:pPr>
          </w:p>
        </w:tc>
      </w:tr>
      <w:tr>
        <w:trPr>
          <w:trHeight w:val="28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Diluted earnings (loss) per share</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(1.41)</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(7.64)</w:t>
            </w:r>
          </w:p>
        </w:tc>
        <w:tc>
          <w:tcPr>
            <w:tcW w:w="0" w:type="dxa"/>
            <w:vAlign w:val="bottom"/>
          </w:tcPr>
          <w:p>
            <w:pPr>
              <w:spacing w:after="0"/>
              <w:rPr>
                <w:sz w:val="1"/>
                <w:szCs w:val="1"/>
                <w:color w:val="auto"/>
              </w:rPr>
            </w:pPr>
          </w:p>
        </w:tc>
      </w:tr>
      <w:tr>
        <w:trPr>
          <w:trHeight w:val="20"/>
        </w:trPr>
        <w:tc>
          <w:tcPr>
            <w:tcW w:w="61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4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-2215515</wp:posOffset>
            </wp:positionV>
            <wp:extent cx="2632075"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75">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-1856740</wp:posOffset>
            </wp:positionV>
            <wp:extent cx="2606675" cy="762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76">
                      <a:extLst>
                        <a:ext uri="{28A0092B-C50C-407E-A947-70E740481C1C}"/>
                      </a:extLst>
                    </a:blip>
                    <a:srcRect/>
                    <a:stretch>
                      <a:fillRect/>
                    </a:stretch>
                  </pic:blipFill>
                  <pic:spPr bwMode="auto">
                    <a:xfrm>
                      <a:off x="0" y="0"/>
                      <a:ext cx="2606675" cy="762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-1653540</wp:posOffset>
            </wp:positionV>
            <wp:extent cx="1752600"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77">
                      <a:extLst>
                        <a:ext uri="{28A0092B-C50C-407E-A947-70E740481C1C}"/>
                      </a:extLst>
                    </a:blip>
                    <a:srcRect/>
                    <a:stretch>
                      <a:fillRect/>
                    </a:stretch>
                  </pic:blipFill>
                  <pic:spPr bwMode="auto">
                    <a:xfrm>
                      <a:off x="0" y="0"/>
                      <a:ext cx="1752600"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-1475740</wp:posOffset>
            </wp:positionV>
            <wp:extent cx="2606675" cy="762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78">
                      <a:extLst>
                        <a:ext uri="{28A0092B-C50C-407E-A947-70E740481C1C}"/>
                      </a:extLst>
                    </a:blip>
                    <a:srcRect/>
                    <a:stretch>
                      <a:fillRect/>
                    </a:stretch>
                  </pic:blipFill>
                  <pic:spPr bwMode="auto">
                    <a:xfrm>
                      <a:off x="0" y="0"/>
                      <a:ext cx="2606675" cy="762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-923290</wp:posOffset>
            </wp:positionV>
            <wp:extent cx="2606675" cy="762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79">
                      <a:extLst>
                        <a:ext uri="{28A0092B-C50C-407E-A947-70E740481C1C}"/>
                      </a:extLst>
                    </a:blip>
                    <a:srcRect/>
                    <a:stretch>
                      <a:fillRect/>
                    </a:stretch>
                  </pic:blipFill>
                  <pic:spPr bwMode="auto">
                    <a:xfrm>
                      <a:off x="0" y="0"/>
                      <a:ext cx="2606675" cy="762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-424815</wp:posOffset>
            </wp:positionV>
            <wp:extent cx="1752600"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80">
                      <a:extLst>
                        <a:ext uri="{28A0092B-C50C-407E-A947-70E740481C1C}"/>
                      </a:extLst>
                    </a:blip>
                    <a:srcRect/>
                    <a:stretch>
                      <a:fillRect/>
                    </a:stretch>
                  </pic:blipFill>
                  <pic:spPr bwMode="auto">
                    <a:xfrm>
                      <a:off x="0" y="0"/>
                      <a:ext cx="1752600"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-234315</wp:posOffset>
            </wp:positionV>
            <wp:extent cx="1752600"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81">
                      <a:extLst>
                        <a:ext uri="{28A0092B-C50C-407E-A947-70E740481C1C}"/>
                      </a:extLst>
                    </a:blip>
                    <a:srcRect/>
                    <a:stretch>
                      <a:fillRect/>
                    </a:stretch>
                  </pic:blipFill>
                  <pic:spPr bwMode="auto">
                    <a:xfrm>
                      <a:off x="0" y="0"/>
                      <a:ext cx="17526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82">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The following number of restricted stock awards, performance stock awards, stock options and common stock warrants were excluded from the computation of diluted earnings per common share as their inclusion would have been anti-dilutive: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100" w:type="dxa"/>
            <w:vAlign w:val="bottom"/>
            <w:tcBorders>
              <w:bottom w:val="single" w:sz="8" w:color="454546"/>
            </w:tcBorders>
            <w:gridSpan w:val="5"/>
          </w:tcPr>
          <w:p>
            <w:pPr>
              <w:ind w:left="114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8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1320" w:type="dxa"/>
            <w:vAlign w:val="bottom"/>
            <w:tcBorders>
              <w:bottom w:val="single" w:sz="8" w:color="454546"/>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4"/>
                <w:szCs w:val="24"/>
                <w:color w:val="auto"/>
              </w:rPr>
            </w:pPr>
          </w:p>
        </w:tc>
        <w:tc>
          <w:tcPr>
            <w:tcW w:w="1320" w:type="dxa"/>
            <w:vAlign w:val="bottom"/>
            <w:tcBorders>
              <w:bottom w:val="single" w:sz="8" w:color="454546"/>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454546"/>
            </w:tcBorders>
          </w:tcPr>
          <w:p>
            <w:pPr>
              <w:spacing w:after="0"/>
              <w:rPr>
                <w:sz w:val="24"/>
                <w:szCs w:val="24"/>
                <w:color w:val="auto"/>
              </w:rPr>
            </w:pPr>
          </w:p>
        </w:tc>
        <w:tc>
          <w:tcPr>
            <w:tcW w:w="98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90"/>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Restricted stock awards</w:t>
            </w:r>
          </w:p>
        </w:tc>
        <w:tc>
          <w:tcPr>
            <w:tcW w:w="1320" w:type="dxa"/>
            <w:vAlign w:val="bottom"/>
            <w:shd w:val="clear" w:color="auto" w:fill="E3E4E5"/>
          </w:tcPr>
          <w:p>
            <w:pPr>
              <w:jc w:val="right"/>
              <w:ind w:right="8"/>
              <w:spacing w:after="0"/>
              <w:rPr>
                <w:sz w:val="20"/>
                <w:szCs w:val="20"/>
                <w:color w:val="auto"/>
              </w:rPr>
            </w:pPr>
            <w:r>
              <w:rPr>
                <w:rFonts w:ascii="Times New Roman" w:cs="Times New Roman" w:eastAsia="Times New Roman" w:hAnsi="Times New Roman"/>
                <w:sz w:val="20"/>
                <w:szCs w:val="20"/>
                <w:color w:val="454546"/>
              </w:rPr>
              <w:t>666</w:t>
            </w:r>
          </w:p>
        </w:tc>
        <w:tc>
          <w:tcPr>
            <w:tcW w:w="13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526</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440</w:t>
            </w:r>
          </w:p>
        </w:tc>
      </w:tr>
      <w:tr>
        <w:trPr>
          <w:trHeight w:val="29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Performance stock awards</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454546"/>
              </w:rPr>
              <w:t>20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w:t>
            </w:r>
          </w:p>
        </w:tc>
      </w:tr>
      <w:tr>
        <w:trPr>
          <w:trHeight w:val="306"/>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Stock options</w:t>
            </w:r>
          </w:p>
        </w:tc>
        <w:tc>
          <w:tcPr>
            <w:tcW w:w="1320" w:type="dxa"/>
            <w:vAlign w:val="bottom"/>
            <w:shd w:val="clear" w:color="auto" w:fill="E3E4E5"/>
          </w:tcPr>
          <w:p>
            <w:pPr>
              <w:jc w:val="right"/>
              <w:ind w:right="8"/>
              <w:spacing w:after="0"/>
              <w:rPr>
                <w:sz w:val="20"/>
                <w:szCs w:val="20"/>
                <w:color w:val="auto"/>
              </w:rPr>
            </w:pPr>
            <w:r>
              <w:rPr>
                <w:rFonts w:ascii="Times New Roman" w:cs="Times New Roman" w:eastAsia="Times New Roman" w:hAnsi="Times New Roman"/>
                <w:sz w:val="20"/>
                <w:szCs w:val="20"/>
                <w:color w:val="454546"/>
              </w:rPr>
              <w:t>366</w:t>
            </w:r>
          </w:p>
        </w:tc>
        <w:tc>
          <w:tcPr>
            <w:tcW w:w="13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796</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-596265</wp:posOffset>
            </wp:positionV>
            <wp:extent cx="2632075"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83">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sectPr>
          <w:pgSz w:w="11880" w:h="15480" w:orient="portrait"/>
          <w:cols w:equalWidth="0" w:num="1">
            <w:col w:w="10260"/>
          </w:cols>
          <w:pgMar w:left="820" w:top="21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81</w:t>
      </w:r>
    </w:p>
    <w:p>
      <w:pPr>
        <w:sectPr>
          <w:pgSz w:w="11880" w:h="15480" w:orient="portrait"/>
          <w:cols w:equalWidth="0" w:num="1">
            <w:col w:w="10260"/>
          </w:cols>
          <w:pgMar w:left="820" w:top="213" w:right="800" w:bottom="0" w:gutter="0" w:footer="0" w:header="0"/>
          <w:type w:val="continuous"/>
        </w:sectPr>
      </w:pPr>
    </w:p>
    <w:bookmarkStart w:id="85" w:name="page86"/>
    <w:bookmarkEnd w:id="85"/>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18 — Derivatives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following table sets forth the total net fair value of derivatives: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440" w:type="dxa"/>
            <w:vAlign w:val="bottom"/>
            <w:tcBorders>
              <w:bottom w:val="single" w:sz="8" w:color="454546"/>
            </w:tcBorders>
          </w:tcPr>
          <w:p>
            <w:pPr>
              <w:spacing w:after="0"/>
              <w:rPr>
                <w:sz w:val="18"/>
                <w:szCs w:val="18"/>
                <w:color w:val="auto"/>
              </w:rPr>
            </w:pPr>
          </w:p>
        </w:tc>
        <w:tc>
          <w:tcPr>
            <w:tcW w:w="80" w:type="dxa"/>
            <w:vAlign w:val="bottom"/>
            <w:tcBorders>
              <w:bottom w:val="single" w:sz="8" w:color="454546"/>
            </w:tcBorders>
          </w:tcPr>
          <w:p>
            <w:pPr>
              <w:spacing w:after="0"/>
              <w:rPr>
                <w:sz w:val="18"/>
                <w:szCs w:val="18"/>
                <w:color w:val="auto"/>
              </w:rPr>
            </w:pPr>
          </w:p>
        </w:tc>
        <w:tc>
          <w:tcPr>
            <w:tcW w:w="1540" w:type="dxa"/>
            <w:vAlign w:val="bottom"/>
            <w:tcBorders>
              <w:bottom w:val="single" w:sz="8" w:color="454546"/>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rPr>
              <w:t>December 31, 2025</w:t>
            </w:r>
          </w:p>
        </w:tc>
        <w:tc>
          <w:tcPr>
            <w:tcW w:w="20" w:type="dxa"/>
            <w:vAlign w:val="bottom"/>
            <w:tcBorders>
              <w:bottom w:val="single" w:sz="8" w:color="454546"/>
            </w:tcBorders>
          </w:tcPr>
          <w:p>
            <w:pPr>
              <w:spacing w:after="0"/>
              <w:rPr>
                <w:sz w:val="18"/>
                <w:szCs w:val="18"/>
                <w:color w:val="auto"/>
              </w:rPr>
            </w:pPr>
          </w:p>
        </w:tc>
        <w:tc>
          <w:tcPr>
            <w:tcW w:w="60" w:type="dxa"/>
            <w:vAlign w:val="bottom"/>
            <w:tcBorders>
              <w:bottom w:val="single" w:sz="8" w:color="454546"/>
            </w:tcBorders>
          </w:tcPr>
          <w:p>
            <w:pPr>
              <w:spacing w:after="0"/>
              <w:rPr>
                <w:sz w:val="18"/>
                <w:szCs w:val="18"/>
                <w:color w:val="auto"/>
              </w:rPr>
            </w:pPr>
          </w:p>
        </w:tc>
        <w:tc>
          <w:tcPr>
            <w:tcW w:w="740" w:type="dxa"/>
            <w:vAlign w:val="bottom"/>
            <w:tcBorders>
              <w:bottom w:val="single" w:sz="8" w:color="454546"/>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454546"/>
            </w:tcBorders>
          </w:tcPr>
          <w:p>
            <w:pPr>
              <w:spacing w:after="0"/>
              <w:rPr>
                <w:sz w:val="18"/>
                <w:szCs w:val="18"/>
                <w:color w:val="auto"/>
              </w:rPr>
            </w:pPr>
          </w:p>
        </w:tc>
        <w:tc>
          <w:tcPr>
            <w:tcW w:w="440" w:type="dxa"/>
            <w:vAlign w:val="bottom"/>
            <w:tcBorders>
              <w:bottom w:val="single" w:sz="8" w:color="454546"/>
            </w:tcBorders>
          </w:tcPr>
          <w:p>
            <w:pPr>
              <w:spacing w:after="0"/>
              <w:rPr>
                <w:sz w:val="18"/>
                <w:szCs w:val="18"/>
                <w:color w:val="auto"/>
              </w:rPr>
            </w:pPr>
          </w:p>
        </w:tc>
        <w:tc>
          <w:tcPr>
            <w:tcW w:w="80" w:type="dxa"/>
            <w:vAlign w:val="bottom"/>
            <w:tcBorders>
              <w:bottom w:val="single" w:sz="8" w:color="454546"/>
            </w:tcBorders>
          </w:tcPr>
          <w:p>
            <w:pPr>
              <w:spacing w:after="0"/>
              <w:rPr>
                <w:sz w:val="18"/>
                <w:szCs w:val="18"/>
                <w:color w:val="auto"/>
              </w:rPr>
            </w:pPr>
          </w:p>
        </w:tc>
        <w:tc>
          <w:tcPr>
            <w:tcW w:w="1540" w:type="dxa"/>
            <w:vAlign w:val="bottom"/>
            <w:tcBorders>
              <w:bottom w:val="single" w:sz="8" w:color="454546"/>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rPr>
              <w:t>December 31, 2024</w:t>
            </w:r>
          </w:p>
        </w:tc>
        <w:tc>
          <w:tcPr>
            <w:tcW w:w="80" w:type="dxa"/>
            <w:vAlign w:val="bottom"/>
            <w:tcBorders>
              <w:bottom w:val="single" w:sz="8" w:color="454546"/>
            </w:tcBorders>
          </w:tcPr>
          <w:p>
            <w:pPr>
              <w:spacing w:after="0"/>
              <w:rPr>
                <w:sz w:val="18"/>
                <w:szCs w:val="18"/>
                <w:color w:val="auto"/>
              </w:rPr>
            </w:pPr>
          </w:p>
        </w:tc>
        <w:tc>
          <w:tcPr>
            <w:tcW w:w="740" w:type="dxa"/>
            <w:vAlign w:val="bottom"/>
            <w:tcBorders>
              <w:bottom w:val="single" w:sz="8" w:color="454546"/>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tcBorders>
              <w:bottom w:val="single" w:sz="8" w:color="454546"/>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Fair Value Measurement Using</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Total</w:t>
            </w:r>
          </w:p>
        </w:tc>
        <w:tc>
          <w:tcPr>
            <w:tcW w:w="60" w:type="dxa"/>
            <w:vAlign w:val="bottom"/>
          </w:tcPr>
          <w:p>
            <w:pPr>
              <w:spacing w:after="0"/>
              <w:rPr>
                <w:sz w:val="20"/>
                <w:szCs w:val="20"/>
                <w:color w:val="auto"/>
              </w:rPr>
            </w:pPr>
          </w:p>
        </w:tc>
        <w:tc>
          <w:tcPr>
            <w:tcW w:w="2360" w:type="dxa"/>
            <w:vAlign w:val="bottom"/>
            <w:tcBorders>
              <w:bottom w:val="single" w:sz="8" w:color="454546"/>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Fair Value Measurement Using</w:t>
            </w:r>
          </w:p>
        </w:tc>
        <w:tc>
          <w:tcPr>
            <w:tcW w:w="80" w:type="dxa"/>
            <w:vAlign w:val="bottom"/>
          </w:tcPr>
          <w:p>
            <w:pPr>
              <w:spacing w:after="0"/>
              <w:rPr>
                <w:sz w:val="20"/>
                <w:szCs w:val="2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Total</w:t>
            </w:r>
          </w:p>
        </w:tc>
        <w:tc>
          <w:tcPr>
            <w:tcW w:w="0" w:type="dxa"/>
            <w:vAlign w:val="bottom"/>
          </w:tcPr>
          <w:p>
            <w:pPr>
              <w:spacing w:after="0"/>
              <w:rPr>
                <w:sz w:val="1"/>
                <w:szCs w:val="1"/>
                <w:color w:val="auto"/>
              </w:rPr>
            </w:pPr>
          </w:p>
        </w:tc>
      </w:tr>
      <w:tr>
        <w:trPr>
          <w:trHeight w:val="21"/>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60" w:type="dxa"/>
            <w:vAlign w:val="bottom"/>
            <w:vMerge w:val="restart"/>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454546"/>
              </w:rPr>
              <w:t>Level 1</w:t>
            </w:r>
          </w:p>
        </w:tc>
        <w:tc>
          <w:tcPr>
            <w:tcW w:w="8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rPr>
              <w:t>Level 2</w:t>
            </w:r>
          </w:p>
        </w:tc>
        <w:tc>
          <w:tcPr>
            <w:tcW w:w="60" w:type="dxa"/>
            <w:vAlign w:val="bottom"/>
          </w:tcPr>
          <w:p>
            <w:pPr>
              <w:spacing w:after="0" w:line="20" w:lineRule="exact"/>
              <w:rPr>
                <w:sz w:val="1"/>
                <w:szCs w:val="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rPr>
              <w:t>Level 3</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454546"/>
              </w:rPr>
              <w:t>Level 1</w:t>
            </w:r>
          </w:p>
        </w:tc>
        <w:tc>
          <w:tcPr>
            <w:tcW w:w="8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rPr>
              <w:t>Level 2</w:t>
            </w:r>
          </w:p>
        </w:tc>
        <w:tc>
          <w:tcPr>
            <w:tcW w:w="60" w:type="dxa"/>
            <w:vAlign w:val="bottom"/>
          </w:tcPr>
          <w:p>
            <w:pPr>
              <w:spacing w:after="0" w:line="20" w:lineRule="exact"/>
              <w:rPr>
                <w:sz w:val="1"/>
                <w:szCs w:val="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454546"/>
              </w:rPr>
              <w:t>Level 3</w:t>
            </w: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8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vMerge w:val="continue"/>
          </w:tcPr>
          <w:p>
            <w:pPr>
              <w:spacing w:after="0"/>
              <w:rPr>
                <w:sz w:val="18"/>
                <w:szCs w:val="18"/>
                <w:color w:val="auto"/>
              </w:rPr>
            </w:pPr>
          </w:p>
        </w:tc>
        <w:tc>
          <w:tcPr>
            <w:tcW w:w="740" w:type="dxa"/>
            <w:vAlign w:val="bottom"/>
            <w:tcBorders>
              <w:bottom w:val="single" w:sz="8" w:color="454546"/>
            </w:tcBorders>
            <w:gridSpan w:val="2"/>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74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740" w:type="dxa"/>
            <w:vAlign w:val="bottom"/>
            <w:tcBorders>
              <w:bottom w:val="single" w:sz="8" w:color="454546"/>
            </w:tcBorders>
            <w:gridSpan w:val="2"/>
            <w:vMerge w:val="continue"/>
          </w:tcPr>
          <w:p>
            <w:pPr>
              <w:spacing w:after="0"/>
              <w:rPr>
                <w:sz w:val="18"/>
                <w:szCs w:val="18"/>
                <w:color w:val="auto"/>
              </w:rPr>
            </w:pPr>
          </w:p>
        </w:tc>
        <w:tc>
          <w:tcPr>
            <w:tcW w:w="20" w:type="dxa"/>
            <w:vAlign w:val="bottom"/>
            <w:tcBorders>
              <w:bottom w:val="single" w:sz="8" w:color="454546"/>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7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Balance</w:t>
            </w:r>
          </w:p>
        </w:tc>
        <w:tc>
          <w:tcPr>
            <w:tcW w:w="60" w:type="dxa"/>
            <w:vAlign w:val="bottom"/>
            <w:tcBorders>
              <w:bottom w:val="single" w:sz="8" w:color="E3E4E5"/>
            </w:tcBorders>
          </w:tcPr>
          <w:p>
            <w:pPr>
              <w:spacing w:after="0"/>
              <w:rPr>
                <w:sz w:val="18"/>
                <w:szCs w:val="18"/>
                <w:color w:val="auto"/>
              </w:rPr>
            </w:pPr>
          </w:p>
        </w:tc>
        <w:tc>
          <w:tcPr>
            <w:tcW w:w="740" w:type="dxa"/>
            <w:vAlign w:val="bottom"/>
            <w:tcBorders>
              <w:bottom w:val="single" w:sz="8" w:color="454546"/>
            </w:tcBorders>
            <w:gridSpan w:val="2"/>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74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740" w:type="dxa"/>
            <w:vAlign w:val="bottom"/>
            <w:tcBorders>
              <w:bottom w:val="single" w:sz="8" w:color="454546"/>
            </w:tcBorders>
            <w:gridSpan w:val="2"/>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7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Balance</w:t>
            </w:r>
          </w:p>
        </w:tc>
        <w:tc>
          <w:tcPr>
            <w:tcW w:w="0" w:type="dxa"/>
            <w:vAlign w:val="bottom"/>
          </w:tcPr>
          <w:p>
            <w:pPr>
              <w:spacing w:after="0"/>
              <w:rPr>
                <w:sz w:val="1"/>
                <w:szCs w:val="1"/>
                <w:color w:val="auto"/>
              </w:rPr>
            </w:pPr>
          </w:p>
        </w:tc>
      </w:tr>
      <w:tr>
        <w:trPr>
          <w:trHeight w:val="275"/>
        </w:trPr>
        <w:tc>
          <w:tcPr>
            <w:tcW w:w="37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Foreign currency exchange contracts</w:t>
            </w:r>
          </w:p>
        </w:tc>
        <w:tc>
          <w:tcPr>
            <w:tcW w:w="60" w:type="dxa"/>
            <w:vAlign w:val="bottom"/>
            <w:shd w:val="clear" w:color="auto" w:fill="E3E4E5"/>
          </w:tcPr>
          <w:p>
            <w:pPr>
              <w:spacing w:after="0"/>
              <w:rPr>
                <w:sz w:val="23"/>
                <w:szCs w:val="23"/>
                <w:color w:val="auto"/>
              </w:rPr>
            </w:pPr>
          </w:p>
        </w:tc>
        <w:tc>
          <w:tcPr>
            <w:tcW w:w="300" w:type="dxa"/>
            <w:vAlign w:val="bottom"/>
            <w:shd w:val="clear" w:color="auto" w:fill="E3E4E5"/>
          </w:tcPr>
          <w:p>
            <w:pPr>
              <w:jc w:val="right"/>
              <w:ind w:right="53"/>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shd w:val="clear" w:color="auto" w:fill="E3E4E5"/>
          </w:tcPr>
          <w:p>
            <w:pPr>
              <w:ind w:left="160"/>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rPr>
              <w:t>$  136</w:t>
            </w:r>
          </w:p>
        </w:tc>
        <w:tc>
          <w:tcPr>
            <w:tcW w:w="3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gridSpan w:val="3"/>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rPr>
              <w:t>$  136</w:t>
            </w:r>
          </w:p>
        </w:tc>
        <w:tc>
          <w:tcPr>
            <w:tcW w:w="3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shd w:val="clear" w:color="auto" w:fill="E3E4E5"/>
          </w:tcPr>
          <w:p>
            <w:pPr>
              <w:ind w:left="160"/>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rPr>
              <w:t>$  (249)</w:t>
            </w:r>
          </w:p>
        </w:tc>
        <w:tc>
          <w:tcPr>
            <w:tcW w:w="3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rPr>
              <w:t>$  (249)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6565900"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84">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2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held foreign currency exchange contracts which resulted in a net pre-tax loss of $0.3 million, $0.7 million, and $3.2 million for the years ended December 31, 2025, 2024 and 2023, respectively. See Note 16 for further information concerning our foreign currency exchange contracts.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Details of foreign currency exchange contracts held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center"/>
              <w:ind w:right="107"/>
              <w:spacing w:after="0"/>
              <w:rPr>
                <w:sz w:val="20"/>
                <w:szCs w:val="20"/>
                <w:color w:val="auto"/>
              </w:rPr>
            </w:pPr>
            <w:r>
              <w:rPr>
                <w:rFonts w:ascii="Times New Roman" w:cs="Times New Roman" w:eastAsia="Times New Roman" w:hAnsi="Times New Roman"/>
                <w:sz w:val="16"/>
                <w:szCs w:val="16"/>
                <w:b w:val="1"/>
                <w:bCs w:val="1"/>
                <w:color w:val="454546"/>
                <w:w w:val="98"/>
              </w:rPr>
              <w:t>Notional</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454546"/>
              </w:rPr>
              <w:t>Unrealized Gain/(Loss)</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Recorded at Balance Sheet</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454546"/>
              </w:rPr>
              <w:t>Date Held</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rPr>
              <w:t>Currency</w:t>
            </w:r>
          </w:p>
        </w:tc>
        <w:tc>
          <w:tcPr>
            <w:tcW w:w="60" w:type="dxa"/>
            <w:vAlign w:val="bottom"/>
          </w:tcPr>
          <w:p>
            <w:pPr>
              <w:spacing w:after="0"/>
              <w:rPr>
                <w:sz w:val="13"/>
                <w:szCs w:val="13"/>
                <w:color w:val="auto"/>
              </w:rPr>
            </w:pP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454546"/>
              </w:rPr>
              <w:t>Position Held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87"/>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Value</w:t>
            </w:r>
          </w:p>
        </w:tc>
        <w:tc>
          <w:tcPr>
            <w:tcW w:w="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rPr>
              <w:t>Forward Rate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Date</w:t>
            </w:r>
          </w:p>
        </w:tc>
        <w:tc>
          <w:tcPr>
            <w:tcW w:w="8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Settlement Date</w:t>
            </w:r>
          </w:p>
        </w:tc>
        <w:tc>
          <w:tcPr>
            <w:tcW w:w="0" w:type="dxa"/>
            <w:vAlign w:val="bottom"/>
          </w:tcPr>
          <w:p>
            <w:pPr>
              <w:spacing w:after="0"/>
              <w:rPr>
                <w:sz w:val="1"/>
                <w:szCs w:val="1"/>
                <w:color w:val="auto"/>
              </w:rPr>
            </w:pPr>
          </w:p>
        </w:tc>
      </w:tr>
      <w:tr>
        <w:trPr>
          <w:trHeight w:val="214"/>
        </w:trPr>
        <w:tc>
          <w:tcPr>
            <w:tcW w:w="192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02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14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100" w:type="dxa"/>
            <w:vAlign w:val="bottom"/>
            <w:tcBorders>
              <w:bottom w:val="single" w:sz="8" w:color="454546"/>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(in millions)</w:t>
            </w: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0" w:type="dxa"/>
            <w:vAlign w:val="bottom"/>
            <w:tcBorders>
              <w:bottom w:val="single" w:sz="8" w:color="454546"/>
            </w:tcBorders>
          </w:tcPr>
          <w:p>
            <w:pPr>
              <w:spacing w:after="0"/>
              <w:rPr>
                <w:sz w:val="18"/>
                <w:szCs w:val="18"/>
                <w:color w:val="auto"/>
              </w:rPr>
            </w:pPr>
          </w:p>
        </w:tc>
        <w:tc>
          <w:tcPr>
            <w:tcW w:w="1880" w:type="dxa"/>
            <w:vAlign w:val="bottom"/>
            <w:tcBorders>
              <w:bottom w:val="single" w:sz="8" w:color="454546"/>
            </w:tcBorders>
          </w:tcPr>
          <w:p>
            <w:pPr>
              <w:jc w:val="center"/>
              <w:ind w:right="109"/>
              <w:spacing w:after="0" w:line="214" w:lineRule="exact"/>
              <w:rPr>
                <w:sz w:val="20"/>
                <w:szCs w:val="20"/>
                <w:color w:val="auto"/>
              </w:rPr>
            </w:pPr>
            <w:r>
              <w:rPr>
                <w:rFonts w:ascii="Times New Roman" w:cs="Times New Roman" w:eastAsia="Times New Roman" w:hAnsi="Times New Roman"/>
                <w:sz w:val="16"/>
                <w:szCs w:val="16"/>
                <w:b w:val="1"/>
                <w:bCs w:val="1"/>
                <w:color w:val="454546"/>
                <w:w w:val="95"/>
              </w:rPr>
              <w:t>(in thousands)</w:t>
            </w:r>
            <w:r>
              <w:rPr>
                <w:rFonts w:ascii="Times New Roman" w:cs="Times New Roman" w:eastAsia="Times New Roman" w:hAnsi="Times New Roman"/>
                <w:sz w:val="20"/>
                <w:szCs w:val="20"/>
                <w:b w:val="1"/>
                <w:bCs w:val="1"/>
                <w:color w:val="454546"/>
                <w:w w:val="95"/>
                <w:vertAlign w:val="superscript"/>
              </w:rPr>
              <w:t>(1)</w:t>
            </w:r>
          </w:p>
        </w:tc>
        <w:tc>
          <w:tcPr>
            <w:tcW w:w="80" w:type="dxa"/>
            <w:vAlign w:val="bottom"/>
            <w:tcBorders>
              <w:bottom w:val="single" w:sz="8" w:color="E3E4E5"/>
            </w:tcBorders>
          </w:tcPr>
          <w:p>
            <w:pPr>
              <w:spacing w:after="0"/>
              <w:rPr>
                <w:sz w:val="18"/>
                <w:szCs w:val="18"/>
                <w:color w:val="auto"/>
              </w:rPr>
            </w:pPr>
          </w:p>
        </w:tc>
        <w:tc>
          <w:tcPr>
            <w:tcW w:w="1500" w:type="dxa"/>
            <w:vAlign w:val="bottom"/>
            <w:tcBorders>
              <w:bottom w:val="single" w:sz="8" w:color="45454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9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December 31, 2025</w:t>
            </w:r>
          </w:p>
        </w:tc>
        <w:tc>
          <w:tcPr>
            <w:tcW w:w="60" w:type="dxa"/>
            <w:vAlign w:val="bottom"/>
            <w:shd w:val="clear" w:color="auto" w:fill="E3E4E5"/>
          </w:tcPr>
          <w:p>
            <w:pPr>
              <w:spacing w:after="0"/>
              <w:rPr>
                <w:sz w:val="23"/>
                <w:szCs w:val="23"/>
                <w:color w:val="auto"/>
              </w:rPr>
            </w:pPr>
          </w:p>
        </w:tc>
        <w:tc>
          <w:tcPr>
            <w:tcW w:w="102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rPr>
              <w:t>USD/CNY</w:t>
            </w:r>
          </w:p>
        </w:tc>
        <w:tc>
          <w:tcPr>
            <w:tcW w:w="60" w:type="dxa"/>
            <w:vAlign w:val="bottom"/>
            <w:shd w:val="clear" w:color="auto" w:fill="E3E4E5"/>
          </w:tcPr>
          <w:p>
            <w:pPr>
              <w:spacing w:after="0"/>
              <w:rPr>
                <w:sz w:val="23"/>
                <w:szCs w:val="23"/>
                <w:color w:val="auto"/>
              </w:rPr>
            </w:pPr>
          </w:p>
        </w:tc>
        <w:tc>
          <w:tcPr>
            <w:tcW w:w="11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CNY</w:t>
            </w:r>
          </w:p>
        </w:tc>
        <w:tc>
          <w:tcPr>
            <w:tcW w:w="2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40.0</w:t>
            </w:r>
          </w:p>
        </w:tc>
        <w:tc>
          <w:tcPr>
            <w:tcW w:w="11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6.9884</w:t>
            </w:r>
          </w:p>
        </w:tc>
        <w:tc>
          <w:tcPr>
            <w:tcW w:w="2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132</w:t>
            </w:r>
          </w:p>
        </w:tc>
        <w:tc>
          <w:tcPr>
            <w:tcW w:w="80" w:type="dxa"/>
            <w:vAlign w:val="bottom"/>
            <w:shd w:val="clear" w:color="auto" w:fill="E3E4E5"/>
          </w:tcPr>
          <w:p>
            <w:pPr>
              <w:spacing w:after="0"/>
              <w:rPr>
                <w:sz w:val="23"/>
                <w:szCs w:val="23"/>
                <w:color w:val="auto"/>
              </w:rPr>
            </w:pPr>
          </w:p>
        </w:tc>
        <w:tc>
          <w:tcPr>
            <w:tcW w:w="150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w w:val="99"/>
              </w:rPr>
              <w:t>January 29, 2026</w:t>
            </w:r>
          </w:p>
        </w:tc>
        <w:tc>
          <w:tcPr>
            <w:tcW w:w="0" w:type="dxa"/>
            <w:vAlign w:val="bottom"/>
          </w:tcPr>
          <w:p>
            <w:pPr>
              <w:spacing w:after="0"/>
              <w:rPr>
                <w:sz w:val="1"/>
                <w:szCs w:val="1"/>
                <w:color w:val="auto"/>
              </w:rPr>
            </w:pPr>
          </w:p>
        </w:tc>
      </w:tr>
      <w:tr>
        <w:trPr>
          <w:trHeight w:val="278"/>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December 31, 2025</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454546"/>
              </w:rPr>
              <w:t>USD/EUR</w:t>
            </w:r>
          </w:p>
        </w:tc>
        <w:tc>
          <w:tcPr>
            <w:tcW w:w="6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USD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1.8110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January 29, 2026</w:t>
            </w:r>
          </w:p>
        </w:tc>
        <w:tc>
          <w:tcPr>
            <w:tcW w:w="0" w:type="dxa"/>
            <w:vAlign w:val="bottom"/>
          </w:tcPr>
          <w:p>
            <w:pPr>
              <w:spacing w:after="0"/>
              <w:rPr>
                <w:sz w:val="1"/>
                <w:szCs w:val="1"/>
                <w:color w:val="auto"/>
              </w:rPr>
            </w:pPr>
          </w:p>
        </w:tc>
      </w:tr>
      <w:tr>
        <w:trPr>
          <w:trHeight w:val="292"/>
        </w:trPr>
        <w:tc>
          <w:tcPr>
            <w:tcW w:w="19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December 31, 2024</w:t>
            </w:r>
          </w:p>
        </w:tc>
        <w:tc>
          <w:tcPr>
            <w:tcW w:w="60" w:type="dxa"/>
            <w:vAlign w:val="bottom"/>
            <w:shd w:val="clear" w:color="auto" w:fill="E3E4E5"/>
          </w:tcPr>
          <w:p>
            <w:pPr>
              <w:spacing w:after="0"/>
              <w:rPr>
                <w:sz w:val="24"/>
                <w:szCs w:val="24"/>
                <w:color w:val="auto"/>
              </w:rPr>
            </w:pPr>
          </w:p>
        </w:tc>
        <w:tc>
          <w:tcPr>
            <w:tcW w:w="102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rPr>
              <w:t>USD/CNY</w:t>
            </w:r>
          </w:p>
        </w:tc>
        <w:tc>
          <w:tcPr>
            <w:tcW w:w="60" w:type="dxa"/>
            <w:vAlign w:val="bottom"/>
            <w:shd w:val="clear" w:color="auto" w:fill="E3E4E5"/>
          </w:tcPr>
          <w:p>
            <w:pPr>
              <w:spacing w:after="0"/>
              <w:rPr>
                <w:sz w:val="24"/>
                <w:szCs w:val="24"/>
                <w:color w:val="auto"/>
              </w:rPr>
            </w:pPr>
          </w:p>
        </w:tc>
        <w:tc>
          <w:tcPr>
            <w:tcW w:w="11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CNY</w:t>
            </w:r>
          </w:p>
        </w:tc>
        <w:tc>
          <w:tcPr>
            <w:tcW w:w="2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28.0</w:t>
            </w:r>
          </w:p>
        </w:tc>
        <w:tc>
          <w:tcPr>
            <w:tcW w:w="11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7.2316</w:t>
            </w:r>
          </w:p>
        </w:tc>
        <w:tc>
          <w:tcPr>
            <w:tcW w:w="2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(406)</w:t>
            </w:r>
          </w:p>
        </w:tc>
        <w:tc>
          <w:tcPr>
            <w:tcW w:w="80" w:type="dxa"/>
            <w:vAlign w:val="bottom"/>
            <w:shd w:val="clear" w:color="auto" w:fill="E3E4E5"/>
          </w:tcPr>
          <w:p>
            <w:pPr>
              <w:spacing w:after="0"/>
              <w:rPr>
                <w:sz w:val="24"/>
                <w:szCs w:val="24"/>
                <w:color w:val="auto"/>
              </w:rPr>
            </w:pPr>
          </w:p>
        </w:tc>
        <w:tc>
          <w:tcPr>
            <w:tcW w:w="150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454546"/>
                <w:w w:val="99"/>
              </w:rPr>
              <w:t>January 10, 2025</w:t>
            </w:r>
          </w:p>
        </w:tc>
        <w:tc>
          <w:tcPr>
            <w:tcW w:w="0" w:type="dxa"/>
            <w:vAlign w:val="bottom"/>
          </w:tcPr>
          <w:p>
            <w:pPr>
              <w:spacing w:after="0"/>
              <w:rPr>
                <w:sz w:val="1"/>
                <w:szCs w:val="1"/>
                <w:color w:val="auto"/>
              </w:rPr>
            </w:pPr>
          </w:p>
        </w:tc>
      </w:tr>
      <w:tr>
        <w:trPr>
          <w:trHeight w:val="272"/>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December 31, 2024</w:t>
            </w:r>
          </w:p>
        </w:tc>
        <w:tc>
          <w:tcPr>
            <w:tcW w:w="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454546"/>
              </w:rPr>
              <w:t>USD/EUR</w:t>
            </w:r>
          </w:p>
        </w:tc>
        <w:tc>
          <w:tcPr>
            <w:tcW w:w="60" w:type="dxa"/>
            <w:vAlign w:val="bottom"/>
          </w:tcPr>
          <w:p>
            <w:pPr>
              <w:spacing w:after="0"/>
              <w:rPr>
                <w:sz w:val="23"/>
                <w:szCs w:val="2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USD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1.0569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157</w:t>
            </w:r>
          </w:p>
        </w:tc>
        <w:tc>
          <w:tcPr>
            <w:tcW w:w="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January 10,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-740410</wp:posOffset>
            </wp:positionV>
            <wp:extent cx="6565900"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85">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91" w:lineRule="exact"/>
        <w:rPr>
          <w:sz w:val="20"/>
          <w:szCs w:val="20"/>
          <w:color w:val="auto"/>
        </w:rPr>
      </w:pPr>
    </w:p>
    <w:p>
      <w:pPr>
        <w:ind w:left="720" w:right="340" w:hanging="370"/>
        <w:spacing w:after="0" w:line="226" w:lineRule="auto"/>
        <w:tabs>
          <w:tab w:leader="none" w:pos="720" w:val="left"/>
        </w:tabs>
        <w:numPr>
          <w:ilvl w:val="0"/>
          <w:numId w:val="42"/>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Unrealized gains on foreign currency exchange contracts are recorded in prepaid expenses and other current assets. Unrealized losses on foreign currency exchange contracts are recorded in other accrued liabilities.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19 — Employee Benefit Plans</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We maintain a retirement and profit sharing plan under Section 401(k) of the Internal Revenue Code for all of our domestic employees that meet certain qualifications. Participants in the plan may elect to contribute up to the maximum allowed by law. Prior to October 1, 2024, we matched 50% of the participants' contributions up to 15% of their gross salary in the form of newly issued shares of our common stock. Between October 1, 2024 and October 3, 2025, we matched 25% of the participants' contributions up to 15% of their gross salary in the form of newly issued shares of our common stock. Beginning on October 3, 2025, we no longer match participants' contributions. We may also make other discretionary contributions to the plan. We recorded $0.4 million, $1.1 million and $1.3 million of expense for company contributions for the years ended December 31, 2025,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Note 20 — Reportable Segment</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Our chief operating decision maker, our Interim Chief Executive Officer and Chief Operating Officer,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82</w:t>
      </w:r>
    </w:p>
    <w:p>
      <w:pPr>
        <w:sectPr>
          <w:pgSz w:w="11880" w:h="15480" w:orient="portrait"/>
          <w:cols w:equalWidth="0" w:num="1">
            <w:col w:w="10260"/>
          </w:cols>
          <w:pgMar w:left="820" w:top="213" w:right="800" w:bottom="0" w:gutter="0" w:footer="0" w:header="0"/>
          <w:type w:val="continuous"/>
        </w:sectPr>
      </w:pPr>
    </w:p>
    <w:bookmarkStart w:id="86" w:name="page87"/>
    <w:bookmarkEnd w:id="86"/>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reported segment revenue, segment profit or loss, and significant segment expenses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454546"/>
            </w:tcBorders>
          </w:tcPr>
          <w:p>
            <w:pPr>
              <w:spacing w:after="0"/>
              <w:rPr>
                <w:sz w:val="18"/>
                <w:szCs w:val="18"/>
                <w:color w:val="auto"/>
              </w:rPr>
            </w:pPr>
          </w:p>
        </w:tc>
        <w:tc>
          <w:tcPr>
            <w:tcW w:w="2780" w:type="dxa"/>
            <w:vAlign w:val="bottom"/>
            <w:tcBorders>
              <w:bottom w:val="single" w:sz="8" w:color="454546"/>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980" w:type="dxa"/>
            <w:vAlign w:val="bottom"/>
            <w:tcBorders>
              <w:bottom w:val="single" w:sz="8" w:color="454546"/>
            </w:tcBorders>
          </w:tcPr>
          <w:p>
            <w:pPr>
              <w:spacing w:after="0"/>
              <w:rPr>
                <w:sz w:val="18"/>
                <w:szCs w:val="18"/>
                <w:color w:val="auto"/>
              </w:rPr>
            </w:pPr>
          </w:p>
        </w:tc>
      </w:tr>
      <w:tr>
        <w:trPr>
          <w:trHeight w:val="220"/>
        </w:trPr>
        <w:tc>
          <w:tcPr>
            <w:tcW w:w="61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20" w:type="dxa"/>
            <w:vAlign w:val="bottom"/>
            <w:tcBorders>
              <w:bottom w:val="single" w:sz="8" w:color="454546"/>
            </w:tcBorders>
          </w:tcPr>
          <w:p>
            <w:pPr>
              <w:spacing w:after="0"/>
              <w:rPr>
                <w:sz w:val="19"/>
                <w:szCs w:val="19"/>
                <w:color w:val="auto"/>
              </w:rPr>
            </w:pPr>
          </w:p>
        </w:tc>
        <w:tc>
          <w:tcPr>
            <w:tcW w:w="1000" w:type="dxa"/>
            <w:vAlign w:val="bottom"/>
            <w:tcBorders>
              <w:bottom w:val="single" w:sz="8" w:color="454546"/>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19"/>
                <w:szCs w:val="19"/>
                <w:color w:val="auto"/>
              </w:rPr>
            </w:pPr>
          </w:p>
        </w:tc>
        <w:tc>
          <w:tcPr>
            <w:tcW w:w="320" w:type="dxa"/>
            <w:vAlign w:val="bottom"/>
            <w:tcBorders>
              <w:bottom w:val="single" w:sz="8" w:color="454546"/>
            </w:tcBorders>
          </w:tcPr>
          <w:p>
            <w:pPr>
              <w:spacing w:after="0"/>
              <w:rPr>
                <w:sz w:val="19"/>
                <w:szCs w:val="19"/>
                <w:color w:val="auto"/>
              </w:rPr>
            </w:pPr>
          </w:p>
        </w:tc>
        <w:tc>
          <w:tcPr>
            <w:tcW w:w="1000" w:type="dxa"/>
            <w:vAlign w:val="bottom"/>
            <w:tcBorders>
              <w:bottom w:val="single" w:sz="8" w:color="454546"/>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E3E4E5"/>
            </w:tcBorders>
          </w:tcPr>
          <w:p>
            <w:pPr>
              <w:spacing w:after="0"/>
              <w:rPr>
                <w:sz w:val="19"/>
                <w:szCs w:val="19"/>
                <w:color w:val="auto"/>
              </w:rPr>
            </w:pPr>
          </w:p>
        </w:tc>
        <w:tc>
          <w:tcPr>
            <w:tcW w:w="340" w:type="dxa"/>
            <w:vAlign w:val="bottom"/>
            <w:tcBorders>
              <w:bottom w:val="single" w:sz="8" w:color="454546"/>
            </w:tcBorders>
          </w:tcPr>
          <w:p>
            <w:pPr>
              <w:spacing w:after="0"/>
              <w:rPr>
                <w:sz w:val="19"/>
                <w:szCs w:val="19"/>
                <w:color w:val="auto"/>
              </w:rPr>
            </w:pPr>
          </w:p>
        </w:tc>
        <w:tc>
          <w:tcPr>
            <w:tcW w:w="980" w:type="dxa"/>
            <w:vAlign w:val="bottom"/>
            <w:tcBorders>
              <w:bottom w:val="single" w:sz="8" w:color="454546"/>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rPr>
              <w:t>2023</w:t>
            </w:r>
          </w:p>
        </w:tc>
      </w:tr>
      <w:tr>
        <w:trPr>
          <w:trHeight w:val="275"/>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Revenue</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368,288</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394,879</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420,457</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Less: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5"/>
        </w:trPr>
        <w:tc>
          <w:tcPr>
            <w:tcW w:w="6180" w:type="dxa"/>
            <w:vAlign w:val="bottom"/>
            <w:shd w:val="clear" w:color="auto" w:fill="E3E4E5"/>
          </w:tcPr>
          <w:p>
            <w:pPr>
              <w:ind w:left="300"/>
              <w:spacing w:after="0" w:line="285" w:lineRule="exact"/>
              <w:rPr>
                <w:sz w:val="20"/>
                <w:szCs w:val="20"/>
                <w:color w:val="auto"/>
              </w:rPr>
            </w:pPr>
            <w:r>
              <w:rPr>
                <w:rFonts w:ascii="Times New Roman" w:cs="Times New Roman" w:eastAsia="Times New Roman" w:hAnsi="Times New Roman"/>
                <w:sz w:val="20"/>
                <w:szCs w:val="20"/>
                <w:color w:val="454546"/>
              </w:rPr>
              <w:t xml:space="preserve">Adjusted cost of sales </w:t>
            </w:r>
            <w:r>
              <w:rPr>
                <w:rFonts w:ascii="Times New Roman" w:cs="Times New Roman" w:eastAsia="Times New Roman" w:hAnsi="Times New Roman"/>
                <w:sz w:val="26"/>
                <w:szCs w:val="26"/>
                <w:color w:val="454546"/>
                <w:vertAlign w:val="superscript"/>
              </w:rPr>
              <w:t>(1)</w:t>
            </w: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260,586</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280,779</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315,049</w:t>
            </w:r>
          </w:p>
        </w:tc>
      </w:tr>
      <w:tr>
        <w:trPr>
          <w:trHeight w:val="285"/>
        </w:trPr>
        <w:tc>
          <w:tcPr>
            <w:tcW w:w="6180" w:type="dxa"/>
            <w:vAlign w:val="bottom"/>
          </w:tcPr>
          <w:p>
            <w:pPr>
              <w:ind w:left="300"/>
              <w:spacing w:after="0" w:line="285" w:lineRule="exact"/>
              <w:rPr>
                <w:sz w:val="20"/>
                <w:szCs w:val="20"/>
                <w:color w:val="auto"/>
              </w:rPr>
            </w:pPr>
            <w:r>
              <w:rPr>
                <w:rFonts w:ascii="Times New Roman" w:cs="Times New Roman" w:eastAsia="Times New Roman" w:hAnsi="Times New Roman"/>
                <w:sz w:val="20"/>
                <w:szCs w:val="20"/>
                <w:color w:val="454546"/>
              </w:rPr>
              <w:t xml:space="preserve">Adjusted research and development expenses </w:t>
            </w:r>
            <w:r>
              <w:rPr>
                <w:rFonts w:ascii="Times New Roman" w:cs="Times New Roman" w:eastAsia="Times New Roman" w:hAnsi="Times New Roman"/>
                <w:sz w:val="26"/>
                <w:szCs w:val="26"/>
                <w:color w:val="454546"/>
                <w:vertAlign w:val="superscript"/>
              </w:rPr>
              <w:t>(2)</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454546"/>
              </w:rPr>
              <w:t>25,702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28,954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454546"/>
              </w:rPr>
              <w:t>30,183</w:t>
            </w:r>
          </w:p>
        </w:tc>
      </w:tr>
      <w:tr>
        <w:trPr>
          <w:trHeight w:val="285"/>
        </w:trPr>
        <w:tc>
          <w:tcPr>
            <w:tcW w:w="6180" w:type="dxa"/>
            <w:vAlign w:val="bottom"/>
            <w:shd w:val="clear" w:color="auto" w:fill="E3E4E5"/>
          </w:tcPr>
          <w:p>
            <w:pPr>
              <w:ind w:left="300"/>
              <w:spacing w:after="0" w:line="285" w:lineRule="exact"/>
              <w:rPr>
                <w:sz w:val="20"/>
                <w:szCs w:val="20"/>
                <w:color w:val="auto"/>
              </w:rPr>
            </w:pPr>
            <w:r>
              <w:rPr>
                <w:rFonts w:ascii="Times New Roman" w:cs="Times New Roman" w:eastAsia="Times New Roman" w:hAnsi="Times New Roman"/>
                <w:sz w:val="20"/>
                <w:szCs w:val="20"/>
                <w:color w:val="454546"/>
              </w:rPr>
              <w:t xml:space="preserve">Adjusted operating expenses </w:t>
            </w:r>
            <w:r>
              <w:rPr>
                <w:rFonts w:ascii="Times New Roman" w:cs="Times New Roman" w:eastAsia="Times New Roman" w:hAnsi="Times New Roman"/>
                <w:sz w:val="26"/>
                <w:szCs w:val="26"/>
                <w:color w:val="454546"/>
                <w:vertAlign w:val="superscript"/>
              </w:rPr>
              <w:t>(3)</w:t>
            </w: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5"/>
              <w:spacing w:after="0"/>
              <w:rPr>
                <w:sz w:val="20"/>
                <w:szCs w:val="20"/>
                <w:color w:val="auto"/>
              </w:rPr>
            </w:pPr>
            <w:r>
              <w:rPr>
                <w:rFonts w:ascii="Times New Roman" w:cs="Times New Roman" w:eastAsia="Times New Roman" w:hAnsi="Times New Roman"/>
                <w:sz w:val="20"/>
                <w:szCs w:val="20"/>
                <w:color w:val="454546"/>
              </w:rPr>
              <w:t>75,721</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00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82,952</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454546"/>
              </w:rPr>
              <w:t>85,345</w:t>
            </w:r>
          </w:p>
        </w:tc>
      </w:tr>
      <w:tr>
        <w:trPr>
          <w:trHeight w:val="275"/>
        </w:trPr>
        <w:tc>
          <w:tcPr>
            <w:tcW w:w="6180" w:type="dxa"/>
            <w:vAlign w:val="bottom"/>
            <w:tcBorders>
              <w:bottom w:val="single" w:sz="8" w:color="E3E4E5"/>
            </w:tcBorders>
          </w:tcPr>
          <w:p>
            <w:pPr>
              <w:ind w:left="300"/>
              <w:spacing w:after="0" w:line="275" w:lineRule="exact"/>
              <w:rPr>
                <w:sz w:val="20"/>
                <w:szCs w:val="20"/>
                <w:color w:val="auto"/>
              </w:rPr>
            </w:pPr>
            <w:r>
              <w:rPr>
                <w:rFonts w:ascii="Times New Roman" w:cs="Times New Roman" w:eastAsia="Times New Roman" w:hAnsi="Times New Roman"/>
                <w:sz w:val="20"/>
                <w:szCs w:val="20"/>
                <w:color w:val="454546"/>
              </w:rPr>
              <w:t xml:space="preserve">Other segment items </w:t>
            </w:r>
            <w:r>
              <w:rPr>
                <w:rFonts w:ascii="Times New Roman" w:cs="Times New Roman" w:eastAsia="Times New Roman" w:hAnsi="Times New Roman"/>
                <w:sz w:val="26"/>
                <w:szCs w:val="26"/>
                <w:color w:val="454546"/>
                <w:vertAlign w:val="superscript"/>
              </w:rPr>
              <w:t>(4)</w:t>
            </w:r>
          </w:p>
        </w:tc>
        <w:tc>
          <w:tcPr>
            <w:tcW w:w="320" w:type="dxa"/>
            <w:vAlign w:val="bottom"/>
            <w:tcBorders>
              <w:bottom w:val="single" w:sz="8" w:color="454546"/>
            </w:tcBorders>
          </w:tcPr>
          <w:p>
            <w:pPr>
              <w:spacing w:after="0"/>
              <w:rPr>
                <w:sz w:val="23"/>
                <w:szCs w:val="23"/>
                <w:color w:val="auto"/>
              </w:rPr>
            </w:pPr>
          </w:p>
        </w:tc>
        <w:tc>
          <w:tcPr>
            <w:tcW w:w="1000" w:type="dxa"/>
            <w:vAlign w:val="bottom"/>
            <w:tcBorders>
              <w:bottom w:val="single" w:sz="8" w:color="454546"/>
            </w:tcBorders>
          </w:tcPr>
          <w:p>
            <w:pPr>
              <w:jc w:val="right"/>
              <w:ind w:right="5"/>
              <w:spacing w:after="0"/>
              <w:rPr>
                <w:sz w:val="20"/>
                <w:szCs w:val="20"/>
                <w:color w:val="auto"/>
              </w:rPr>
            </w:pPr>
            <w:r>
              <w:rPr>
                <w:rFonts w:ascii="Times New Roman" w:cs="Times New Roman" w:eastAsia="Times New Roman" w:hAnsi="Times New Roman"/>
                <w:sz w:val="20"/>
                <w:szCs w:val="20"/>
                <w:color w:val="454546"/>
              </w:rPr>
              <w:t>24,878</w:t>
            </w:r>
          </w:p>
        </w:tc>
        <w:tc>
          <w:tcPr>
            <w:tcW w:w="60" w:type="dxa"/>
            <w:vAlign w:val="bottom"/>
            <w:tcBorders>
              <w:bottom w:val="single" w:sz="8" w:color="E3E4E5"/>
            </w:tcBorders>
          </w:tcPr>
          <w:p>
            <w:pPr>
              <w:spacing w:after="0"/>
              <w:rPr>
                <w:sz w:val="23"/>
                <w:szCs w:val="23"/>
                <w:color w:val="auto"/>
              </w:rPr>
            </w:pPr>
          </w:p>
        </w:tc>
        <w:tc>
          <w:tcPr>
            <w:tcW w:w="320" w:type="dxa"/>
            <w:vAlign w:val="bottom"/>
            <w:tcBorders>
              <w:bottom w:val="single" w:sz="8" w:color="454546"/>
            </w:tcBorders>
          </w:tcPr>
          <w:p>
            <w:pPr>
              <w:spacing w:after="0"/>
              <w:rPr>
                <w:sz w:val="23"/>
                <w:szCs w:val="23"/>
                <w:color w:val="auto"/>
              </w:rPr>
            </w:pPr>
          </w:p>
        </w:tc>
        <w:tc>
          <w:tcPr>
            <w:tcW w:w="1000" w:type="dxa"/>
            <w:vAlign w:val="bottom"/>
            <w:tcBorders>
              <w:bottom w:val="single" w:sz="8" w:color="454546"/>
            </w:tcBorders>
          </w:tcPr>
          <w:p>
            <w:pPr>
              <w:jc w:val="right"/>
              <w:ind w:right="3"/>
              <w:spacing w:after="0"/>
              <w:rPr>
                <w:sz w:val="20"/>
                <w:szCs w:val="20"/>
                <w:color w:val="auto"/>
              </w:rPr>
            </w:pPr>
            <w:r>
              <w:rPr>
                <w:rFonts w:ascii="Times New Roman" w:cs="Times New Roman" w:eastAsia="Times New Roman" w:hAnsi="Times New Roman"/>
                <w:sz w:val="20"/>
                <w:szCs w:val="20"/>
                <w:color w:val="454546"/>
              </w:rPr>
              <w:t>26,223</w:t>
            </w:r>
          </w:p>
        </w:tc>
        <w:tc>
          <w:tcPr>
            <w:tcW w:w="60" w:type="dxa"/>
            <w:vAlign w:val="bottom"/>
            <w:tcBorders>
              <w:bottom w:val="single" w:sz="8" w:color="E3E4E5"/>
            </w:tcBorders>
          </w:tcPr>
          <w:p>
            <w:pPr>
              <w:spacing w:after="0"/>
              <w:rPr>
                <w:sz w:val="23"/>
                <w:szCs w:val="23"/>
                <w:color w:val="auto"/>
              </w:rPr>
            </w:pPr>
          </w:p>
        </w:tc>
        <w:tc>
          <w:tcPr>
            <w:tcW w:w="340" w:type="dxa"/>
            <w:vAlign w:val="bottom"/>
            <w:tcBorders>
              <w:bottom w:val="single" w:sz="8" w:color="454546"/>
            </w:tcBorders>
          </w:tcPr>
          <w:p>
            <w:pPr>
              <w:spacing w:after="0"/>
              <w:rPr>
                <w:sz w:val="23"/>
                <w:szCs w:val="23"/>
                <w:color w:val="auto"/>
              </w:rPr>
            </w:pPr>
          </w:p>
        </w:tc>
        <w:tc>
          <w:tcPr>
            <w:tcW w:w="980" w:type="dxa"/>
            <w:vAlign w:val="bottom"/>
            <w:tcBorders>
              <w:bottom w:val="single" w:sz="8" w:color="454546"/>
            </w:tcBorders>
          </w:tcPr>
          <w:p>
            <w:pPr>
              <w:jc w:val="right"/>
              <w:ind w:right="3"/>
              <w:spacing w:after="0"/>
              <w:rPr>
                <w:sz w:val="20"/>
                <w:szCs w:val="20"/>
                <w:color w:val="auto"/>
              </w:rPr>
            </w:pPr>
            <w:r>
              <w:rPr>
                <w:rFonts w:ascii="Times New Roman" w:cs="Times New Roman" w:eastAsia="Times New Roman" w:hAnsi="Times New Roman"/>
                <w:sz w:val="20"/>
                <w:szCs w:val="20"/>
                <w:color w:val="454546"/>
              </w:rPr>
              <w:t>88,118</w:t>
            </w:r>
          </w:p>
        </w:tc>
      </w:tr>
      <w:tr>
        <w:trPr>
          <w:trHeight w:val="275"/>
        </w:trPr>
        <w:tc>
          <w:tcPr>
            <w:tcW w:w="61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Net income (loss)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(18,599)</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(24,029)</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(98,238)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-1291590</wp:posOffset>
            </wp:positionV>
            <wp:extent cx="2632075"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8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-205740</wp:posOffset>
            </wp:positionV>
            <wp:extent cx="1778000"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87">
                      <a:extLst>
                        <a:ext uri="{28A0092B-C50C-407E-A947-70E740481C1C}"/>
                      </a:extLst>
                    </a:blip>
                    <a:srcRect/>
                    <a:stretch>
                      <a:fillRect/>
                    </a:stretch>
                  </pic:blipFill>
                  <pic:spPr bwMode="auto">
                    <a:xfrm>
                      <a:off x="0" y="0"/>
                      <a:ext cx="1778000" cy="50800"/>
                    </a:xfrm>
                    <a:prstGeom prst="rect">
                      <a:avLst/>
                    </a:prstGeom>
                    <a:noFill/>
                  </pic:spPr>
                </pic:pic>
              </a:graphicData>
            </a:graphic>
          </wp:anchor>
        </w:drawing>
      </w:r>
    </w:p>
    <w:p>
      <w:pPr>
        <w:spacing w:after="0" w:line="78" w:lineRule="exact"/>
        <w:rPr>
          <w:sz w:val="20"/>
          <w:szCs w:val="20"/>
          <w:color w:val="auto"/>
        </w:rPr>
      </w:pPr>
    </w:p>
    <w:p>
      <w:pPr>
        <w:ind w:left="720" w:hanging="370"/>
        <w:spacing w:after="0" w:line="226" w:lineRule="auto"/>
        <w:tabs>
          <w:tab w:leader="none" w:pos="720" w:val="left"/>
        </w:tabs>
        <w:numPr>
          <w:ilvl w:val="0"/>
          <w:numId w:val="43"/>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Cost of sales from the consolidated statements of operations, adjusted to exclude impairment of long-lived assets and stock-based compensation expense.</w:t>
      </w:r>
    </w:p>
    <w:p>
      <w:pPr>
        <w:spacing w:after="0" w:line="3" w:lineRule="exact"/>
        <w:rPr>
          <w:rFonts w:ascii="Times New Roman" w:cs="Times New Roman" w:eastAsia="Times New Roman" w:hAnsi="Times New Roman"/>
          <w:sz w:val="26"/>
          <w:szCs w:val="26"/>
          <w:color w:val="454546"/>
          <w:vertAlign w:val="superscript"/>
        </w:rPr>
      </w:pPr>
    </w:p>
    <w:p>
      <w:pPr>
        <w:ind w:left="720" w:hanging="370"/>
        <w:spacing w:after="0"/>
        <w:tabs>
          <w:tab w:leader="none" w:pos="720" w:val="left"/>
        </w:tabs>
        <w:numPr>
          <w:ilvl w:val="0"/>
          <w:numId w:val="43"/>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R&amp;D expenses from the consolidated statements of operations, adjusted to exclude stock-based compensation expense.</w:t>
      </w:r>
    </w:p>
    <w:p>
      <w:pPr>
        <w:spacing w:after="0" w:line="61" w:lineRule="exact"/>
        <w:rPr>
          <w:rFonts w:ascii="Times New Roman" w:cs="Times New Roman" w:eastAsia="Times New Roman" w:hAnsi="Times New Roman"/>
          <w:sz w:val="26"/>
          <w:szCs w:val="26"/>
          <w:color w:val="454546"/>
          <w:vertAlign w:val="superscript"/>
        </w:rPr>
      </w:pPr>
    </w:p>
    <w:p>
      <w:pPr>
        <w:jc w:val="both"/>
        <w:ind w:left="720" w:hanging="370"/>
        <w:spacing w:after="0" w:line="227" w:lineRule="auto"/>
        <w:tabs>
          <w:tab w:leader="none" w:pos="720" w:val="left"/>
        </w:tabs>
        <w:numPr>
          <w:ilvl w:val="0"/>
          <w:numId w:val="43"/>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Operating expenses less R&amp;D expenses from the consolidated statements of operations, adjusted to exclude stock-based compensation, amortization of acquired intangible assets, costs associated with our Roku litigation, factory restructuring charges, legal judgment, severance, lease abandonment costs and goodwill impairment.</w:t>
      </w:r>
    </w:p>
    <w:p>
      <w:pPr>
        <w:spacing w:after="0" w:line="40" w:lineRule="exact"/>
        <w:rPr>
          <w:rFonts w:ascii="Times New Roman" w:cs="Times New Roman" w:eastAsia="Times New Roman" w:hAnsi="Times New Roman"/>
          <w:sz w:val="26"/>
          <w:szCs w:val="26"/>
          <w:color w:val="454546"/>
          <w:vertAlign w:val="superscript"/>
        </w:rPr>
      </w:pPr>
    </w:p>
    <w:p>
      <w:pPr>
        <w:ind w:left="720" w:hanging="370"/>
        <w:spacing w:after="0" w:line="226" w:lineRule="auto"/>
        <w:tabs>
          <w:tab w:leader="none" w:pos="720" w:val="left"/>
        </w:tabs>
        <w:numPr>
          <w:ilvl w:val="0"/>
          <w:numId w:val="43"/>
        </w:numPr>
        <w:rPr>
          <w:rFonts w:ascii="Times New Roman" w:cs="Times New Roman" w:eastAsia="Times New Roman" w:hAnsi="Times New Roman"/>
          <w:sz w:val="26"/>
          <w:szCs w:val="26"/>
          <w:color w:val="454546"/>
          <w:vertAlign w:val="superscript"/>
        </w:rPr>
      </w:pPr>
      <w:r>
        <w:rPr>
          <w:rFonts w:ascii="Times New Roman" w:cs="Times New Roman" w:eastAsia="Times New Roman" w:hAnsi="Times New Roman"/>
          <w:sz w:val="20"/>
          <w:szCs w:val="20"/>
          <w:color w:val="454546"/>
        </w:rPr>
        <w:t>Other segment items include the adjustments described in the notes above; as well as interest income (expense), net; other income (expense), net; and provision for income taxes.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The measure of segment assets is reported on our consolidated balance sheets as consolidated total assets. Long-lived assets by geographic area are disclosed in Note 6. The measure of revenues from external customers is reported on the consolidated statements of operations as net sales. Revenues by geographic region and information about major customers are disclosed in Note 4. Depreciation expense is disclosed in Note 6. Amortization expense is disclosed in Note 7. Interest expense is disclosed in Note 9 and income taxes are disclosed in Note 10.</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83</w:t>
      </w:r>
    </w:p>
    <w:p>
      <w:pPr>
        <w:sectPr>
          <w:pgSz w:w="11880" w:h="15480" w:orient="portrait"/>
          <w:cols w:equalWidth="0" w:num="1">
            <w:col w:w="10260"/>
          </w:cols>
          <w:pgMar w:left="820" w:top="213" w:right="800" w:bottom="0" w:gutter="0" w:footer="0" w:header="0"/>
          <w:type w:val="continuous"/>
        </w:sectPr>
      </w:pPr>
    </w:p>
    <w:bookmarkStart w:id="87" w:name="page88"/>
    <w:bookmarkEnd w:id="87"/>
    <w:p>
      <w:pPr>
        <w:jc w:val="center"/>
        <w:ind w:right="20"/>
        <w:spacing w:after="0" w:line="229" w:lineRule="auto"/>
        <w:rPr>
          <w:sz w:val="20"/>
          <w:szCs w:val="20"/>
          <w:color w:val="auto"/>
        </w:rPr>
      </w:pPr>
      <w:r>
        <w:rPr>
          <w:rFonts w:ascii="Times New Roman" w:cs="Times New Roman" w:eastAsia="Times New Roman" w:hAnsi="Times New Roman"/>
          <w:sz w:val="20"/>
          <w:szCs w:val="20"/>
          <w:b w:val="1"/>
          <w:bCs w:val="1"/>
          <w:color w:val="454546"/>
        </w:rPr>
        <w:t>UNIVERSAL ELECTRONICS INC. NOTES TO CONSOLIDATED FINANCIAL STATEMENTS DECEMBER 31, 2025</w:t>
      </w:r>
    </w:p>
    <w:p>
      <w:pPr>
        <w:spacing w:after="0" w:line="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b w:val="1"/>
          <w:bCs w:val="1"/>
          <w:color w:val="454546"/>
        </w:rPr>
        <w:t>ITEM 9. CHANGES IN AND DISAGREEMENTS WITH ACCOUNTANTS ON ACCOUNTING AND FINANCIAL DISCLOSURE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9A. CONTROLS AND PROCEDURES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Disclosure Controls and Procedures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Management's Annual Report on Internal Control Over Financial Reporting</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454546"/>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2025.</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The effectiveness of our internal control over financial reporting as of December 31, 2025 has been audited by Grant Thornton LLP, an independent registered public accounting firm, as stated in its attestation report which is included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Changes in Internal Control Over Financial Reporting</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There have been no changes in our internal control over financial reporting during the fourth quarter of 2025 that have materially affected, or are reasonably likely to affect, our internal control over financial reporting.</w:t>
      </w:r>
    </w:p>
    <w:p>
      <w:pPr>
        <w:sectPr>
          <w:pgSz w:w="11880" w:h="15480" w:orient="portrait"/>
          <w:cols w:equalWidth="0" w:num="1">
            <w:col w:w="10260"/>
          </w:cols>
          <w:pgMar w:left="820" w:top="2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84</w:t>
      </w:r>
    </w:p>
    <w:p>
      <w:pPr>
        <w:sectPr>
          <w:pgSz w:w="11880" w:h="15480" w:orient="portrait"/>
          <w:cols w:equalWidth="0" w:num="1">
            <w:col w:w="10260"/>
          </w:cols>
          <w:pgMar w:left="820" w:top="213" w:right="80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u w:val="single" w:color="auto"/>
          <w:color w:val="454546"/>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Board of Directors and Stockholders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Universal Electronics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Opinion on internal control over financial reporting</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 xml:space="preserve">We have audited the internal control over financial reporting of Universal Electronics Inc. (a Delaware corporation) and subsidiaries (the "Company") as of December 31, 2025, based on criteria established in the 2013 </w:t>
      </w:r>
      <w:r>
        <w:rPr>
          <w:rFonts w:ascii="Times New Roman" w:cs="Times New Roman" w:eastAsia="Times New Roman" w:hAnsi="Times New Roman"/>
          <w:sz w:val="20"/>
          <w:szCs w:val="20"/>
          <w:i w:val="1"/>
          <w:iCs w:val="1"/>
          <w:color w:val="454546"/>
        </w:rPr>
        <w:t>Internal Control-Integrated</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 xml:space="preserve">Framework </w:t>
      </w:r>
      <w:r>
        <w:rPr>
          <w:rFonts w:ascii="Times New Roman" w:cs="Times New Roman" w:eastAsia="Times New Roman" w:hAnsi="Times New Roman"/>
          <w:sz w:val="20"/>
          <w:szCs w:val="20"/>
          <w:color w:val="454546"/>
        </w:rPr>
        <w:t>issued by the Committee of Sponsoring Organizations of the Treadway Commission ("COSO"). In our opinion, the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 xml:space="preserve">Company maintained, in all material respects, effective internal control over financial reporting as of December 31, 2025, based on criteria established in the 2013 </w:t>
      </w:r>
      <w:r>
        <w:rPr>
          <w:rFonts w:ascii="Times New Roman" w:cs="Times New Roman" w:eastAsia="Times New Roman" w:hAnsi="Times New Roman"/>
          <w:sz w:val="20"/>
          <w:szCs w:val="20"/>
          <w:i w:val="1"/>
          <w:iCs w:val="1"/>
          <w:color w:val="454546"/>
        </w:rPr>
        <w:t>Internal Control-Integrated Framework</w:t>
      </w:r>
      <w:r>
        <w:rPr>
          <w:rFonts w:ascii="Times New Roman" w:cs="Times New Roman" w:eastAsia="Times New Roman" w:hAnsi="Times New Roman"/>
          <w:sz w:val="20"/>
          <w:szCs w:val="20"/>
          <w:color w:val="454546"/>
        </w:rPr>
        <w:t xml:space="preserve"> issued by COSO.</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We also have audited, in accordance with the standards of the Public Company Accounting Oversight Board (United States) ("PCAOB"), the consolidated financial statements of the Company as of and for the year ended December 31, 2025, and our report dated March 12, 2026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Basis for opinion</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Definition and limitations of internal control over financial reporting</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GRANT THORNTON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Phoenix, Arizona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March 12, 2026</w:t>
      </w: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85</w:t>
      </w:r>
    </w:p>
    <w:p>
      <w:pPr>
        <w:sectPr>
          <w:pgSz w:w="11880" w:h="15480" w:orient="portrait"/>
          <w:cols w:equalWidth="0" w:num="1">
            <w:col w:w="10260"/>
          </w:cols>
          <w:pgMar w:left="820" w:top="606" w:right="8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454546"/>
        </w:rPr>
        <w:t>ITEM 9B. OTHER INFORMATION</w:t>
      </w:r>
    </w:p>
    <w:p>
      <w:pPr>
        <w:spacing w:after="0" w:line="274" w:lineRule="exact"/>
        <w:rPr>
          <w:sz w:val="20"/>
          <w:szCs w:val="20"/>
          <w:color w:val="auto"/>
        </w:rPr>
      </w:pPr>
    </w:p>
    <w:p>
      <w:pPr>
        <w:jc w:val="both"/>
        <w:ind w:right="20"/>
        <w:spacing w:after="0" w:line="223" w:lineRule="auto"/>
        <w:rPr>
          <w:sz w:val="20"/>
          <w:szCs w:val="20"/>
          <w:color w:val="auto"/>
        </w:rPr>
      </w:pPr>
      <w:r>
        <w:rPr>
          <w:rFonts w:ascii="Calibri" w:cs="Calibri" w:eastAsia="Calibri" w:hAnsi="Calibri"/>
          <w:sz w:val="22"/>
          <w:szCs w:val="22"/>
          <w:color w:val="454546"/>
        </w:rPr>
        <w:t>O</w:t>
      </w:r>
      <w:r>
        <w:rPr>
          <w:rFonts w:ascii="Times New Roman" w:cs="Times New Roman" w:eastAsia="Times New Roman" w:hAnsi="Times New Roman"/>
          <w:sz w:val="20"/>
          <w:szCs w:val="20"/>
          <w:color w:val="454546"/>
        </w:rPr>
        <w:t>n December 10, 2025, Ramzi Ammari, SVP, Corporate Planning and Strategy, adopted a trading plan intended to satisfy Rule</w:t>
      </w:r>
      <w:r>
        <w:rPr>
          <w:rFonts w:ascii="Calibri" w:cs="Calibri" w:eastAsia="Calibri" w:hAnsi="Calibri"/>
          <w:sz w:val="22"/>
          <w:szCs w:val="22"/>
          <w:color w:val="454546"/>
        </w:rPr>
        <w:t xml:space="preserve"> </w:t>
      </w:r>
      <w:r>
        <w:rPr>
          <w:rFonts w:ascii="Times New Roman" w:cs="Times New Roman" w:eastAsia="Times New Roman" w:hAnsi="Times New Roman"/>
          <w:sz w:val="20"/>
          <w:szCs w:val="20"/>
          <w:color w:val="454546"/>
        </w:rPr>
        <w:t>10b5-1(c) under the Exchange Act with respect to the sale of up to 6,000 shares of our common stock between May 9, 2026 and November 9, 2026.</w:t>
      </w:r>
    </w:p>
    <w:p>
      <w:pPr>
        <w:spacing w:after="0" w:line="19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454546"/>
        </w:rPr>
        <w:t>On December 11, 2025, Richard K. Carnifax, interim Chief Executive Officer and COO, adopted a trading plan intended to satisfy Rule 10b5-1(c) under the Exchange Act with respect to the sale of up to 4,664 shares of our common stock between May 7, 2026 and February 7, 2027.</w:t>
      </w:r>
    </w:p>
    <w:p>
      <w:pPr>
        <w:spacing w:after="0" w:line="180"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20"/>
          <w:szCs w:val="20"/>
          <w:color w:val="454546"/>
        </w:rPr>
        <w:t>On December 15, 2025, Sui Man (Raymond) Ho, SVP, Finance and former interim Chief Financial Officer, adopted a trading plan intended to satisfy Rule 10b5-1(c) under the Exchange Act with respect to the sale of up to 9,684 shares of our common stock between May 23, 2026 and May 13, 2027.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9C. DISCLOSURE REGARDING FOREIGN JURISDICTIONS THAT PREVENT INSPECTIONS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Not applicable.</w:t>
      </w: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10. DIRECTORS, EXECUTIVE OFFICERS, AND CORPORATE GOVERNANCE</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54546"/>
        </w:rPr>
        <w:t>Information required by Item 401 of Regulation S-K with respect to our directors will be contained in and is hereby incorporated by reference to our definitive Proxy Statement for our 2026 Annual Meeting of Stockholders to be filed pursuant to Regulation 14A promulgated by the SEC under the Exchange Act (the "Proxy Statement") under the caption "Corporate Governance—Information About Our Continuing Directors". Information regarding executive officers of the Company is set forth in Part I of this Form 10-K.</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Item 405 of Regulation S-K calls for disclosure of any known late filing or failure by an insider to file a report required by Section 16(a) of the Exchange Act. To the extent disclosure for delinquent reports is being made, it can be found under the caption “Delinquent Section 16(a) Reports” in the Proxy Statement and is incorporated herein by reference.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454546"/>
        </w:rPr>
        <w:t xml:space="preserve">With respect to Item 406 of Regulation S-K, we have adopted a code of conduct that applies to all of our employees, including without limitation our principal executive officer, principal financial officer and principal accounting officer. The Code of Conduct is available on our website free of charge, </w:t>
      </w:r>
      <w:r>
        <w:rPr>
          <w:rFonts w:ascii="Times New Roman" w:cs="Times New Roman" w:eastAsia="Times New Roman" w:hAnsi="Times New Roman"/>
          <w:sz w:val="20"/>
          <w:szCs w:val="20"/>
          <w:u w:val="single" w:color="auto"/>
          <w:color w:val="454546"/>
        </w:rPr>
        <w:t>www.uei.com,</w:t>
      </w:r>
      <w:r>
        <w:rPr>
          <w:rFonts w:ascii="Times New Roman" w:cs="Times New Roman" w:eastAsia="Times New Roman" w:hAnsi="Times New Roman"/>
          <w:sz w:val="20"/>
          <w:szCs w:val="20"/>
          <w:color w:val="454546"/>
        </w:rPr>
        <w:t xml:space="preserve"> under the caption "Governance" and then "Committee composition, documents and confidential ethics line"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Information required by Item 401(7)(d)(4) and (d)(5) will be contained in and is hereby incorporated by reference to the Proxy Statement under the captions “Corporate Governance—Board Structure and Committee Membership—Role of Primary Board Committees,” and “Corporate Governance—Board Structure and Committee Membership—Audit Committee”.</w:t>
      </w:r>
    </w:p>
    <w:p>
      <w:pPr>
        <w:spacing w:after="0" w:line="18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454546"/>
        </w:rPr>
        <w:t>With respect to Item 408(b) of Regulation S-K, the Company has adopted an insider trading policy governing the purchase, sale and other dispositions of our securities by directors, officers, and employees (the “Insider Trading Policy”). The Company believes that the Insider Trading Policy is reasonably designed to promote compliance with insider trading laws, rules and regulations, and listing standards applicable to the Company. A copy of the Insider Trading Policy is filed as Exhibit 19.1 to this Annual Report on Form 10-K.</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If applicable, information required by Item 407(c)(3) will also be contained in and is hereby incorporated by reference to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11. EXECUTIVE COMPENSATION</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Information required by Item 402 of Regulation S-K will be contained in and is hereby incorporated by reference to the Proxy Statement under the captions "Summary Compensation Table", "Potential Payments Upon Termination or Change in Control" and "Director Compensation and Stock Ownership Guidelines".</w:t>
      </w: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86</w:t>
      </w:r>
    </w:p>
    <w:p>
      <w:pPr>
        <w:sectPr>
          <w:pgSz w:w="11880" w:h="15480" w:orient="portrait"/>
          <w:cols w:equalWidth="0" w:num="1">
            <w:col w:w="10260"/>
          </w:cols>
          <w:pgMar w:left="820" w:top="606" w:right="800" w:bottom="0" w:gutter="0" w:footer="0" w:header="0"/>
          <w:type w:val="continuous"/>
        </w:sectPr>
      </w:pPr>
    </w:p>
    <w:bookmarkStart w:id="90" w:name="page91"/>
    <w:bookmarkEnd w:id="90"/>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454546"/>
        </w:rPr>
        <w:t>ITEM 12. SECURITY OWNERSHIP OF CERTAIN BENEFICIAL OWNERS AND MANAGEMENT AND RELATED STOCKHOLDER MATTERS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454546"/>
        </w:rPr>
        <w:t>Information required by Item 403 of Regulation S-K will be contained in and is hereby incorporated by reference to the Proxy Statement under the captions "Related Persons Transactions—Security Ownership of Directors and Executive Officers" and "Related Persons Transactions—Security Ownership of Certain Beneficial Owners".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following summarizes our equity compensation plans at December 31, 2025:</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Equity Compensation Plan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rPr>
              <w:t>(a)</w:t>
            </w:r>
          </w:p>
        </w:tc>
        <w:tc>
          <w:tcPr>
            <w:tcW w:w="60" w:type="dxa"/>
            <w:vAlign w:val="bottom"/>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1160" w:type="dxa"/>
            <w:vAlign w:val="bottom"/>
            <w:tcBorders>
              <w:bottom w:val="single" w:sz="8" w:color="454546"/>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454546"/>
              </w:rPr>
              <w:t>(b)</w:t>
            </w:r>
          </w:p>
        </w:tc>
        <w:tc>
          <w:tcPr>
            <w:tcW w:w="80" w:type="dxa"/>
            <w:vAlign w:val="bottom"/>
          </w:tcPr>
          <w:p>
            <w:pPr>
              <w:spacing w:after="0"/>
              <w:rPr>
                <w:sz w:val="18"/>
                <w:szCs w:val="18"/>
                <w:color w:val="auto"/>
              </w:rPr>
            </w:pPr>
          </w:p>
        </w:tc>
        <w:tc>
          <w:tcPr>
            <w:tcW w:w="20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rPr>
              <w:t>(c)</w:t>
            </w:r>
          </w:p>
        </w:tc>
        <w:tc>
          <w:tcPr>
            <w:tcW w:w="0" w:type="dxa"/>
            <w:vAlign w:val="bottom"/>
          </w:tcPr>
          <w:p>
            <w:pPr>
              <w:spacing w:after="0"/>
              <w:rPr>
                <w:sz w:val="1"/>
                <w:szCs w:val="1"/>
                <w:color w:val="auto"/>
              </w:rPr>
            </w:pPr>
          </w:p>
        </w:tc>
      </w:tr>
      <w:tr>
        <w:trPr>
          <w:trHeight w:val="211"/>
        </w:trPr>
        <w:tc>
          <w:tcPr>
            <w:tcW w:w="5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Number of securities</w:t>
            </w: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Securities to be</w:t>
            </w:r>
          </w:p>
        </w:tc>
        <w:tc>
          <w:tcPr>
            <w:tcW w:w="60" w:type="dxa"/>
            <w:vAlign w:val="bottom"/>
          </w:tcPr>
          <w:p>
            <w:pPr>
              <w:spacing w:after="0"/>
              <w:rPr>
                <w:sz w:val="13"/>
                <w:szCs w:val="13"/>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Weighted-average</w:t>
            </w:r>
          </w:p>
        </w:tc>
        <w:tc>
          <w:tcPr>
            <w:tcW w:w="80" w:type="dxa"/>
            <w:vAlign w:val="bottom"/>
          </w:tcPr>
          <w:p>
            <w:pPr>
              <w:spacing w:after="0"/>
              <w:rPr>
                <w:sz w:val="13"/>
                <w:szCs w:val="13"/>
                <w:color w:val="auto"/>
              </w:rPr>
            </w:pPr>
          </w:p>
        </w:tc>
        <w:tc>
          <w:tcPr>
            <w:tcW w:w="2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remaining available for</w:t>
            </w: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issued upon</w:t>
            </w:r>
          </w:p>
        </w:tc>
        <w:tc>
          <w:tcPr>
            <w:tcW w:w="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future issuance under</w:t>
            </w: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exercise of</w:t>
            </w:r>
          </w:p>
        </w:tc>
        <w:tc>
          <w:tcPr>
            <w:tcW w:w="60" w:type="dxa"/>
            <w:vAlign w:val="bottom"/>
          </w:tcPr>
          <w:p>
            <w:pPr>
              <w:spacing w:after="0"/>
              <w:rPr>
                <w:sz w:val="13"/>
                <w:szCs w:val="13"/>
                <w:color w:val="auto"/>
              </w:rPr>
            </w:pPr>
          </w:p>
        </w:tc>
        <w:tc>
          <w:tcPr>
            <w:tcW w:w="13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exercise price of</w:t>
            </w:r>
          </w:p>
        </w:tc>
        <w:tc>
          <w:tcPr>
            <w:tcW w:w="80" w:type="dxa"/>
            <w:vAlign w:val="bottom"/>
          </w:tcPr>
          <w:p>
            <w:pPr>
              <w:spacing w:after="0"/>
              <w:rPr>
                <w:sz w:val="13"/>
                <w:szCs w:val="13"/>
                <w:color w:val="auto"/>
              </w:rPr>
            </w:pPr>
          </w:p>
        </w:tc>
        <w:tc>
          <w:tcPr>
            <w:tcW w:w="2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equity compensation plans</w:t>
            </w: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outstanding</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10"/>
              <w:spacing w:after="0" w:line="160" w:lineRule="exact"/>
              <w:rPr>
                <w:sz w:val="20"/>
                <w:szCs w:val="20"/>
                <w:color w:val="auto"/>
              </w:rPr>
            </w:pPr>
            <w:r>
              <w:rPr>
                <w:rFonts w:ascii="Times New Roman" w:cs="Times New Roman" w:eastAsia="Times New Roman" w:hAnsi="Times New Roman"/>
                <w:sz w:val="16"/>
                <w:szCs w:val="16"/>
                <w:b w:val="1"/>
                <w:bCs w:val="1"/>
                <w:color w:val="454546"/>
                <w:w w:val="98"/>
              </w:rPr>
              <w:t>outstanding</w:t>
            </w:r>
          </w:p>
        </w:tc>
        <w:tc>
          <w:tcPr>
            <w:tcW w:w="80" w:type="dxa"/>
            <w:vAlign w:val="bottom"/>
          </w:tcPr>
          <w:p>
            <w:pPr>
              <w:spacing w:after="0"/>
              <w:rPr>
                <w:sz w:val="13"/>
                <w:szCs w:val="13"/>
                <w:color w:val="auto"/>
              </w:rPr>
            </w:pPr>
          </w:p>
        </w:tc>
        <w:tc>
          <w:tcPr>
            <w:tcW w:w="2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(excluding</w:t>
            </w:r>
          </w:p>
        </w:tc>
        <w:tc>
          <w:tcPr>
            <w:tcW w:w="0" w:type="dxa"/>
            <w:vAlign w:val="bottom"/>
          </w:tcPr>
          <w:p>
            <w:pPr>
              <w:spacing w:after="0"/>
              <w:rPr>
                <w:sz w:val="1"/>
                <w:szCs w:val="1"/>
                <w:color w:val="auto"/>
              </w:rPr>
            </w:pPr>
          </w:p>
        </w:tc>
      </w:tr>
      <w:tr>
        <w:trPr>
          <w:trHeight w:val="160"/>
        </w:trPr>
        <w:tc>
          <w:tcPr>
            <w:tcW w:w="5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454546"/>
              </w:rPr>
              <w:t>Plan Category</w:t>
            </w:r>
          </w:p>
        </w:tc>
        <w:tc>
          <w:tcPr>
            <w:tcW w:w="60" w:type="dxa"/>
            <w:vAlign w:val="bottom"/>
            <w:vMerge w:val="restart"/>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options,</w:t>
            </w:r>
          </w:p>
        </w:tc>
        <w:tc>
          <w:tcPr>
            <w:tcW w:w="60" w:type="dxa"/>
            <w:vAlign w:val="bottom"/>
          </w:tcPr>
          <w:p>
            <w:pPr>
              <w:spacing w:after="0"/>
              <w:rPr>
                <w:sz w:val="13"/>
                <w:szCs w:val="13"/>
                <w:color w:val="auto"/>
              </w:rPr>
            </w:pPr>
          </w:p>
        </w:tc>
        <w:tc>
          <w:tcPr>
            <w:tcW w:w="13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w w:val="99"/>
              </w:rPr>
              <w:t>options, warrants</w:t>
            </w:r>
          </w:p>
        </w:tc>
        <w:tc>
          <w:tcPr>
            <w:tcW w:w="80" w:type="dxa"/>
            <w:vAlign w:val="bottom"/>
          </w:tcPr>
          <w:p>
            <w:pPr>
              <w:spacing w:after="0"/>
              <w:rPr>
                <w:sz w:val="13"/>
                <w:szCs w:val="13"/>
                <w:color w:val="auto"/>
              </w:rPr>
            </w:pPr>
          </w:p>
        </w:tc>
        <w:tc>
          <w:tcPr>
            <w:tcW w:w="2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454546"/>
              </w:rPr>
              <w:t>securities reflected</w:t>
            </w:r>
          </w:p>
        </w:tc>
        <w:tc>
          <w:tcPr>
            <w:tcW w:w="0" w:type="dxa"/>
            <w:vAlign w:val="bottom"/>
          </w:tcPr>
          <w:p>
            <w:pPr>
              <w:spacing w:after="0"/>
              <w:rPr>
                <w:sz w:val="1"/>
                <w:szCs w:val="1"/>
                <w:color w:val="auto"/>
              </w:rPr>
            </w:pPr>
          </w:p>
        </w:tc>
      </w:tr>
      <w:tr>
        <w:trPr>
          <w:trHeight w:val="214"/>
        </w:trPr>
        <w:tc>
          <w:tcPr>
            <w:tcW w:w="5100" w:type="dxa"/>
            <w:vAlign w:val="bottom"/>
            <w:tcBorders>
              <w:bottom w:val="single" w:sz="8" w:color="454546"/>
            </w:tcBorders>
            <w:vMerge w:val="continue"/>
          </w:tcPr>
          <w:p>
            <w:pPr>
              <w:spacing w:after="0"/>
              <w:rPr>
                <w:sz w:val="18"/>
                <w:szCs w:val="18"/>
                <w:color w:val="auto"/>
              </w:rPr>
            </w:pPr>
          </w:p>
        </w:tc>
        <w:tc>
          <w:tcPr>
            <w:tcW w:w="60" w:type="dxa"/>
            <w:vAlign w:val="bottom"/>
            <w:tcBorders>
              <w:bottom w:val="single" w:sz="8" w:color="E3E4E5"/>
            </w:tcBorders>
            <w:vMerge w:val="continue"/>
          </w:tcPr>
          <w:p>
            <w:pPr>
              <w:spacing w:after="0"/>
              <w:rPr>
                <w:sz w:val="18"/>
                <w:szCs w:val="18"/>
                <w:color w:val="auto"/>
              </w:rPr>
            </w:pPr>
          </w:p>
        </w:tc>
        <w:tc>
          <w:tcPr>
            <w:tcW w:w="15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warrants and rights</w:t>
            </w:r>
          </w:p>
        </w:tc>
        <w:tc>
          <w:tcPr>
            <w:tcW w:w="60" w:type="dxa"/>
            <w:vAlign w:val="bottom"/>
            <w:tcBorders>
              <w:bottom w:val="single" w:sz="8" w:color="E3E4E5"/>
            </w:tcBorders>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1160" w:type="dxa"/>
            <w:vAlign w:val="bottom"/>
            <w:tcBorders>
              <w:bottom w:val="single" w:sz="8" w:color="454546"/>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454546"/>
              </w:rPr>
              <w:t>and rights</w:t>
            </w:r>
          </w:p>
        </w:tc>
        <w:tc>
          <w:tcPr>
            <w:tcW w:w="80" w:type="dxa"/>
            <w:vAlign w:val="bottom"/>
            <w:tcBorders>
              <w:bottom w:val="single" w:sz="8" w:color="E3E4E5"/>
            </w:tcBorders>
          </w:tcPr>
          <w:p>
            <w:pPr>
              <w:spacing w:after="0"/>
              <w:rPr>
                <w:sz w:val="18"/>
                <w:szCs w:val="18"/>
                <w:color w:val="auto"/>
              </w:rPr>
            </w:pPr>
          </w:p>
        </w:tc>
        <w:tc>
          <w:tcPr>
            <w:tcW w:w="20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in column (a))</w:t>
            </w:r>
          </w:p>
        </w:tc>
        <w:tc>
          <w:tcPr>
            <w:tcW w:w="0" w:type="dxa"/>
            <w:vAlign w:val="bottom"/>
          </w:tcPr>
          <w:p>
            <w:pPr>
              <w:spacing w:after="0"/>
              <w:rPr>
                <w:sz w:val="1"/>
                <w:szCs w:val="1"/>
                <w:color w:val="auto"/>
              </w:rPr>
            </w:pPr>
          </w:p>
        </w:tc>
      </w:tr>
      <w:tr>
        <w:trPr>
          <w:trHeight w:val="290"/>
        </w:trPr>
        <w:tc>
          <w:tcPr>
            <w:tcW w:w="51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Equity compensation plans approved by security holders</w:t>
            </w:r>
          </w:p>
        </w:tc>
        <w:tc>
          <w:tcPr>
            <w:tcW w:w="60" w:type="dxa"/>
            <w:vAlign w:val="bottom"/>
            <w:shd w:val="clear" w:color="auto" w:fill="E3E4E5"/>
          </w:tcPr>
          <w:p>
            <w:pPr>
              <w:spacing w:after="0"/>
              <w:rPr>
                <w:sz w:val="24"/>
                <w:szCs w:val="24"/>
                <w:color w:val="auto"/>
              </w:rPr>
            </w:pPr>
          </w:p>
        </w:tc>
        <w:tc>
          <w:tcPr>
            <w:tcW w:w="1560" w:type="dxa"/>
            <w:vAlign w:val="bottom"/>
            <w:shd w:val="clear" w:color="auto" w:fill="E3E4E5"/>
          </w:tcPr>
          <w:p>
            <w:pPr>
              <w:jc w:val="right"/>
              <w:ind w:right="15"/>
              <w:spacing w:after="0"/>
              <w:rPr>
                <w:sz w:val="20"/>
                <w:szCs w:val="20"/>
                <w:color w:val="auto"/>
              </w:rPr>
            </w:pPr>
            <w:r>
              <w:rPr>
                <w:rFonts w:ascii="Times New Roman" w:cs="Times New Roman" w:eastAsia="Times New Roman" w:hAnsi="Times New Roman"/>
                <w:sz w:val="20"/>
                <w:szCs w:val="20"/>
                <w:color w:val="454546"/>
              </w:rPr>
              <w:t>855,625</w:t>
            </w:r>
          </w:p>
        </w:tc>
        <w:tc>
          <w:tcPr>
            <w:tcW w:w="2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24.29</w:t>
            </w:r>
          </w:p>
        </w:tc>
        <w:tc>
          <w:tcPr>
            <w:tcW w:w="80" w:type="dxa"/>
            <w:vAlign w:val="bottom"/>
            <w:shd w:val="clear" w:color="auto" w:fill="E3E4E5"/>
          </w:tcPr>
          <w:p>
            <w:pPr>
              <w:spacing w:after="0"/>
              <w:rPr>
                <w:sz w:val="24"/>
                <w:szCs w:val="24"/>
                <w:color w:val="auto"/>
              </w:rPr>
            </w:pPr>
          </w:p>
        </w:tc>
        <w:tc>
          <w:tcPr>
            <w:tcW w:w="2020" w:type="dxa"/>
            <w:vAlign w:val="bottom"/>
            <w:shd w:val="clear" w:color="auto" w:fill="E3E4E5"/>
          </w:tcPr>
          <w:p>
            <w:pPr>
              <w:ind w:left="172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90"/>
        </w:trPr>
        <w:tc>
          <w:tcPr>
            <w:tcW w:w="51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454546"/>
              </w:rPr>
              <w:t>Equity compensation plans not approved by security holders</w:t>
            </w:r>
          </w:p>
        </w:tc>
        <w:tc>
          <w:tcPr>
            <w:tcW w:w="1560" w:type="dxa"/>
            <w:vAlign w:val="bottom"/>
            <w:tcBorders>
              <w:bottom w:val="single" w:sz="8" w:color="454546"/>
            </w:tcBorders>
          </w:tcPr>
          <w:p>
            <w:pPr>
              <w:jc w:val="right"/>
              <w:ind w:right="15"/>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Borders>
              <w:bottom w:val="single" w:sz="8" w:color="E3E4E5"/>
            </w:tcBorders>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116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tcPr>
          <w:p>
            <w:pPr>
              <w:spacing w:after="0"/>
              <w:rPr>
                <w:sz w:val="24"/>
                <w:szCs w:val="24"/>
                <w:color w:val="auto"/>
              </w:rPr>
            </w:pPr>
          </w:p>
        </w:tc>
        <w:tc>
          <w:tcPr>
            <w:tcW w:w="2020" w:type="dxa"/>
            <w:vAlign w:val="bottom"/>
            <w:tcBorders>
              <w:bottom w:val="single" w:sz="8" w:color="454546"/>
            </w:tcBorders>
          </w:tcPr>
          <w:p>
            <w:pPr>
              <w:ind w:left="172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E3E4E5"/>
            </w:tcBorders>
            <w:gridSpan w:val="2"/>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w:t>
            </w:r>
          </w:p>
        </w:tc>
        <w:tc>
          <w:tcPr>
            <w:tcW w:w="1560" w:type="dxa"/>
            <w:vAlign w:val="bottom"/>
            <w:tcBorders>
              <w:bottom w:val="single" w:sz="8" w:color="454546"/>
            </w:tcBorders>
            <w:shd w:val="clear" w:color="auto" w:fill="E3E4E5"/>
          </w:tcPr>
          <w:p>
            <w:pPr>
              <w:jc w:val="right"/>
              <w:ind w:right="15"/>
              <w:spacing w:after="0"/>
              <w:rPr>
                <w:sz w:val="20"/>
                <w:szCs w:val="20"/>
                <w:color w:val="auto"/>
              </w:rPr>
            </w:pPr>
            <w:r>
              <w:rPr>
                <w:rFonts w:ascii="Times New Roman" w:cs="Times New Roman" w:eastAsia="Times New Roman" w:hAnsi="Times New Roman"/>
                <w:sz w:val="20"/>
                <w:szCs w:val="20"/>
                <w:color w:val="454546"/>
              </w:rPr>
              <w:t>855,625</w:t>
            </w:r>
          </w:p>
        </w:tc>
        <w:tc>
          <w:tcPr>
            <w:tcW w:w="28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24.29</w:t>
            </w:r>
          </w:p>
        </w:tc>
        <w:tc>
          <w:tcPr>
            <w:tcW w:w="80" w:type="dxa"/>
            <w:vAlign w:val="bottom"/>
            <w:tcBorders>
              <w:bottom w:val="single" w:sz="8" w:color="E3E4E5"/>
            </w:tcBorders>
            <w:shd w:val="clear" w:color="auto" w:fill="E3E4E5"/>
          </w:tcPr>
          <w:p>
            <w:pPr>
              <w:spacing w:after="0"/>
              <w:rPr>
                <w:sz w:val="23"/>
                <w:szCs w:val="23"/>
                <w:color w:val="auto"/>
              </w:rPr>
            </w:pPr>
          </w:p>
        </w:tc>
        <w:tc>
          <w:tcPr>
            <w:tcW w:w="2020" w:type="dxa"/>
            <w:vAlign w:val="bottom"/>
            <w:tcBorders>
              <w:bottom w:val="single" w:sz="8" w:color="454546"/>
            </w:tcBorders>
            <w:shd w:val="clear" w:color="auto" w:fill="E3E4E5"/>
          </w:tcPr>
          <w:p>
            <w:pPr>
              <w:ind w:left="172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E3E4E5"/>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560" w:type="dxa"/>
            <w:vAlign w:val="bottom"/>
            <w:tcBorders>
              <w:top w:val="single" w:sz="8" w:color="E3E4E5"/>
              <w:bottom w:val="single" w:sz="8" w:color="454546"/>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220" w:type="dxa"/>
            <w:vAlign w:val="bottom"/>
            <w:tcBorders>
              <w:top w:val="single" w:sz="8" w:color="E3E4E5"/>
            </w:tcBorders>
          </w:tcPr>
          <w:p>
            <w:pPr>
              <w:spacing w:after="0" w:line="20" w:lineRule="exact"/>
              <w:rPr>
                <w:sz w:val="1"/>
                <w:szCs w:val="1"/>
                <w:color w:val="auto"/>
              </w:rPr>
            </w:pPr>
          </w:p>
        </w:tc>
        <w:tc>
          <w:tcPr>
            <w:tcW w:w="1160" w:type="dxa"/>
            <w:vAlign w:val="bottom"/>
            <w:tcBorders>
              <w:top w:val="single" w:sz="8" w:color="E3E4E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2020" w:type="dxa"/>
            <w:vAlign w:val="bottom"/>
            <w:tcBorders>
              <w:top w:val="single" w:sz="8" w:color="E3E4E5"/>
              <w:bottom w:val="single" w:sz="8" w:color="4545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-605790</wp:posOffset>
            </wp:positionV>
            <wp:extent cx="6565900"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8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-224790</wp:posOffset>
            </wp:positionV>
            <wp:extent cx="1031875"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89">
                      <a:extLst>
                        <a:ext uri="{28A0092B-C50C-407E-A947-70E740481C1C}"/>
                      </a:extLst>
                    </a:blip>
                    <a:srcRect/>
                    <a:stretch>
                      <a:fillRect/>
                    </a:stretch>
                  </pic:blipFill>
                  <pic:spPr bwMode="auto">
                    <a:xfrm>
                      <a:off x="0" y="0"/>
                      <a:ext cx="1031875"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5225415</wp:posOffset>
                </wp:positionH>
                <wp:positionV relativeFrom="paragraph">
                  <wp:posOffset>-206375</wp:posOffset>
                </wp:positionV>
                <wp:extent cx="13335" cy="13335"/>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4E5"/>
                        </a:solidFill>
                      </wps:spPr>
                      <wps:bodyPr/>
                    </wps:wsp>
                  </a:graphicData>
                </a:graphic>
              </wp:anchor>
            </w:drawing>
          </mc:Choice>
          <mc:Fallback>
            <w:pict>
              <v:rect id="Shape 250" o:spid="_x0000_s1275" style="position:absolute;margin-left:411.45pt;margin-top:-16.24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3254375</wp:posOffset>
            </wp:positionH>
            <wp:positionV relativeFrom="paragraph">
              <wp:posOffset>-56515</wp:posOffset>
            </wp:positionV>
            <wp:extent cx="1031875" cy="762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90">
                      <a:extLst>
                        <a:ext uri="{28A0092B-C50C-407E-A947-70E740481C1C}"/>
                      </a:extLst>
                    </a:blip>
                    <a:srcRect/>
                    <a:stretch>
                      <a:fillRect/>
                    </a:stretch>
                  </pic:blipFill>
                  <pic:spPr bwMode="auto">
                    <a:xfrm>
                      <a:off x="0" y="0"/>
                      <a:ext cx="1031875" cy="7620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-56515</wp:posOffset>
            </wp:positionV>
            <wp:extent cx="1327150" cy="762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91">
                      <a:extLst>
                        <a:ext uri="{28A0092B-C50C-407E-A947-70E740481C1C}"/>
                      </a:extLst>
                    </a:blip>
                    <a:srcRect/>
                    <a:stretch>
                      <a:fillRect/>
                    </a:stretch>
                  </pic:blipFill>
                  <pic:spPr bwMode="auto">
                    <a:xfrm>
                      <a:off x="0" y="0"/>
                      <a:ext cx="1327150" cy="76200"/>
                    </a:xfrm>
                    <a:prstGeom prst="rect">
                      <a:avLst/>
                    </a:prstGeom>
                    <a:noFill/>
                  </pic:spPr>
                </pic:pic>
              </a:graphicData>
            </a:graphic>
          </wp:anchor>
        </w:drawing>
      </w:r>
    </w:p>
    <w:p>
      <w:pPr>
        <w:spacing w:after="0" w:line="228"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20"/>
          <w:szCs w:val="20"/>
          <w:color w:val="454546"/>
        </w:rPr>
        <w:t>See "ITEM 8. FINANCIAL STATEMENTS AND SUPPLEMENTARY DATA- Notes to Consolidated Financial Statements - Note 15" for a description of each of our stock incentive plans.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13. CERTAIN RELATIONSHIPS AND RELATED TRANSACTIONS, AND DIRECTOR INDEPENDENCE</w:t>
      </w:r>
    </w:p>
    <w:p>
      <w:pPr>
        <w:spacing w:after="0" w:line="257"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20"/>
          <w:szCs w:val="20"/>
          <w:color w:val="454546"/>
        </w:rPr>
        <w:t>Information required by Items 404 of Regulation S-K will be contained in and is hereby incorporated by reference to the Proxy Statement under the caption “Related Persons Transactions”.</w:t>
      </w:r>
    </w:p>
    <w:p>
      <w:pPr>
        <w:spacing w:after="0" w:line="1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454546"/>
        </w:rPr>
        <w:t>Information required by Item 407(a) of Regulation S-K will be contained in and is hereby incorporated by reference to the Proxy Statement under the caption “Corporate Governance—Director Independence”.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14. PRINCIPAL ACCOUNTANT FEES AND SERVICES</w:t>
      </w:r>
    </w:p>
    <w:p>
      <w:pPr>
        <w:spacing w:after="0" w:line="25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0"/>
          <w:szCs w:val="20"/>
          <w:color w:val="454546"/>
        </w:rPr>
        <w:t>Information required by this item will be contained in and is hereby incorporated by reference to the Proxy Statement under the caption “Ratification of the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15. EXHIBITS, FINANCIAL STATEMENT SCHEDULES</w:t>
      </w:r>
    </w:p>
    <w:p>
      <w:pPr>
        <w:spacing w:after="0" w:line="253" w:lineRule="exact"/>
        <w:rPr>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Financial Statements</w:t>
      </w:r>
    </w:p>
    <w:p>
      <w:pPr>
        <w:spacing w:after="0" w:line="254" w:lineRule="exact"/>
        <w:rPr>
          <w:rFonts w:ascii="Times New Roman" w:cs="Times New Roman" w:eastAsia="Times New Roman" w:hAnsi="Times New Roman"/>
          <w:sz w:val="20"/>
          <w:szCs w:val="20"/>
          <w:color w:val="454546"/>
        </w:rPr>
      </w:pPr>
    </w:p>
    <w:p>
      <w:pPr>
        <w:ind w:left="720"/>
        <w:spacing w:after="0"/>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include this portion of ITEM 15 under ITEM 8 of this Annual Report on Form 10-K.</w:t>
      </w:r>
    </w:p>
    <w:p>
      <w:pPr>
        <w:spacing w:after="0" w:line="246"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Financial Statement Schedules</w:t>
      </w:r>
    </w:p>
    <w:p>
      <w:pPr>
        <w:spacing w:after="0" w:line="254" w:lineRule="exact"/>
        <w:rPr>
          <w:rFonts w:ascii="Times New Roman" w:cs="Times New Roman" w:eastAsia="Times New Roman" w:hAnsi="Times New Roman"/>
          <w:sz w:val="20"/>
          <w:szCs w:val="20"/>
          <w:color w:val="454546"/>
        </w:rPr>
      </w:pPr>
    </w:p>
    <w:p>
      <w:pPr>
        <w:ind w:left="720"/>
        <w:spacing w:after="0" w:line="281" w:lineRule="auto"/>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include the financial statement schedules required by the applicable accounting regulations of the SEC in the notes to our consolidated financial statements and incorporate that information in this ITEM 15 by reference.</w:t>
      </w:r>
    </w:p>
    <w:p>
      <w:pPr>
        <w:spacing w:after="0" w:line="177" w:lineRule="exact"/>
        <w:rPr>
          <w:rFonts w:ascii="Times New Roman" w:cs="Times New Roman" w:eastAsia="Times New Roman" w:hAnsi="Times New Roman"/>
          <w:sz w:val="20"/>
          <w:szCs w:val="20"/>
          <w:color w:val="454546"/>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Exhibits</w:t>
      </w:r>
    </w:p>
    <w:p>
      <w:pPr>
        <w:spacing w:after="0" w:line="34" w:lineRule="exact"/>
        <w:rPr>
          <w:rFonts w:ascii="Times New Roman" w:cs="Times New Roman" w:eastAsia="Times New Roman" w:hAnsi="Times New Roman"/>
          <w:sz w:val="20"/>
          <w:szCs w:val="20"/>
          <w:color w:val="454546"/>
        </w:rPr>
      </w:pPr>
    </w:p>
    <w:p>
      <w:pPr>
        <w:jc w:val="both"/>
        <w:ind w:left="720" w:right="20"/>
        <w:spacing w:after="0" w:line="255" w:lineRule="auto"/>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Any stockholder who would like a copy of any of the exhibits listed on the Exhibit Index in this Annual Report on Form 10-K may obtain one from us upon request at a charge that reflects the reproduction cost of such Exhibits. Requests should be made to the Secretary, 15147 N. Scottsdale Road, Suite H300, Scottsdale, Arizona 85254.</w:t>
      </w:r>
    </w:p>
    <w:p>
      <w:pPr>
        <w:sectPr>
          <w:pgSz w:w="11880" w:h="15480" w:orient="portrait"/>
          <w:cols w:equalWidth="0" w:num="1">
            <w:col w:w="10260"/>
          </w:cols>
          <w:pgMar w:left="820" w:top="606" w:right="800" w:bottom="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87</w:t>
      </w:r>
    </w:p>
    <w:p>
      <w:pPr>
        <w:sectPr>
          <w:pgSz w:w="11880" w:h="15480" w:orient="portrait"/>
          <w:cols w:equalWidth="0" w:num="1">
            <w:col w:w="10260"/>
          </w:cols>
          <w:pgMar w:left="820" w:top="606" w:right="800" w:bottom="0" w:gutter="0" w:footer="0" w:header="0"/>
          <w:type w:val="continuous"/>
        </w:sectPr>
      </w:pPr>
    </w:p>
    <w:bookmarkStart w:id="91" w:name="page92"/>
    <w:bookmarkEnd w:id="91"/>
    <w:p>
      <w:pPr>
        <w:spacing w:after="0"/>
        <w:tabs>
          <w:tab w:leader="none" w:pos="540" w:val="left"/>
        </w:tabs>
        <w:rPr>
          <w:sz w:val="20"/>
          <w:szCs w:val="20"/>
          <w:color w:val="auto"/>
        </w:rPr>
      </w:pPr>
      <w:r>
        <w:rPr>
          <w:rFonts w:ascii="Times New Roman" w:cs="Times New Roman" w:eastAsia="Times New Roman" w:hAnsi="Times New Roman"/>
          <w:sz w:val="20"/>
          <w:szCs w:val="20"/>
          <w:color w:val="454546"/>
        </w:rPr>
        <w:t>3.1</w:t>
      </w:r>
      <w:r>
        <w:rPr>
          <w:sz w:val="20"/>
          <w:szCs w:val="20"/>
          <w:color w:val="auto"/>
        </w:rPr>
        <w:tab/>
      </w:r>
      <w:r>
        <w:rPr>
          <w:rFonts w:ascii="Times New Roman" w:cs="Times New Roman" w:eastAsia="Times New Roman" w:hAnsi="Times New Roman"/>
          <w:sz w:val="20"/>
          <w:szCs w:val="20"/>
          <w:u w:val="single" w:color="auto"/>
          <w:color w:val="656769"/>
        </w:rPr>
        <w:t>Restated Certificate of Incorporation of Universal Electronics Inc., as amended (filed herewith)</w:t>
      </w:r>
    </w:p>
    <w:p>
      <w:pPr>
        <w:spacing w:after="0" w:line="200" w:lineRule="exact"/>
        <w:rPr>
          <w:sz w:val="20"/>
          <w:szCs w:val="20"/>
          <w:color w:val="auto"/>
        </w:rPr>
      </w:pPr>
    </w:p>
    <w:p>
      <w:pPr>
        <w:spacing w:after="0" w:line="290" w:lineRule="exact"/>
        <w:rPr>
          <w:sz w:val="20"/>
          <w:szCs w:val="20"/>
          <w:color w:val="auto"/>
        </w:rPr>
      </w:pPr>
    </w:p>
    <w:p>
      <w:pPr>
        <w:jc w:val="both"/>
        <w:ind w:left="560" w:hanging="555"/>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3.4</w:t>
      </w:r>
      <w:r>
        <w:rPr>
          <w:sz w:val="20"/>
          <w:szCs w:val="20"/>
          <w:color w:val="auto"/>
        </w:rPr>
        <w:tab/>
      </w:r>
      <w:r>
        <w:rPr>
          <w:rFonts w:ascii="Times New Roman" w:cs="Times New Roman" w:eastAsia="Times New Roman" w:hAnsi="Times New Roman"/>
          <w:sz w:val="20"/>
          <w:szCs w:val="20"/>
          <w:u w:val="single" w:color="auto"/>
          <w:color w:val="656769"/>
        </w:rPr>
        <w:t>Amended and Restated By-laws of Universal Electronics Inc. (incorporated by reference to Exhibit 3.4 to the Company's Annual Report on Form 10-K for the year ended December 31, 2017 filed on March 13, 2018 (File No.0-21044))</w:t>
      </w:r>
    </w:p>
    <w:p>
      <w:pPr>
        <w:spacing w:after="0" w:line="122" w:lineRule="exact"/>
        <w:rPr>
          <w:sz w:val="20"/>
          <w:szCs w:val="20"/>
          <w:color w:val="auto"/>
        </w:rPr>
      </w:pPr>
    </w:p>
    <w:p>
      <w:pPr>
        <w:jc w:val="both"/>
        <w:ind w:left="560" w:hanging="555"/>
        <w:spacing w:after="0" w:line="219" w:lineRule="auto"/>
        <w:tabs>
          <w:tab w:leader="none" w:pos="540" w:val="left"/>
        </w:tabs>
        <w:rPr>
          <w:sz w:val="20"/>
          <w:szCs w:val="20"/>
          <w:color w:val="auto"/>
        </w:rPr>
      </w:pPr>
      <w:r>
        <w:rPr>
          <w:rFonts w:ascii="Times New Roman" w:cs="Times New Roman" w:eastAsia="Times New Roman" w:hAnsi="Times New Roman"/>
          <w:sz w:val="20"/>
          <w:szCs w:val="20"/>
          <w:color w:val="454546"/>
        </w:rPr>
        <w:t>4.1</w:t>
        <w:tab/>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 (paper file)</w:t>
      </w:r>
    </w:p>
    <w:p>
      <w:pPr>
        <w:spacing w:after="0" w:line="76" w:lineRule="exact"/>
        <w:rPr>
          <w:sz w:val="20"/>
          <w:szCs w:val="20"/>
          <w:color w:val="auto"/>
        </w:rPr>
      </w:pPr>
    </w:p>
    <w:p>
      <w:pPr>
        <w:jc w:val="both"/>
        <w:ind w:left="560" w:hanging="555"/>
        <w:spacing w:after="0"/>
        <w:tabs>
          <w:tab w:leader="none" w:pos="540" w:val="left"/>
        </w:tabs>
        <w:rPr>
          <w:sz w:val="20"/>
          <w:szCs w:val="20"/>
          <w:color w:val="auto"/>
        </w:rPr>
      </w:pPr>
      <w:r>
        <w:rPr>
          <w:rFonts w:ascii="Times New Roman" w:cs="Times New Roman" w:eastAsia="Times New Roman" w:hAnsi="Times New Roman"/>
          <w:sz w:val="20"/>
          <w:szCs w:val="20"/>
          <w:color w:val="454546"/>
        </w:rPr>
        <w:t>4.2</w:t>
      </w:r>
      <w:r>
        <w:rPr>
          <w:sz w:val="20"/>
          <w:szCs w:val="20"/>
          <w:color w:val="auto"/>
        </w:rPr>
        <w:tab/>
      </w:r>
      <w:r>
        <w:rPr>
          <w:rFonts w:ascii="Times New Roman" w:cs="Times New Roman" w:eastAsia="Times New Roman" w:hAnsi="Times New Roman"/>
          <w:sz w:val="20"/>
          <w:szCs w:val="20"/>
          <w:u w:val="single" w:color="auto"/>
          <w:color w:val="656769"/>
        </w:rPr>
        <w:t>Description of Securities (incorporated by reference to Exhibit 4.3 to the Company's Annual Report on Form 10-K for the year ended December 31, 2019, filed on March 16, 2020 (File No. 0-21044))</w:t>
      </w:r>
    </w:p>
    <w:p>
      <w:pPr>
        <w:spacing w:after="0" w:line="80" w:lineRule="exact"/>
        <w:rPr>
          <w:sz w:val="20"/>
          <w:szCs w:val="20"/>
          <w:color w:val="auto"/>
        </w:rPr>
      </w:pPr>
    </w:p>
    <w:p>
      <w:pPr>
        <w:jc w:val="both"/>
        <w:ind w:left="560" w:hanging="67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*10.1</w:t>
      </w:r>
      <w:r>
        <w:rPr>
          <w:sz w:val="20"/>
          <w:szCs w:val="20"/>
          <w:color w:val="auto"/>
        </w:rPr>
        <w:tab/>
      </w:r>
      <w:r>
        <w:rPr>
          <w:rFonts w:ascii="Times New Roman" w:cs="Times New Roman" w:eastAsia="Times New Roman" w:hAnsi="Times New Roman"/>
          <w:sz w:val="20"/>
          <w:szCs w:val="20"/>
          <w:u w:val="single" w:color="auto"/>
          <w:color w:val="656769"/>
        </w:rPr>
        <w:t>Form of Salary Continuation Agreement by and between Universal Electronics Inc. and certain employees (incorporated by reference to Exhibit 10.25 to the Company's Annual Report on Form 10-K for the year ended December 31, 1997, filed on March 30, 1998 (File No. 0-21044))</w:t>
      </w:r>
    </w:p>
    <w:p>
      <w:pPr>
        <w:spacing w:after="0" w:line="122" w:lineRule="exact"/>
        <w:rPr>
          <w:sz w:val="20"/>
          <w:szCs w:val="20"/>
          <w:color w:val="auto"/>
        </w:rPr>
      </w:pPr>
    </w:p>
    <w:p>
      <w:pPr>
        <w:jc w:val="both"/>
        <w:ind w:left="560" w:hanging="67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*10.2</w:t>
        <w:tab/>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122" w:lineRule="exact"/>
        <w:rPr>
          <w:sz w:val="20"/>
          <w:szCs w:val="20"/>
          <w:color w:val="auto"/>
        </w:rPr>
      </w:pPr>
    </w:p>
    <w:p>
      <w:pPr>
        <w:jc w:val="both"/>
        <w:ind w:left="560" w:hanging="67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*10.3</w:t>
        <w:tab/>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77" w:lineRule="exact"/>
        <w:rPr>
          <w:sz w:val="20"/>
          <w:szCs w:val="20"/>
          <w:color w:val="auto"/>
        </w:rPr>
      </w:pPr>
    </w:p>
    <w:p>
      <w:pPr>
        <w:jc w:val="both"/>
        <w:ind w:left="560" w:hanging="67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*10.4</w:t>
      </w:r>
      <w:r>
        <w:rPr>
          <w:sz w:val="20"/>
          <w:szCs w:val="20"/>
          <w:color w:val="auto"/>
        </w:rPr>
        <w:tab/>
      </w:r>
      <w:r>
        <w:rPr>
          <w:rFonts w:ascii="Times New Roman" w:cs="Times New Roman" w:eastAsia="Times New Roman" w:hAnsi="Times New Roman"/>
          <w:sz w:val="20"/>
          <w:szCs w:val="20"/>
          <w:u w:val="single" w:color="auto"/>
          <w:color w:val="656769"/>
        </w:rPr>
        <w:t>Form of Executive Officer Employment Agreement dated April 23, 2003 by and between Universal Electronics Inc. and Paul D. Arling (incorporated by reference to Exhibit 10.42 to the Company's Annual Report on Form 10-K for the year ended December 31, 2003 filed on March 14, 2004 (File No. 0-21044))</w:t>
      </w:r>
    </w:p>
    <w:p>
      <w:pPr>
        <w:spacing w:after="0" w:line="122" w:lineRule="exact"/>
        <w:rPr>
          <w:sz w:val="20"/>
          <w:szCs w:val="20"/>
          <w:color w:val="auto"/>
        </w:rPr>
      </w:pPr>
    </w:p>
    <w:p>
      <w:pPr>
        <w:jc w:val="both"/>
        <w:ind w:left="560" w:hanging="67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*10.5</w:t>
      </w:r>
      <w:r>
        <w:rPr>
          <w:sz w:val="20"/>
          <w:szCs w:val="20"/>
          <w:color w:val="auto"/>
        </w:rPr>
        <w:tab/>
      </w:r>
      <w:r>
        <w:rPr>
          <w:rFonts w:ascii="Times New Roman" w:cs="Times New Roman" w:eastAsia="Times New Roman" w:hAnsi="Times New Roman"/>
          <w:sz w:val="20"/>
          <w:szCs w:val="20"/>
          <w:u w:val="single" w:color="auto"/>
          <w:color w:val="656769"/>
        </w:rPr>
        <w:t>Form of Indemnification Agreements, dated as of January 2, 2007 between the Company and each director and certain officers of the Company (incorporated by reference to Exhibit 10.28 to the Company's Annual Report on Form 10-K for the year ended December 31, 2006 filed on March 16, 2007 (File No. 0-21044))</w:t>
      </w:r>
    </w:p>
    <w:p>
      <w:pPr>
        <w:spacing w:after="0" w:line="122" w:lineRule="exact"/>
        <w:rPr>
          <w:sz w:val="20"/>
          <w:szCs w:val="20"/>
          <w:color w:val="auto"/>
        </w:rPr>
      </w:pPr>
    </w:p>
    <w:p>
      <w:pPr>
        <w:jc w:val="both"/>
        <w:ind w:left="560" w:hanging="62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10.6</w:t>
      </w:r>
      <w:r>
        <w:rPr>
          <w:sz w:val="20"/>
          <w:szCs w:val="20"/>
          <w:color w:val="auto"/>
        </w:rPr>
        <w:tab/>
      </w:r>
      <w:r>
        <w:rPr>
          <w:rFonts w:ascii="Times New Roman" w:cs="Times New Roman" w:eastAsia="Times New Roman" w:hAnsi="Times New Roman"/>
          <w:sz w:val="20"/>
          <w:szCs w:val="20"/>
          <w:u w:val="single" w:color="auto"/>
          <w:color w:val="656769"/>
        </w:rPr>
        <w:t>Security Agreement dated November 1, 2010 from Universal Electronics Inc. to U.S. Bank National Association (incorporated by reference to Exhibit 10.31 to the Company's Annual Report on Form 10-K for the year ended December 31, 2010 filed on March 16, 2011 (File No. 0-21044))</w:t>
      </w:r>
    </w:p>
    <w:p>
      <w:pPr>
        <w:spacing w:after="0" w:line="92" w:lineRule="exact"/>
        <w:rPr>
          <w:sz w:val="20"/>
          <w:szCs w:val="20"/>
          <w:color w:val="auto"/>
        </w:rPr>
      </w:pPr>
    </w:p>
    <w:p>
      <w:pPr>
        <w:jc w:val="both"/>
        <w:ind w:left="560" w:hanging="67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*10.7</w:t>
      </w:r>
      <w:r>
        <w:rPr>
          <w:sz w:val="20"/>
          <w:szCs w:val="20"/>
          <w:color w:val="auto"/>
        </w:rPr>
        <w:tab/>
      </w:r>
      <w:r>
        <w:rPr>
          <w:rFonts w:ascii="Times New Roman" w:cs="Times New Roman" w:eastAsia="Times New Roman" w:hAnsi="Times New Roman"/>
          <w:sz w:val="20"/>
          <w:szCs w:val="20"/>
          <w:u w:val="single" w:color="auto"/>
          <w:color w:val="656769"/>
        </w:rPr>
        <w:t>Form of Second Amendment to Executive Officer Employment Agreement dated February 29, 2008 by and between Universal Electronics Inc. and Paul D. Arling (incorporated by reference to Exhibit 10.31 to the Company's Annual Report on Form 10-K for the year ended December 31, 2012 filed on March 14, 2013 (File No. 0-21044))</w:t>
      </w:r>
    </w:p>
    <w:p>
      <w:pPr>
        <w:spacing w:after="0" w:line="92" w:lineRule="exact"/>
        <w:rPr>
          <w:sz w:val="20"/>
          <w:szCs w:val="20"/>
          <w:color w:val="auto"/>
        </w:rPr>
      </w:pPr>
    </w:p>
    <w:p>
      <w:pPr>
        <w:jc w:val="both"/>
        <w:ind w:left="560" w:hanging="674"/>
        <w:spacing w:after="0"/>
        <w:tabs>
          <w:tab w:leader="none" w:pos="540" w:val="left"/>
        </w:tabs>
        <w:rPr>
          <w:sz w:val="20"/>
          <w:szCs w:val="20"/>
          <w:color w:val="auto"/>
        </w:rPr>
      </w:pPr>
      <w:r>
        <w:rPr>
          <w:rFonts w:ascii="Times New Roman" w:cs="Times New Roman" w:eastAsia="Times New Roman" w:hAnsi="Times New Roman"/>
          <w:sz w:val="20"/>
          <w:szCs w:val="20"/>
          <w:color w:val="454546"/>
        </w:rPr>
        <w:t>*10.8</w:t>
      </w:r>
      <w:r>
        <w:rPr>
          <w:sz w:val="20"/>
          <w:szCs w:val="20"/>
          <w:color w:val="auto"/>
        </w:rPr>
        <w:tab/>
      </w:r>
      <w:r>
        <w:rPr>
          <w:rFonts w:ascii="Times New Roman" w:cs="Times New Roman" w:eastAsia="Times New Roman" w:hAnsi="Times New Roman"/>
          <w:sz w:val="20"/>
          <w:szCs w:val="20"/>
          <w:u w:val="single" w:color="auto"/>
          <w:color w:val="656769"/>
        </w:rPr>
        <w:t>Universal Electronics Inc. 2014 Stock Incentive Plan (incorporated by reference to Exhibit 4.5 to the Company's Registration Statement on Form S-8 filed on August 12, 2014 (File No. 333-198083))</w:t>
      </w:r>
    </w:p>
    <w:p>
      <w:pPr>
        <w:spacing w:after="0" w:line="155" w:lineRule="exact"/>
        <w:rPr>
          <w:sz w:val="20"/>
          <w:szCs w:val="20"/>
          <w:color w:val="auto"/>
        </w:rPr>
      </w:pPr>
    </w:p>
    <w:p>
      <w:pPr>
        <w:jc w:val="both"/>
        <w:ind w:left="560" w:hanging="674"/>
        <w:spacing w:after="0" w:line="229" w:lineRule="auto"/>
        <w:tabs>
          <w:tab w:leader="none" w:pos="540" w:val="left"/>
        </w:tabs>
        <w:rPr>
          <w:sz w:val="20"/>
          <w:szCs w:val="20"/>
          <w:color w:val="auto"/>
        </w:rPr>
      </w:pPr>
      <w:r>
        <w:rPr>
          <w:rFonts w:ascii="Times New Roman" w:cs="Times New Roman" w:eastAsia="Times New Roman" w:hAnsi="Times New Roman"/>
          <w:sz w:val="20"/>
          <w:szCs w:val="20"/>
          <w:color w:val="454546"/>
        </w:rPr>
        <w:t>*10.9</w:t>
      </w:r>
      <w:r>
        <w:rPr>
          <w:sz w:val="20"/>
          <w:szCs w:val="20"/>
          <w:color w:val="auto"/>
        </w:rPr>
        <w:tab/>
      </w:r>
      <w:r>
        <w:rPr>
          <w:rFonts w:ascii="Times New Roman" w:cs="Times New Roman" w:eastAsia="Times New Roman" w:hAnsi="Times New Roman"/>
          <w:sz w:val="20"/>
          <w:szCs w:val="20"/>
          <w:u w:val="single" w:color="auto"/>
          <w:color w:val="656769"/>
        </w:rPr>
        <w:t>Form of Option Agreement used in connection with the Universal Electronics Inc. 2014 Stock Incentive Plan (incorporated by reference to Exhibit 4.6 to the Company's Registration Statement on Form S-8 filed on August 12, 2014 (File No. 333-198083))</w:t>
      </w:r>
    </w:p>
    <w:p>
      <w:pPr>
        <w:spacing w:after="0" w:line="92" w:lineRule="exact"/>
        <w:rPr>
          <w:sz w:val="20"/>
          <w:szCs w:val="20"/>
          <w:color w:val="auto"/>
        </w:rPr>
      </w:pPr>
    </w:p>
    <w:p>
      <w:pPr>
        <w:jc w:val="both"/>
        <w:ind w:left="560" w:hanging="674"/>
        <w:spacing w:after="0" w:line="224" w:lineRule="auto"/>
        <w:tabs>
          <w:tab w:leader="none" w:pos="540" w:val="left"/>
        </w:tabs>
        <w:rPr>
          <w:sz w:val="20"/>
          <w:szCs w:val="20"/>
          <w:color w:val="auto"/>
        </w:rPr>
      </w:pPr>
      <w:r>
        <w:rPr>
          <w:rFonts w:ascii="Times New Roman" w:cs="Times New Roman" w:eastAsia="Times New Roman" w:hAnsi="Times New Roman"/>
          <w:sz w:val="20"/>
          <w:szCs w:val="20"/>
          <w:color w:val="454546"/>
        </w:rPr>
        <w:t>10.10</w:t>
      </w:r>
      <w:r>
        <w:rPr>
          <w:sz w:val="20"/>
          <w:szCs w:val="20"/>
          <w:color w:val="auto"/>
        </w:rPr>
        <w:tab/>
      </w:r>
      <w:r>
        <w:rPr>
          <w:rFonts w:ascii="Times New Roman" w:cs="Times New Roman" w:eastAsia="Times New Roman" w:hAnsi="Times New Roman"/>
          <w:sz w:val="20"/>
          <w:szCs w:val="20"/>
          <w:u w:val="single" w:color="auto"/>
          <w:color w:val="656769"/>
        </w:rPr>
        <w:t>Second Amended and Restated Credit Agreement dated October 27, 2017 between Universal Electronics Inc. and U.S. Bank National Association and Wells Fargo Bank, National Association (incorporated by reference to Exhibit 10.39 to the Company's Annual Report on form 10-K for the year ended December 31, 2017 filed on March 13, 2018 (File No. 0-21044))</w:t>
      </w:r>
    </w:p>
    <w:p>
      <w:pPr>
        <w:sectPr>
          <w:pgSz w:w="11880" w:h="15480" w:orient="portrait"/>
          <w:cols w:equalWidth="0" w:num="1">
            <w:col w:w="9920"/>
          </w:cols>
          <w:pgMar w:left="1100" w:top="116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454546"/>
        </w:rPr>
        <w:t>88</w:t>
      </w:r>
    </w:p>
    <w:p>
      <w:pPr>
        <w:sectPr>
          <w:pgSz w:w="11880" w:h="15480" w:orient="portrait"/>
          <w:cols w:equalWidth="0" w:num="1">
            <w:col w:w="9920"/>
          </w:cols>
          <w:pgMar w:left="1100" w:top="1161" w:right="860" w:bottom="0" w:gutter="0" w:footer="0" w:header="0"/>
          <w:type w:val="continuous"/>
        </w:sectPr>
      </w:pPr>
    </w:p>
    <w:bookmarkStart w:id="92" w:name="page93"/>
    <w:bookmarkEnd w:id="92"/>
    <w:p>
      <w:pPr>
        <w:jc w:val="both"/>
        <w:ind w:left="680" w:hanging="674"/>
        <w:spacing w:after="0" w:line="224" w:lineRule="auto"/>
        <w:tabs>
          <w:tab w:leader="none" w:pos="660" w:val="left"/>
        </w:tabs>
        <w:rPr>
          <w:sz w:val="20"/>
          <w:szCs w:val="20"/>
          <w:color w:val="auto"/>
        </w:rPr>
      </w:pPr>
      <w:r>
        <w:rPr>
          <w:rFonts w:ascii="Times New Roman" w:cs="Times New Roman" w:eastAsia="Times New Roman" w:hAnsi="Times New Roman"/>
          <w:sz w:val="20"/>
          <w:szCs w:val="20"/>
          <w:color w:val="454546"/>
        </w:rPr>
        <w:t>10.11</w:t>
      </w:r>
      <w:r>
        <w:rPr>
          <w:sz w:val="20"/>
          <w:szCs w:val="20"/>
          <w:color w:val="auto"/>
        </w:rPr>
        <w:tab/>
      </w:r>
      <w:r>
        <w:rPr>
          <w:rFonts w:ascii="Times New Roman" w:cs="Times New Roman" w:eastAsia="Times New Roman" w:hAnsi="Times New Roman"/>
          <w:sz w:val="20"/>
          <w:szCs w:val="20"/>
          <w:u w:val="single" w:color="auto"/>
          <w:color w:val="656769"/>
        </w:rPr>
        <w:t>First Amendment to Second Amended and Restated Credit Agreement dated as of May 4, 2018 between Universal Electronics Inc. and U.S. Bank National Association and Wells Fargo Bank, National Association (incorporated in reference to Exhibit 10.1 to the Company's Quarterly Report on Form 10-Q for the quarter ended June 30, 2018 filed on August 8, 2018 (File No. 0-21044))</w:t>
      </w:r>
    </w:p>
    <w:p>
      <w:pPr>
        <w:spacing w:after="0" w:line="116" w:lineRule="exact"/>
        <w:rPr>
          <w:sz w:val="20"/>
          <w:szCs w:val="20"/>
          <w:color w:val="auto"/>
        </w:rPr>
      </w:pPr>
    </w:p>
    <w:p>
      <w:pPr>
        <w:jc w:val="both"/>
        <w:ind w:left="680" w:hanging="72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*10.12</w:t>
      </w:r>
      <w:r>
        <w:rPr>
          <w:sz w:val="20"/>
          <w:szCs w:val="20"/>
          <w:color w:val="auto"/>
        </w:rPr>
        <w:tab/>
      </w:r>
      <w:r>
        <w:rPr>
          <w:rFonts w:ascii="Times New Roman" w:cs="Times New Roman" w:eastAsia="Times New Roman" w:hAnsi="Times New Roman"/>
          <w:sz w:val="20"/>
          <w:szCs w:val="20"/>
          <w:u w:val="single" w:color="auto"/>
          <w:color w:val="656769"/>
        </w:rPr>
        <w:t>Form of Restricted Stock Unit Award Agreement under the 2018 Equity and Incentive Compensation Plan (incorporated by reference to Exhibit 10.5 to the Company's Quarterly Report on Form 10-Q for the quarter ended June 30, 2018 filed on August 8, 2018 (File No. 0-21044)</w:t>
      </w:r>
    </w:p>
    <w:p>
      <w:pPr>
        <w:spacing w:after="0" w:line="92" w:lineRule="exact"/>
        <w:rPr>
          <w:sz w:val="20"/>
          <w:szCs w:val="20"/>
          <w:color w:val="auto"/>
        </w:rPr>
      </w:pPr>
    </w:p>
    <w:p>
      <w:pPr>
        <w:jc w:val="both"/>
        <w:ind w:left="680" w:hanging="72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*10.13</w:t>
      </w:r>
      <w:r>
        <w:rPr>
          <w:sz w:val="20"/>
          <w:szCs w:val="20"/>
          <w:color w:val="auto"/>
        </w:rPr>
        <w:tab/>
      </w:r>
      <w:r>
        <w:rPr>
          <w:rFonts w:ascii="Times New Roman" w:cs="Times New Roman" w:eastAsia="Times New Roman" w:hAnsi="Times New Roman"/>
          <w:sz w:val="20"/>
          <w:szCs w:val="20"/>
          <w:u w:val="single" w:color="auto"/>
          <w:color w:val="656769"/>
        </w:rPr>
        <w:t>Form of Stock Option Agreement under the 2018 Equity and Incentive Compensation Plan (incorporated by reference to Exhibit 10.6 to the Company's Quarterly Report on Form 10-Q for the quarter ended June 30, 2018 filed on August 8, 2018 (File No. 0-21044))</w:t>
      </w:r>
    </w:p>
    <w:p>
      <w:pPr>
        <w:spacing w:after="0" w:line="92"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10.14</w:t>
      </w:r>
      <w:r>
        <w:rPr>
          <w:sz w:val="20"/>
          <w:szCs w:val="20"/>
          <w:color w:val="auto"/>
        </w:rPr>
        <w:tab/>
      </w:r>
      <w:r>
        <w:rPr>
          <w:rFonts w:ascii="Times New Roman" w:cs="Times New Roman" w:eastAsia="Times New Roman" w:hAnsi="Times New Roman"/>
          <w:sz w:val="20"/>
          <w:szCs w:val="20"/>
          <w:u w:val="single" w:color="auto"/>
          <w:color w:val="656769"/>
        </w:rPr>
        <w:t>Second Amendment to Second Amended and Restated Credit Agreement (incorporated by reference to Exhibit 10.1 to the Company's Current Report on Form 8-K dated December 27, 2018 filed on January 3, 2019 (File No. 0-21044))</w:t>
      </w:r>
    </w:p>
    <w:p>
      <w:pPr>
        <w:spacing w:after="0" w:line="92"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10.15</w:t>
      </w:r>
      <w:r>
        <w:rPr>
          <w:sz w:val="20"/>
          <w:szCs w:val="20"/>
          <w:color w:val="auto"/>
        </w:rPr>
        <w:tab/>
      </w:r>
      <w:r>
        <w:rPr>
          <w:rFonts w:ascii="Times New Roman" w:cs="Times New Roman" w:eastAsia="Times New Roman" w:hAnsi="Times New Roman"/>
          <w:sz w:val="20"/>
          <w:szCs w:val="20"/>
          <w:u w:val="single" w:color="auto"/>
          <w:color w:val="656769"/>
        </w:rPr>
        <w:t>Third Amendment to Second Amended and Restated Credit Agreement (incorporated by reference to Exhibit 10.33 to the Company's Annual Report on Form 10-K for the year ended December 31, 2020 filed on March 5, 2021 (File No. 0-21044))</w:t>
      </w:r>
    </w:p>
    <w:p>
      <w:pPr>
        <w:spacing w:after="0" w:line="92"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10.16</w:t>
      </w:r>
      <w:r>
        <w:rPr>
          <w:sz w:val="20"/>
          <w:szCs w:val="20"/>
          <w:color w:val="auto"/>
        </w:rPr>
        <w:tab/>
      </w:r>
      <w:r>
        <w:rPr>
          <w:rFonts w:ascii="Times New Roman" w:cs="Times New Roman" w:eastAsia="Times New Roman" w:hAnsi="Times New Roman"/>
          <w:sz w:val="20"/>
          <w:szCs w:val="20"/>
          <w:u w:val="single" w:color="auto"/>
          <w:color w:val="656769"/>
        </w:rPr>
        <w:t>Fourth Amendment to Second Amended and Restated Credit Agreement (incorporated by reference to Exhibit 10.34 to the Company's Annual Report on Form 10-K for the year ended December 31, 2020 filed on March 5, 2021 (File No. 0-21044))</w:t>
      </w:r>
    </w:p>
    <w:p>
      <w:pPr>
        <w:spacing w:after="0" w:line="8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454546"/>
        </w:rPr>
        <w:t>10.17</w:t>
      </w:r>
      <w:r>
        <w:rPr>
          <w:sz w:val="20"/>
          <w:szCs w:val="20"/>
          <w:color w:val="auto"/>
        </w:rPr>
        <w:tab/>
      </w:r>
      <w:r>
        <w:rPr>
          <w:rFonts w:ascii="Times New Roman" w:cs="Times New Roman" w:eastAsia="Times New Roman" w:hAnsi="Times New Roman"/>
          <w:sz w:val="20"/>
          <w:szCs w:val="20"/>
          <w:u w:val="single" w:color="auto"/>
          <w:color w:val="656769"/>
        </w:rPr>
        <w:t>Fifth Amendment to the Second Amended and Restated Credit Agreement (incorporated by reference to Exhibit</w:t>
      </w:r>
    </w:p>
    <w:p>
      <w:pPr>
        <w:ind w:left="680"/>
        <w:spacing w:after="0"/>
        <w:rPr>
          <w:sz w:val="20"/>
          <w:szCs w:val="20"/>
          <w:color w:val="auto"/>
        </w:rPr>
      </w:pPr>
      <w:r>
        <w:rPr>
          <w:rFonts w:ascii="Times New Roman" w:cs="Times New Roman" w:eastAsia="Times New Roman" w:hAnsi="Times New Roman"/>
          <w:sz w:val="20"/>
          <w:szCs w:val="20"/>
          <w:u w:val="single" w:color="auto"/>
          <w:color w:val="656769"/>
        </w:rPr>
        <w:t>10.1 to the Company's Current Report on Form 8-K filed on October 28, 2021 (File No. 0-21044))</w:t>
      </w:r>
    </w:p>
    <w:p>
      <w:pPr>
        <w:spacing w:after="0" w:line="88"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10.18</w:t>
      </w:r>
      <w:r>
        <w:rPr>
          <w:sz w:val="20"/>
          <w:szCs w:val="20"/>
          <w:color w:val="auto"/>
        </w:rPr>
        <w:tab/>
      </w:r>
      <w:r>
        <w:rPr>
          <w:rFonts w:ascii="Times New Roman" w:cs="Times New Roman" w:eastAsia="Times New Roman" w:hAnsi="Times New Roman"/>
          <w:sz w:val="20"/>
          <w:szCs w:val="20"/>
          <w:u w:val="single" w:color="auto"/>
          <w:color w:val="656769"/>
        </w:rPr>
        <w:t>Termination of Pledge Agreement dated October 25, 2021 between UEI Hong Kong Private Limited and Enson Assets Limited to U.S. Bank National Association (incorporated by reference to Exhibit 10.2 to the Company's Current Report on Form 8-K filed on October 28, 2021 (File No. 0-21044))</w:t>
      </w:r>
    </w:p>
    <w:p>
      <w:pPr>
        <w:spacing w:after="0" w:line="92"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10.19</w:t>
      </w:r>
      <w:r>
        <w:rPr>
          <w:sz w:val="20"/>
          <w:szCs w:val="20"/>
          <w:color w:val="auto"/>
        </w:rPr>
        <w:tab/>
      </w:r>
      <w:r>
        <w:rPr>
          <w:rFonts w:ascii="Times New Roman" w:cs="Times New Roman" w:eastAsia="Times New Roman" w:hAnsi="Times New Roman"/>
          <w:sz w:val="20"/>
          <w:szCs w:val="20"/>
          <w:u w:val="single" w:color="auto"/>
          <w:color w:val="656769"/>
        </w:rPr>
        <w:t>Continuing Guaranty dated October 25, 2021 between Universal Electronics BV and U.S. Bank National Association (incorporated by reference to Exhibit 10.3 to the Company's Current Report on Form 8-K filed on October 28, 2021 (File No. 0-21044))</w:t>
      </w:r>
    </w:p>
    <w:p>
      <w:pPr>
        <w:spacing w:after="0" w:line="92"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10.20</w:t>
      </w:r>
      <w:r>
        <w:rPr>
          <w:sz w:val="20"/>
          <w:szCs w:val="20"/>
          <w:color w:val="auto"/>
        </w:rPr>
        <w:tab/>
      </w:r>
      <w:r>
        <w:rPr>
          <w:rFonts w:ascii="Times New Roman" w:cs="Times New Roman" w:eastAsia="Times New Roman" w:hAnsi="Times New Roman"/>
          <w:sz w:val="20"/>
          <w:szCs w:val="20"/>
          <w:u w:val="single" w:color="auto"/>
          <w:color w:val="656769"/>
        </w:rPr>
        <w:t>Sixth Amendment to the Second Amended and Restated Credit Agreement (incorporated by reference to Exhibit 10.1 to the Company's Quarterly Report on Form 10-Q for the quarter ended March 31, 2023 filed on May 9, 2023 (File No. 0-21044))</w:t>
      </w:r>
    </w:p>
    <w:p>
      <w:pPr>
        <w:spacing w:after="0" w:line="77"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10.21</w:t>
      </w:r>
      <w:r>
        <w:rPr>
          <w:sz w:val="20"/>
          <w:szCs w:val="20"/>
          <w:color w:val="auto"/>
        </w:rPr>
        <w:tab/>
      </w:r>
      <w:r>
        <w:rPr>
          <w:rFonts w:ascii="Times New Roman" w:cs="Times New Roman" w:eastAsia="Times New Roman" w:hAnsi="Times New Roman"/>
          <w:sz w:val="20"/>
          <w:szCs w:val="20"/>
          <w:u w:val="single" w:color="auto"/>
          <w:color w:val="656769"/>
        </w:rPr>
        <w:t>Cooperation Agreement, dated December 21, 2023, by and among Universal Electronics Inc., Toro 18 Holdings LLC, Immersion Corporation, William C. Martin and Eric Singer (incorporated by reference to Exhibit 10.1 to the Company’s Current Report on Form 8-K filed on December 26, 2023 (File No. 0-21044))</w:t>
      </w:r>
    </w:p>
    <w:p>
      <w:pPr>
        <w:spacing w:after="0" w:line="6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454546"/>
        </w:rPr>
        <w:t>10.22</w:t>
      </w:r>
      <w:r>
        <w:rPr>
          <w:sz w:val="20"/>
          <w:szCs w:val="20"/>
          <w:color w:val="auto"/>
        </w:rPr>
        <w:tab/>
      </w:r>
      <w:r>
        <w:rPr>
          <w:rFonts w:ascii="Times New Roman" w:cs="Times New Roman" w:eastAsia="Times New Roman" w:hAnsi="Times New Roman"/>
          <w:sz w:val="20"/>
          <w:szCs w:val="20"/>
          <w:u w:val="single" w:color="auto"/>
          <w:color w:val="656769"/>
        </w:rPr>
        <w:t>Seventh Amendment to the Second Amended and Restated Credit Agreement (incorporated by reference to Exhibit</w:t>
      </w:r>
    </w:p>
    <w:p>
      <w:pPr>
        <w:ind w:left="680"/>
        <w:spacing w:after="0" w:line="208" w:lineRule="auto"/>
        <w:rPr>
          <w:sz w:val="20"/>
          <w:szCs w:val="20"/>
          <w:color w:val="auto"/>
        </w:rPr>
      </w:pPr>
      <w:r>
        <w:rPr>
          <w:rFonts w:ascii="Times New Roman" w:cs="Times New Roman" w:eastAsia="Times New Roman" w:hAnsi="Times New Roman"/>
          <w:sz w:val="20"/>
          <w:szCs w:val="20"/>
          <w:u w:val="single" w:color="auto"/>
          <w:color w:val="656769"/>
        </w:rPr>
        <w:t>10.24 to the Company's Annual Report on Form 10-K for the year ended December 31, 2023 filed on March 14,</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u w:val="single" w:color="auto"/>
          <w:color w:val="656769"/>
        </w:rPr>
        <w:t>2024 (File No. 0-21044))</w:t>
      </w:r>
    </w:p>
    <w:p>
      <w:pPr>
        <w:spacing w:after="0" w:line="98" w:lineRule="exact"/>
        <w:rPr>
          <w:sz w:val="20"/>
          <w:szCs w:val="20"/>
          <w:color w:val="auto"/>
        </w:rPr>
      </w:pPr>
    </w:p>
    <w:p>
      <w:pPr>
        <w:jc w:val="both"/>
        <w:ind w:left="680" w:hanging="72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*10.23</w:t>
      </w:r>
      <w:r>
        <w:rPr>
          <w:sz w:val="20"/>
          <w:szCs w:val="20"/>
          <w:color w:val="auto"/>
        </w:rPr>
        <w:tab/>
      </w:r>
      <w:r>
        <w:rPr>
          <w:rFonts w:ascii="Times New Roman" w:cs="Times New Roman" w:eastAsia="Times New Roman" w:hAnsi="Times New Roman"/>
          <w:sz w:val="20"/>
          <w:szCs w:val="20"/>
          <w:u w:val="single" w:color="auto"/>
          <w:color w:val="656769"/>
        </w:rPr>
        <w:t>Universal Electronics Inc. Amended and Restated 2018 Equity and Incentive Compensation Plan (incorporated by reference to Exhibit 4.5 to the Company's Registration Statement on Form S-8 filed on August 8, 2024 (File No. 333-281411))</w:t>
      </w:r>
    </w:p>
    <w:p>
      <w:pPr>
        <w:spacing w:after="0" w:line="92" w:lineRule="exact"/>
        <w:rPr>
          <w:sz w:val="20"/>
          <w:szCs w:val="20"/>
          <w:color w:val="auto"/>
        </w:rPr>
      </w:pPr>
    </w:p>
    <w:p>
      <w:pPr>
        <w:jc w:val="both"/>
        <w:ind w:left="680" w:hanging="674"/>
        <w:spacing w:after="0" w:line="229" w:lineRule="auto"/>
        <w:tabs>
          <w:tab w:leader="none" w:pos="660" w:val="left"/>
        </w:tabs>
        <w:rPr>
          <w:sz w:val="20"/>
          <w:szCs w:val="20"/>
          <w:color w:val="auto"/>
        </w:rPr>
      </w:pPr>
      <w:r>
        <w:rPr>
          <w:rFonts w:ascii="Times New Roman" w:cs="Times New Roman" w:eastAsia="Times New Roman" w:hAnsi="Times New Roman"/>
          <w:sz w:val="20"/>
          <w:szCs w:val="20"/>
          <w:color w:val="454546"/>
        </w:rPr>
        <w:t>10.24</w:t>
      </w:r>
      <w:r>
        <w:rPr>
          <w:sz w:val="20"/>
          <w:szCs w:val="20"/>
          <w:color w:val="auto"/>
        </w:rPr>
        <w:tab/>
      </w:r>
      <w:r>
        <w:rPr>
          <w:rFonts w:ascii="Times New Roman" w:cs="Times New Roman" w:eastAsia="Times New Roman" w:hAnsi="Times New Roman"/>
          <w:sz w:val="20"/>
          <w:szCs w:val="20"/>
          <w:u w:val="single" w:color="auto"/>
          <w:color w:val="656769"/>
        </w:rPr>
        <w:t>Eighth Amendment to the Second Amended and Restated Credit Agreement signed August 22, 2024 (incorporated by reference to Exhibit 10.1 to the Company’s Current Report on Form 8-K filed on August 28, 2024 (File No. 0-21044))</w:t>
      </w:r>
    </w:p>
    <w:p>
      <w:pPr>
        <w:spacing w:after="0" w:line="92" w:lineRule="exact"/>
        <w:rPr>
          <w:sz w:val="20"/>
          <w:szCs w:val="20"/>
          <w:color w:val="auto"/>
        </w:rPr>
      </w:pPr>
    </w:p>
    <w:p>
      <w:pPr>
        <w:jc w:val="both"/>
        <w:ind w:left="680" w:hanging="674"/>
        <w:spacing w:after="0"/>
        <w:tabs>
          <w:tab w:leader="none" w:pos="660" w:val="left"/>
        </w:tabs>
        <w:rPr>
          <w:sz w:val="20"/>
          <w:szCs w:val="20"/>
          <w:color w:val="auto"/>
        </w:rPr>
      </w:pPr>
      <w:r>
        <w:rPr>
          <w:rFonts w:ascii="Times New Roman" w:cs="Times New Roman" w:eastAsia="Times New Roman" w:hAnsi="Times New Roman"/>
          <w:sz w:val="20"/>
          <w:szCs w:val="20"/>
          <w:color w:val="454546"/>
        </w:rPr>
        <w:t>10.25</w:t>
      </w:r>
      <w:r>
        <w:rPr>
          <w:sz w:val="20"/>
          <w:szCs w:val="20"/>
          <w:color w:val="auto"/>
        </w:rPr>
        <w:tab/>
      </w:r>
      <w:r>
        <w:rPr>
          <w:rFonts w:ascii="Times New Roman" w:cs="Times New Roman" w:eastAsia="Times New Roman" w:hAnsi="Times New Roman"/>
          <w:sz w:val="20"/>
          <w:szCs w:val="20"/>
          <w:u w:val="single" w:color="auto"/>
          <w:color w:val="656769"/>
        </w:rPr>
        <w:t>Line of Credit Agreement signed August 29, 2024 ((incorporated by reference to Exhibit 10.1 to the Company’s Current Report on Form 8-K filed on September 3, 2024 (File No. 0-21044))</w:t>
      </w:r>
    </w:p>
    <w:p>
      <w:pPr>
        <w:spacing w:after="0" w:line="80" w:lineRule="exact"/>
        <w:rPr>
          <w:sz w:val="20"/>
          <w:szCs w:val="20"/>
          <w:color w:val="auto"/>
        </w:rPr>
      </w:pPr>
    </w:p>
    <w:p>
      <w:pPr>
        <w:jc w:val="both"/>
        <w:ind w:left="680" w:hanging="674"/>
        <w:spacing w:after="0"/>
        <w:tabs>
          <w:tab w:leader="none" w:pos="660" w:val="left"/>
        </w:tabs>
        <w:rPr>
          <w:sz w:val="20"/>
          <w:szCs w:val="20"/>
          <w:color w:val="auto"/>
        </w:rPr>
      </w:pPr>
      <w:r>
        <w:rPr>
          <w:rFonts w:ascii="Times New Roman" w:cs="Times New Roman" w:eastAsia="Times New Roman" w:hAnsi="Times New Roman"/>
          <w:sz w:val="20"/>
          <w:szCs w:val="20"/>
          <w:color w:val="454546"/>
        </w:rPr>
        <w:t>10.26</w:t>
      </w:r>
      <w:r>
        <w:rPr>
          <w:sz w:val="20"/>
          <w:szCs w:val="20"/>
          <w:color w:val="auto"/>
        </w:rPr>
        <w:tab/>
      </w:r>
      <w:r>
        <w:rPr>
          <w:rFonts w:ascii="Times New Roman" w:cs="Times New Roman" w:eastAsia="Times New Roman" w:hAnsi="Times New Roman"/>
          <w:sz w:val="20"/>
          <w:szCs w:val="20"/>
          <w:u w:val="single" w:color="auto"/>
          <w:color w:val="656769"/>
        </w:rPr>
        <w:t>Maximum Mortgage Contract signed August 29, 2024 ((incorporated by reference to Exhibit 10.2 to the Company’s Current Report on Form 8-K filed on September 3, 2024 (File No. 0-21044))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80" w:hanging="674"/>
        <w:spacing w:after="0"/>
        <w:tabs>
          <w:tab w:leader="none" w:pos="660" w:val="left"/>
        </w:tabs>
        <w:rPr>
          <w:sz w:val="20"/>
          <w:szCs w:val="20"/>
          <w:color w:val="auto"/>
        </w:rPr>
      </w:pPr>
      <w:r>
        <w:rPr>
          <w:rFonts w:ascii="Times New Roman" w:cs="Times New Roman" w:eastAsia="Times New Roman" w:hAnsi="Times New Roman"/>
          <w:sz w:val="20"/>
          <w:szCs w:val="20"/>
          <w:color w:val="454546"/>
        </w:rPr>
        <w:t>10.27</w:t>
      </w:r>
      <w:r>
        <w:rPr>
          <w:sz w:val="20"/>
          <w:szCs w:val="20"/>
          <w:color w:val="auto"/>
        </w:rPr>
        <w:tab/>
      </w:r>
      <w:r>
        <w:rPr>
          <w:rFonts w:ascii="Times New Roman" w:cs="Times New Roman" w:eastAsia="Times New Roman" w:hAnsi="Times New Roman"/>
          <w:sz w:val="20"/>
          <w:szCs w:val="20"/>
          <w:u w:val="single" w:color="auto"/>
          <w:color w:val="656769"/>
        </w:rPr>
        <w:t>Working Capital Loan Contract signed August 29, 2024 ((incorporated by reference to Exhibit 10.3 to the Company’s Current Report on Form 8-K filed on September 3, 2024 (File No. 0-21044))</w:t>
      </w:r>
    </w:p>
    <w:p>
      <w:pPr>
        <w:sectPr>
          <w:pgSz w:w="11880" w:h="15480" w:orient="portrait"/>
          <w:cols w:equalWidth="0" w:num="1">
            <w:col w:w="10040"/>
          </w:cols>
          <w:pgMar w:left="980" w:top="116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454546"/>
        </w:rPr>
        <w:t>89</w:t>
      </w:r>
    </w:p>
    <w:p>
      <w:pPr>
        <w:sectPr>
          <w:pgSz w:w="11880" w:h="15480" w:orient="portrait"/>
          <w:cols w:equalWidth="0" w:num="1">
            <w:col w:w="10040"/>
          </w:cols>
          <w:pgMar w:left="980" w:top="1161" w:right="860" w:bottom="0" w:gutter="0" w:footer="0" w:header="0"/>
          <w:type w:val="continuous"/>
        </w:sectPr>
      </w:pPr>
    </w:p>
    <w:bookmarkStart w:id="93" w:name="page94"/>
    <w:bookmarkEnd w:id="93"/>
    <w:p>
      <w:pPr>
        <w:jc w:val="both"/>
        <w:ind w:left="780" w:hanging="674"/>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10.28</w:t>
      </w:r>
      <w:r>
        <w:rPr>
          <w:sz w:val="20"/>
          <w:szCs w:val="20"/>
          <w:color w:val="auto"/>
        </w:rPr>
        <w:tab/>
      </w:r>
      <w:r>
        <w:rPr>
          <w:rFonts w:ascii="Times New Roman" w:cs="Times New Roman" w:eastAsia="Times New Roman" w:hAnsi="Times New Roman"/>
          <w:sz w:val="20"/>
          <w:szCs w:val="20"/>
          <w:u w:val="single" w:color="auto"/>
          <w:color w:val="656769"/>
        </w:rPr>
        <w:t>Ninth Amendment to the Second Amended and Restated Credit Agreement signed January 2, 2025 (incorporated by reference to Exhibit 10.1 to the Company’s Current Report on Form 8-K filed on January 2, 2025 (File No. 0-21044))</w:t>
      </w:r>
    </w:p>
    <w:p>
      <w:pPr>
        <w:spacing w:after="0" w:line="77" w:lineRule="exact"/>
        <w:rPr>
          <w:sz w:val="20"/>
          <w:szCs w:val="20"/>
          <w:color w:val="auto"/>
        </w:rPr>
      </w:pPr>
    </w:p>
    <w:p>
      <w:pPr>
        <w:jc w:val="both"/>
        <w:ind w:left="780" w:hanging="724"/>
        <w:spacing w:after="0"/>
        <w:tabs>
          <w:tab w:leader="none" w:pos="760" w:val="left"/>
        </w:tabs>
        <w:rPr>
          <w:sz w:val="20"/>
          <w:szCs w:val="20"/>
          <w:color w:val="auto"/>
        </w:rPr>
      </w:pPr>
      <w:r>
        <w:rPr>
          <w:rFonts w:ascii="Times New Roman" w:cs="Times New Roman" w:eastAsia="Times New Roman" w:hAnsi="Times New Roman"/>
          <w:sz w:val="20"/>
          <w:szCs w:val="20"/>
          <w:color w:val="454546"/>
        </w:rPr>
        <w:t>*10.29</w:t>
      </w:r>
      <w:r>
        <w:rPr>
          <w:sz w:val="20"/>
          <w:szCs w:val="20"/>
          <w:color w:val="auto"/>
        </w:rPr>
        <w:tab/>
      </w:r>
      <w:r>
        <w:rPr>
          <w:rFonts w:ascii="Times New Roman" w:cs="Times New Roman" w:eastAsia="Times New Roman" w:hAnsi="Times New Roman"/>
          <w:sz w:val="20"/>
          <w:szCs w:val="20"/>
          <w:u w:val="single" w:color="auto"/>
          <w:color w:val="656769"/>
        </w:rPr>
        <w:t>Form of Restricted Stock Unit Award Agreement under the Amended and Restated 2018 Equity and Incentive Compensation Plan (filed herewith)</w:t>
      </w:r>
    </w:p>
    <w:p>
      <w:pPr>
        <w:spacing w:after="0" w:line="80" w:lineRule="exact"/>
        <w:rPr>
          <w:sz w:val="20"/>
          <w:szCs w:val="20"/>
          <w:color w:val="auto"/>
        </w:rPr>
      </w:pPr>
    </w:p>
    <w:p>
      <w:pPr>
        <w:jc w:val="both"/>
        <w:ind w:left="780" w:hanging="724"/>
        <w:spacing w:after="0"/>
        <w:tabs>
          <w:tab w:leader="none" w:pos="760" w:val="left"/>
        </w:tabs>
        <w:rPr>
          <w:sz w:val="20"/>
          <w:szCs w:val="20"/>
          <w:color w:val="auto"/>
        </w:rPr>
      </w:pPr>
      <w:r>
        <w:rPr>
          <w:rFonts w:ascii="Times New Roman" w:cs="Times New Roman" w:eastAsia="Times New Roman" w:hAnsi="Times New Roman"/>
          <w:sz w:val="20"/>
          <w:szCs w:val="20"/>
          <w:color w:val="454546"/>
        </w:rPr>
        <w:t>*10.30</w:t>
      </w:r>
      <w:r>
        <w:rPr>
          <w:sz w:val="20"/>
          <w:szCs w:val="20"/>
          <w:color w:val="auto"/>
        </w:rPr>
        <w:tab/>
      </w:r>
      <w:r>
        <w:rPr>
          <w:rFonts w:ascii="Times New Roman" w:cs="Times New Roman" w:eastAsia="Times New Roman" w:hAnsi="Times New Roman"/>
          <w:sz w:val="20"/>
          <w:szCs w:val="20"/>
          <w:u w:val="single" w:color="auto"/>
          <w:color w:val="656769"/>
        </w:rPr>
        <w:t>Form of Performance-Based Stock Unit Award Agreement under the Amended and Restated 2018 Equity and Incentive Compensation Plan (filed herewith)</w:t>
      </w:r>
    </w:p>
    <w:p>
      <w:pPr>
        <w:spacing w:after="0" w:line="80" w:lineRule="exact"/>
        <w:rPr>
          <w:sz w:val="20"/>
          <w:szCs w:val="20"/>
          <w:color w:val="auto"/>
        </w:rPr>
      </w:pPr>
    </w:p>
    <w:p>
      <w:pPr>
        <w:jc w:val="both"/>
        <w:ind w:left="780" w:hanging="724"/>
        <w:spacing w:after="0"/>
        <w:tabs>
          <w:tab w:leader="none" w:pos="760" w:val="left"/>
        </w:tabs>
        <w:rPr>
          <w:sz w:val="20"/>
          <w:szCs w:val="20"/>
          <w:color w:val="auto"/>
        </w:rPr>
      </w:pPr>
      <w:r>
        <w:rPr>
          <w:rFonts w:ascii="Times New Roman" w:cs="Times New Roman" w:eastAsia="Times New Roman" w:hAnsi="Times New Roman"/>
          <w:sz w:val="20"/>
          <w:szCs w:val="20"/>
          <w:color w:val="454546"/>
        </w:rPr>
        <w:t>*10.31</w:t>
      </w:r>
      <w:r>
        <w:rPr>
          <w:sz w:val="20"/>
          <w:szCs w:val="20"/>
          <w:color w:val="auto"/>
        </w:rPr>
        <w:tab/>
      </w:r>
      <w:r>
        <w:rPr>
          <w:rFonts w:ascii="Times New Roman" w:cs="Times New Roman" w:eastAsia="Times New Roman" w:hAnsi="Times New Roman"/>
          <w:sz w:val="20"/>
          <w:szCs w:val="20"/>
          <w:u w:val="single" w:color="auto"/>
          <w:color w:val="656769"/>
        </w:rPr>
        <w:t>Form of Stock Option Agreement under the Amended and Restated 2018 Equity and Incentive Compensation Plan (filed herewith)</w:t>
      </w:r>
    </w:p>
    <w:p>
      <w:pPr>
        <w:spacing w:after="0" w:line="275" w:lineRule="exact"/>
        <w:rPr>
          <w:sz w:val="20"/>
          <w:szCs w:val="20"/>
          <w:color w:val="auto"/>
        </w:rPr>
      </w:pPr>
    </w:p>
    <w:p>
      <w:pPr>
        <w:jc w:val="both"/>
        <w:ind w:left="780" w:hanging="724"/>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*10.32</w:t>
      </w:r>
      <w:r>
        <w:rPr>
          <w:sz w:val="20"/>
          <w:szCs w:val="20"/>
          <w:color w:val="auto"/>
        </w:rPr>
        <w:tab/>
      </w:r>
      <w:r>
        <w:rPr>
          <w:rFonts w:ascii="Times New Roman" w:cs="Times New Roman" w:eastAsia="Times New Roman" w:hAnsi="Times New Roman"/>
          <w:sz w:val="20"/>
          <w:szCs w:val="20"/>
          <w:u w:val="single" w:color="auto"/>
          <w:color w:val="656769"/>
        </w:rPr>
        <w:t>Form of Transition Agreement and Release of Claims (including form of Consulting Agreement) dated March 19, 2025 by and between Universal Electronics, Inc. and Paul D. Arling (incorporated by reference to Exhibit 10.1 to the Company's Current Report on Form 8-K filed on March 21, 2025 (File No. 0-21044))</w:t>
      </w:r>
    </w:p>
    <w:p>
      <w:pPr>
        <w:spacing w:after="0" w:line="77" w:lineRule="exact"/>
        <w:rPr>
          <w:sz w:val="20"/>
          <w:szCs w:val="20"/>
          <w:color w:val="auto"/>
        </w:rPr>
      </w:pPr>
    </w:p>
    <w:p>
      <w:pPr>
        <w:jc w:val="both"/>
        <w:ind w:left="780" w:hanging="674"/>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10.33</w:t>
      </w:r>
      <w:r>
        <w:rPr>
          <w:sz w:val="20"/>
          <w:szCs w:val="20"/>
          <w:color w:val="auto"/>
        </w:rPr>
        <w:tab/>
      </w:r>
      <w:r>
        <w:rPr>
          <w:rFonts w:ascii="Times New Roman" w:cs="Times New Roman" w:eastAsia="Times New Roman" w:hAnsi="Times New Roman"/>
          <w:sz w:val="20"/>
          <w:szCs w:val="20"/>
          <w:u w:val="single" w:color="auto"/>
          <w:color w:val="656769"/>
        </w:rPr>
        <w:t>Cooperation Agreement, dated May 2, 2025, by and among Universal Electronics Inc., Kent Lake Partners LP, Kent Lake PR LLC, and Benjamin Natter (incorporated by reference to Exhibit 10.1 to the Company's Current Report on Form 8-K filed on May 5, 2025 (File No.0-21044))</w:t>
      </w:r>
    </w:p>
    <w:p>
      <w:pPr>
        <w:spacing w:after="0" w:line="92" w:lineRule="exact"/>
        <w:rPr>
          <w:sz w:val="20"/>
          <w:szCs w:val="20"/>
          <w:color w:val="auto"/>
        </w:rPr>
      </w:pPr>
    </w:p>
    <w:p>
      <w:pPr>
        <w:jc w:val="both"/>
        <w:ind w:left="780" w:hanging="674"/>
        <w:spacing w:after="0"/>
        <w:tabs>
          <w:tab w:leader="none" w:pos="760" w:val="left"/>
        </w:tabs>
        <w:rPr>
          <w:sz w:val="20"/>
          <w:szCs w:val="20"/>
          <w:color w:val="auto"/>
        </w:rPr>
      </w:pPr>
      <w:r>
        <w:rPr>
          <w:rFonts w:ascii="Times New Roman" w:cs="Times New Roman" w:eastAsia="Times New Roman" w:hAnsi="Times New Roman"/>
          <w:sz w:val="20"/>
          <w:szCs w:val="20"/>
          <w:color w:val="454546"/>
        </w:rPr>
        <w:t>10.34</w:t>
      </w:r>
      <w:r>
        <w:rPr>
          <w:sz w:val="20"/>
          <w:szCs w:val="20"/>
          <w:color w:val="auto"/>
        </w:rPr>
        <w:tab/>
      </w:r>
      <w:r>
        <w:rPr>
          <w:rFonts w:ascii="Times New Roman" w:cs="Times New Roman" w:eastAsia="Times New Roman" w:hAnsi="Times New Roman"/>
          <w:sz w:val="20"/>
          <w:szCs w:val="20"/>
          <w:u w:val="single" w:color="auto"/>
          <w:color w:val="656769"/>
        </w:rPr>
        <w:t>Tenth Amendment to Second Amended and Restated Credit Agreement signed July 25, 2025 (incorporated by reference to Exhibit 10.1 to the Company's Current Report on Form 8-K filed on July 31, 2025 (File No. 0-21044))</w:t>
      </w:r>
    </w:p>
    <w:p>
      <w:pPr>
        <w:spacing w:after="0" w:line="80" w:lineRule="exact"/>
        <w:rPr>
          <w:sz w:val="20"/>
          <w:szCs w:val="20"/>
          <w:color w:val="auto"/>
        </w:rPr>
      </w:pPr>
    </w:p>
    <w:p>
      <w:pPr>
        <w:jc w:val="both"/>
        <w:ind w:left="780" w:hanging="674"/>
        <w:spacing w:after="0"/>
        <w:tabs>
          <w:tab w:leader="none" w:pos="760" w:val="left"/>
        </w:tabs>
        <w:rPr>
          <w:sz w:val="20"/>
          <w:szCs w:val="20"/>
          <w:color w:val="auto"/>
        </w:rPr>
      </w:pPr>
      <w:r>
        <w:rPr>
          <w:rFonts w:ascii="Times New Roman" w:cs="Times New Roman" w:eastAsia="Times New Roman" w:hAnsi="Times New Roman"/>
          <w:sz w:val="20"/>
          <w:szCs w:val="20"/>
          <w:color w:val="454546"/>
        </w:rPr>
        <w:t>10.35</w:t>
      </w:r>
      <w:r>
        <w:rPr>
          <w:sz w:val="20"/>
          <w:szCs w:val="20"/>
          <w:color w:val="auto"/>
        </w:rPr>
        <w:tab/>
      </w:r>
      <w:r>
        <w:rPr>
          <w:rFonts w:ascii="Times New Roman" w:cs="Times New Roman" w:eastAsia="Times New Roman" w:hAnsi="Times New Roman"/>
          <w:sz w:val="20"/>
          <w:szCs w:val="20"/>
          <w:u w:val="single" w:color="auto"/>
          <w:color w:val="656769"/>
        </w:rPr>
        <w:t>Line of Credit Agreement signed July 30, 2025 (incorporated by reference to Exhibit 10.2 to the Company's Current Report on Form 8-K filed on July 31, 2025 (File No. 0-21044))</w:t>
      </w:r>
    </w:p>
    <w:p>
      <w:pPr>
        <w:spacing w:after="0" w:line="80" w:lineRule="exact"/>
        <w:rPr>
          <w:sz w:val="20"/>
          <w:szCs w:val="20"/>
          <w:color w:val="auto"/>
        </w:rPr>
      </w:pPr>
    </w:p>
    <w:p>
      <w:pPr>
        <w:jc w:val="both"/>
        <w:ind w:left="780" w:hanging="674"/>
        <w:spacing w:after="0"/>
        <w:tabs>
          <w:tab w:leader="none" w:pos="760" w:val="left"/>
        </w:tabs>
        <w:rPr>
          <w:sz w:val="20"/>
          <w:szCs w:val="20"/>
          <w:color w:val="auto"/>
        </w:rPr>
      </w:pPr>
      <w:r>
        <w:rPr>
          <w:rFonts w:ascii="Times New Roman" w:cs="Times New Roman" w:eastAsia="Times New Roman" w:hAnsi="Times New Roman"/>
          <w:sz w:val="20"/>
          <w:szCs w:val="20"/>
          <w:color w:val="454546"/>
        </w:rPr>
        <w:t>10.36</w:t>
      </w:r>
      <w:r>
        <w:rPr>
          <w:sz w:val="20"/>
          <w:szCs w:val="20"/>
          <w:color w:val="auto"/>
        </w:rPr>
        <w:tab/>
      </w:r>
      <w:r>
        <w:rPr>
          <w:rFonts w:ascii="Times New Roman" w:cs="Times New Roman" w:eastAsia="Times New Roman" w:hAnsi="Times New Roman"/>
          <w:sz w:val="20"/>
          <w:szCs w:val="20"/>
          <w:u w:val="single" w:color="auto"/>
          <w:color w:val="656769"/>
        </w:rPr>
        <w:t>Form of Working Capital Loan Contract (incorporated by reference to Exhibit 10.3 to the Company's Current Report on Form 8-K filed on July 31, 2025 (File No. 0-21044))</w:t>
      </w:r>
    </w:p>
    <w:p>
      <w:pPr>
        <w:spacing w:after="0" w:line="80" w:lineRule="exact"/>
        <w:rPr>
          <w:sz w:val="20"/>
          <w:szCs w:val="20"/>
          <w:color w:val="auto"/>
        </w:rPr>
      </w:pPr>
    </w:p>
    <w:p>
      <w:pPr>
        <w:jc w:val="both"/>
        <w:ind w:left="780" w:hanging="674"/>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10.37</w:t>
      </w:r>
      <w:r>
        <w:rPr>
          <w:sz w:val="20"/>
          <w:szCs w:val="20"/>
          <w:color w:val="auto"/>
        </w:rPr>
        <w:tab/>
      </w:r>
      <w:r>
        <w:rPr>
          <w:rFonts w:ascii="Times New Roman" w:cs="Times New Roman" w:eastAsia="Times New Roman" w:hAnsi="Times New Roman"/>
          <w:sz w:val="20"/>
          <w:szCs w:val="20"/>
          <w:u w:val="single" w:color="auto"/>
          <w:color w:val="656769"/>
        </w:rPr>
        <w:t>Maximum Mortgage Contract signed September 1, 2025 (incorporated by reference to Exhibit 10.5 to the Company's Quarterly Report on Form 10-Q for the quarter ended September 30, 2025 filed on November 6, 2025 (File No. 0-21044))</w:t>
      </w:r>
    </w:p>
    <w:p>
      <w:pPr>
        <w:spacing w:after="0" w:line="92" w:lineRule="exact"/>
        <w:rPr>
          <w:sz w:val="20"/>
          <w:szCs w:val="20"/>
          <w:color w:val="auto"/>
        </w:rPr>
      </w:pPr>
    </w:p>
    <w:p>
      <w:pPr>
        <w:jc w:val="both"/>
        <w:ind w:left="780" w:hanging="674"/>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10.38</w:t>
      </w:r>
      <w:r>
        <w:rPr>
          <w:sz w:val="20"/>
          <w:szCs w:val="20"/>
          <w:color w:val="auto"/>
        </w:rPr>
        <w:tab/>
      </w:r>
      <w:r>
        <w:rPr>
          <w:rFonts w:ascii="Times New Roman" w:cs="Times New Roman" w:eastAsia="Times New Roman" w:hAnsi="Times New Roman"/>
          <w:sz w:val="20"/>
          <w:szCs w:val="20"/>
          <w:u w:val="single" w:color="auto"/>
          <w:color w:val="656769"/>
        </w:rPr>
        <w:t>Eleventh Amendment to Second Amended and Restated Credit Agreement signed November 17, 2025 (incorporated by reference to Exhibit 10.1 to the Company's Current Report on Form 8-K filed on November 20, 2025 (File No. 0-21044))</w:t>
      </w:r>
    </w:p>
    <w:p>
      <w:pPr>
        <w:spacing w:after="0" w:line="77" w:lineRule="exact"/>
        <w:rPr>
          <w:sz w:val="20"/>
          <w:szCs w:val="20"/>
          <w:color w:val="auto"/>
        </w:rPr>
      </w:pPr>
    </w:p>
    <w:p>
      <w:pPr>
        <w:jc w:val="both"/>
        <w:ind w:left="780" w:hanging="779"/>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*#10.39</w:t>
      </w:r>
      <w:r>
        <w:rPr>
          <w:sz w:val="20"/>
          <w:szCs w:val="20"/>
          <w:color w:val="auto"/>
        </w:rPr>
        <w:tab/>
      </w:r>
      <w:r>
        <w:rPr>
          <w:rFonts w:ascii="Times New Roman" w:cs="Times New Roman" w:eastAsia="Times New Roman" w:hAnsi="Times New Roman"/>
          <w:sz w:val="20"/>
          <w:szCs w:val="20"/>
          <w:u w:val="single" w:color="auto"/>
          <w:color w:val="656769"/>
        </w:rPr>
        <w:t>Offer Letter dated November 17, 2025 by and between Universal Electronics, Inc. and Wade M. Jenke (incorporated by reference to Exhibit 10.1 to the Company's Current Report on Form 8-K filed on December 30, 2025 (File No. 0-21044))</w:t>
      </w:r>
    </w:p>
    <w:p>
      <w:pPr>
        <w:spacing w:after="0" w:line="62" w:lineRule="exact"/>
        <w:rPr>
          <w:sz w:val="20"/>
          <w:szCs w:val="20"/>
          <w:color w:val="auto"/>
        </w:rPr>
      </w:pPr>
    </w:p>
    <w:p>
      <w:pPr>
        <w:jc w:val="both"/>
        <w:ind w:left="780" w:hanging="674"/>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10.40</w:t>
      </w:r>
      <w:r>
        <w:rPr>
          <w:sz w:val="20"/>
          <w:szCs w:val="20"/>
          <w:color w:val="auto"/>
        </w:rPr>
        <w:tab/>
      </w:r>
      <w:r>
        <w:rPr>
          <w:rFonts w:ascii="Times New Roman" w:cs="Times New Roman" w:eastAsia="Times New Roman" w:hAnsi="Times New Roman"/>
          <w:sz w:val="20"/>
          <w:szCs w:val="20"/>
          <w:u w:val="single" w:color="auto"/>
          <w:color w:val="656769"/>
        </w:rPr>
        <w:t>Twelfth Amendment to Second Amended and Restated Credit Agreement, dated as of March 11, 2026, by and among Universal Electronics Inc., the lender parties thereto, and U.S. Bank National Association, as administrative agent (filed herewith)</w:t>
      </w:r>
    </w:p>
    <w:p>
      <w:pPr>
        <w:spacing w:after="0" w:line="242" w:lineRule="exact"/>
        <w:rPr>
          <w:sz w:val="20"/>
          <w:szCs w:val="20"/>
          <w:color w:val="auto"/>
        </w:rPr>
      </w:pPr>
    </w:p>
    <w:p>
      <w:pPr>
        <w:ind w:left="160"/>
        <w:spacing w:after="0"/>
        <w:tabs>
          <w:tab w:leader="none" w:pos="760" w:val="left"/>
        </w:tabs>
        <w:rPr>
          <w:sz w:val="20"/>
          <w:szCs w:val="20"/>
          <w:color w:val="auto"/>
        </w:rPr>
      </w:pPr>
      <w:r>
        <w:rPr>
          <w:rFonts w:ascii="Times New Roman" w:cs="Times New Roman" w:eastAsia="Times New Roman" w:hAnsi="Times New Roman"/>
          <w:sz w:val="20"/>
          <w:szCs w:val="20"/>
          <w:color w:val="454546"/>
        </w:rPr>
        <w:t>19.1</w:t>
      </w:r>
      <w:r>
        <w:rPr>
          <w:sz w:val="20"/>
          <w:szCs w:val="20"/>
          <w:color w:val="auto"/>
        </w:rPr>
        <w:tab/>
      </w:r>
      <w:r>
        <w:rPr>
          <w:rFonts w:ascii="Times New Roman" w:cs="Times New Roman" w:eastAsia="Times New Roman" w:hAnsi="Times New Roman"/>
          <w:sz w:val="20"/>
          <w:szCs w:val="20"/>
          <w:u w:val="single" w:color="auto"/>
          <w:color w:val="656769"/>
        </w:rPr>
        <w:t>Insider Trading Policy (filed herewith)</w:t>
      </w:r>
    </w:p>
    <w:p>
      <w:pPr>
        <w:spacing w:after="0" w:line="130" w:lineRule="exact"/>
        <w:rPr>
          <w:sz w:val="20"/>
          <w:szCs w:val="20"/>
          <w:color w:val="auto"/>
        </w:rPr>
      </w:pPr>
    </w:p>
    <w:p>
      <w:pPr>
        <w:ind w:left="160"/>
        <w:spacing w:after="0"/>
        <w:tabs>
          <w:tab w:leader="none" w:pos="760" w:val="left"/>
        </w:tabs>
        <w:rPr>
          <w:sz w:val="20"/>
          <w:szCs w:val="20"/>
          <w:color w:val="auto"/>
        </w:rPr>
      </w:pPr>
      <w:r>
        <w:rPr>
          <w:rFonts w:ascii="Times New Roman" w:cs="Times New Roman" w:eastAsia="Times New Roman" w:hAnsi="Times New Roman"/>
          <w:sz w:val="20"/>
          <w:szCs w:val="20"/>
          <w:color w:val="454546"/>
        </w:rPr>
        <w:t>21.1</w:t>
      </w:r>
      <w:r>
        <w:rPr>
          <w:sz w:val="20"/>
          <w:szCs w:val="20"/>
          <w:color w:val="auto"/>
        </w:rPr>
        <w:tab/>
      </w:r>
      <w:r>
        <w:rPr>
          <w:rFonts w:ascii="Times New Roman" w:cs="Times New Roman" w:eastAsia="Times New Roman" w:hAnsi="Times New Roman"/>
          <w:sz w:val="20"/>
          <w:szCs w:val="20"/>
          <w:u w:val="single" w:color="auto"/>
          <w:color w:val="656769"/>
        </w:rPr>
        <w:t>List of Subsidiaries of the Registrant (filed herewith)</w:t>
      </w:r>
    </w:p>
    <w:p>
      <w:pPr>
        <w:spacing w:after="0" w:line="130"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20"/>
          <w:szCs w:val="20"/>
          <w:color w:val="454546"/>
        </w:rPr>
        <w:t>23.1</w:t>
      </w:r>
      <w:r>
        <w:rPr>
          <w:sz w:val="20"/>
          <w:szCs w:val="20"/>
          <w:color w:val="auto"/>
        </w:rPr>
        <w:tab/>
      </w:r>
      <w:r>
        <w:rPr>
          <w:rFonts w:ascii="Times New Roman" w:cs="Times New Roman" w:eastAsia="Times New Roman" w:hAnsi="Times New Roman"/>
          <w:sz w:val="20"/>
          <w:szCs w:val="20"/>
          <w:u w:val="single" w:color="auto"/>
          <w:color w:val="656769"/>
        </w:rPr>
        <w:t>Consent of Independent Registered Public Accounting Firm (filed herewith)</w:t>
      </w:r>
    </w:p>
    <w:p>
      <w:pPr>
        <w:spacing w:after="0" w:line="100"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20"/>
          <w:szCs w:val="20"/>
          <w:color w:val="454546"/>
        </w:rPr>
        <w:t>24.1</w:t>
      </w:r>
      <w:r>
        <w:rPr>
          <w:sz w:val="20"/>
          <w:szCs w:val="20"/>
          <w:color w:val="auto"/>
        </w:rPr>
        <w:tab/>
      </w:r>
      <w:r>
        <w:rPr>
          <w:rFonts w:ascii="Times New Roman" w:cs="Times New Roman" w:eastAsia="Times New Roman" w:hAnsi="Times New Roman"/>
          <w:sz w:val="19"/>
          <w:szCs w:val="19"/>
          <w:u w:val="single" w:color="auto"/>
          <w:color w:val="656769"/>
        </w:rPr>
        <w:t>Power of Attorney (filed as part of the signature page hereto)</w:t>
      </w:r>
    </w:p>
    <w:p>
      <w:pPr>
        <w:spacing w:after="0" w:line="145"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20"/>
          <w:szCs w:val="20"/>
          <w:color w:val="454546"/>
        </w:rPr>
        <w:t>31.1</w:t>
      </w:r>
      <w:r>
        <w:rPr>
          <w:sz w:val="20"/>
          <w:szCs w:val="20"/>
          <w:color w:val="auto"/>
        </w:rPr>
        <w:tab/>
      </w:r>
      <w:r>
        <w:rPr>
          <w:rFonts w:ascii="Times New Roman" w:cs="Times New Roman" w:eastAsia="Times New Roman" w:hAnsi="Times New Roman"/>
          <w:sz w:val="19"/>
          <w:szCs w:val="19"/>
          <w:u w:val="single" w:color="auto"/>
          <w:color w:val="656769"/>
        </w:rPr>
        <w:t>Rule 13a-14(a) Certifications of the Chief Executive Officer (filed herewith)</w:t>
      </w:r>
    </w:p>
    <w:p>
      <w:pPr>
        <w:spacing w:after="0" w:line="100" w:lineRule="exact"/>
        <w:rPr>
          <w:sz w:val="20"/>
          <w:szCs w:val="20"/>
          <w:color w:val="auto"/>
        </w:rPr>
      </w:pPr>
    </w:p>
    <w:p>
      <w:pPr>
        <w:jc w:val="both"/>
        <w:ind w:left="780" w:hanging="605"/>
        <w:spacing w:after="0"/>
        <w:tabs>
          <w:tab w:leader="none" w:pos="760" w:val="left"/>
        </w:tabs>
        <w:rPr>
          <w:sz w:val="20"/>
          <w:szCs w:val="20"/>
          <w:color w:val="auto"/>
        </w:rPr>
      </w:pPr>
      <w:r>
        <w:rPr>
          <w:rFonts w:ascii="Times New Roman" w:cs="Times New Roman" w:eastAsia="Times New Roman" w:hAnsi="Times New Roman"/>
          <w:sz w:val="20"/>
          <w:szCs w:val="20"/>
          <w:color w:val="454546"/>
        </w:rPr>
        <w:t>31.2</w:t>
      </w:r>
      <w:r>
        <w:rPr>
          <w:sz w:val="20"/>
          <w:szCs w:val="20"/>
          <w:color w:val="auto"/>
        </w:rPr>
        <w:tab/>
      </w:r>
      <w:r>
        <w:rPr>
          <w:rFonts w:ascii="Times New Roman" w:cs="Times New Roman" w:eastAsia="Times New Roman" w:hAnsi="Times New Roman"/>
          <w:sz w:val="20"/>
          <w:szCs w:val="20"/>
          <w:u w:val="single" w:color="auto"/>
          <w:color w:val="656769"/>
        </w:rPr>
        <w:t>Rule 13a-14(a) Certifications of the Chief Financial Officer (principal financial officer and principal accounting officer) (filed herewith)</w:t>
      </w:r>
    </w:p>
    <w:p>
      <w:pPr>
        <w:spacing w:after="0" w:line="1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454546"/>
        </w:rPr>
        <w:t xml:space="preserve">**32.1  </w:t>
      </w:r>
      <w:r>
        <w:rPr>
          <w:rFonts w:ascii="Times New Roman" w:cs="Times New Roman" w:eastAsia="Times New Roman" w:hAnsi="Times New Roman"/>
          <w:sz w:val="20"/>
          <w:szCs w:val="20"/>
          <w:u w:val="single" w:color="auto"/>
          <w:color w:val="656769"/>
        </w:rPr>
        <w:t>Section 1350 Certifications of the Chief Executive Officer (furnished herewith)</w:t>
      </w:r>
    </w:p>
    <w:p>
      <w:pPr>
        <w:spacing w:after="0" w:line="130" w:lineRule="exact"/>
        <w:rPr>
          <w:sz w:val="20"/>
          <w:szCs w:val="20"/>
          <w:color w:val="auto"/>
        </w:rPr>
      </w:pPr>
    </w:p>
    <w:p>
      <w:pPr>
        <w:ind w:left="780" w:hanging="699"/>
        <w:spacing w:after="0"/>
        <w:tabs>
          <w:tab w:leader="none" w:pos="760" w:val="left"/>
        </w:tabs>
        <w:rPr>
          <w:sz w:val="20"/>
          <w:szCs w:val="20"/>
          <w:color w:val="auto"/>
        </w:rPr>
      </w:pPr>
      <w:r>
        <w:rPr>
          <w:rFonts w:ascii="Times New Roman" w:cs="Times New Roman" w:eastAsia="Times New Roman" w:hAnsi="Times New Roman"/>
          <w:sz w:val="20"/>
          <w:szCs w:val="20"/>
          <w:color w:val="454546"/>
        </w:rPr>
        <w:t>**32.2</w:t>
      </w:r>
      <w:r>
        <w:rPr>
          <w:sz w:val="20"/>
          <w:szCs w:val="20"/>
          <w:color w:val="auto"/>
        </w:rPr>
        <w:tab/>
      </w:r>
      <w:r>
        <w:rPr>
          <w:rFonts w:ascii="Times New Roman" w:cs="Times New Roman" w:eastAsia="Times New Roman" w:hAnsi="Times New Roman"/>
          <w:sz w:val="20"/>
          <w:szCs w:val="20"/>
          <w:u w:val="single" w:color="auto"/>
          <w:color w:val="656769"/>
        </w:rPr>
        <w:t>Section 1350 Certifications of the Chief Financial Officer (principal financial officer and principal accounting officer) (furnished herewith)</w:t>
      </w:r>
    </w:p>
    <w:p>
      <w:pPr>
        <w:spacing w:after="0" w:line="80" w:lineRule="exact"/>
        <w:rPr>
          <w:sz w:val="20"/>
          <w:szCs w:val="20"/>
          <w:color w:val="auto"/>
        </w:rPr>
      </w:pPr>
    </w:p>
    <w:p>
      <w:pPr>
        <w:jc w:val="both"/>
        <w:ind w:left="780" w:hanging="624"/>
        <w:spacing w:after="0" w:line="229" w:lineRule="auto"/>
        <w:tabs>
          <w:tab w:leader="none" w:pos="760" w:val="left"/>
        </w:tabs>
        <w:rPr>
          <w:sz w:val="20"/>
          <w:szCs w:val="20"/>
          <w:color w:val="auto"/>
        </w:rPr>
      </w:pPr>
      <w:r>
        <w:rPr>
          <w:rFonts w:ascii="Times New Roman" w:cs="Times New Roman" w:eastAsia="Times New Roman" w:hAnsi="Times New Roman"/>
          <w:sz w:val="20"/>
          <w:szCs w:val="20"/>
          <w:color w:val="454546"/>
        </w:rPr>
        <w:t>97.1</w:t>
      </w:r>
      <w:r>
        <w:rPr>
          <w:sz w:val="20"/>
          <w:szCs w:val="20"/>
          <w:color w:val="auto"/>
        </w:rPr>
        <w:tab/>
      </w:r>
      <w:r>
        <w:rPr>
          <w:rFonts w:ascii="Times New Roman" w:cs="Times New Roman" w:eastAsia="Times New Roman" w:hAnsi="Times New Roman"/>
          <w:sz w:val="20"/>
          <w:szCs w:val="20"/>
          <w:u w:val="single" w:color="auto"/>
          <w:color w:val="656769"/>
        </w:rPr>
        <w:t>Universal Electronics Compensation Recoupment Policy (incorporated by reference to Exhibit 97.1 to the Company's Annual Report on Form 10-K for the year ended December 31, 2023 filed on March 14, 2024 (File No. 0-21044))</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101.INS Inline XBRL Instance Document</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54546"/>
        </w:rPr>
        <w:t xml:space="preserve">101.SCH </w:t>
      </w:r>
      <w:r>
        <w:rPr>
          <w:rFonts w:ascii="Times New Roman" w:cs="Times New Roman" w:eastAsia="Times New Roman" w:hAnsi="Times New Roman"/>
          <w:sz w:val="20"/>
          <w:szCs w:val="20"/>
          <w:color w:val="454546"/>
        </w:rPr>
        <w:t>Inline XBRL Taxonomy Extension Schema Document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54546"/>
        </w:rPr>
        <w:t xml:space="preserve">101.CAL </w:t>
      </w:r>
      <w:r>
        <w:rPr>
          <w:rFonts w:ascii="Times New Roman" w:cs="Times New Roman" w:eastAsia="Times New Roman" w:hAnsi="Times New Roman"/>
          <w:sz w:val="20"/>
          <w:szCs w:val="20"/>
          <w:color w:val="454546"/>
        </w:rPr>
        <w:t>Inline XBRL Taxonomy Extension Calculation Linkbase Document</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54546"/>
        </w:rPr>
        <w:t xml:space="preserve">101.DEF </w:t>
      </w:r>
      <w:r>
        <w:rPr>
          <w:rFonts w:ascii="Times New Roman" w:cs="Times New Roman" w:eastAsia="Times New Roman" w:hAnsi="Times New Roman"/>
          <w:sz w:val="20"/>
          <w:szCs w:val="20"/>
          <w:color w:val="454546"/>
        </w:rPr>
        <w:t>Inline XBRL Taxonomy Extension Linkbase Document</w:t>
      </w:r>
    </w:p>
    <w:p>
      <w:pPr>
        <w:sectPr>
          <w:pgSz w:w="11880" w:h="15480" w:orient="portrait"/>
          <w:cols w:equalWidth="0" w:num="1">
            <w:col w:w="10140"/>
          </w:cols>
          <w:pgMar w:left="880" w:top="666" w:right="860" w:bottom="0" w:gutter="0" w:footer="0" w:header="0"/>
        </w:sect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90</w:t>
      </w:r>
    </w:p>
    <w:p>
      <w:pPr>
        <w:sectPr>
          <w:pgSz w:w="11880" w:h="15480" w:orient="portrait"/>
          <w:cols w:equalWidth="0" w:num="1">
            <w:col w:w="10140"/>
          </w:cols>
          <w:pgMar w:left="880" w:top="666" w:right="860" w:bottom="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color w:val="454546"/>
        </w:rPr>
        <w:t xml:space="preserve">101.LAB </w:t>
      </w:r>
      <w:r>
        <w:rPr>
          <w:rFonts w:ascii="Times New Roman" w:cs="Times New Roman" w:eastAsia="Times New Roman" w:hAnsi="Times New Roman"/>
          <w:sz w:val="20"/>
          <w:szCs w:val="20"/>
          <w:color w:val="454546"/>
        </w:rPr>
        <w:t>Inline XBRL Taxonomy Extension Label Linkbase Document</w:t>
      </w:r>
    </w:p>
    <w:p>
      <w:pPr>
        <w:spacing w:after="0" w:line="1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454546"/>
        </w:rPr>
        <w:t xml:space="preserve">101.PRE </w:t>
      </w:r>
      <w:r>
        <w:rPr>
          <w:rFonts w:ascii="Times New Roman" w:cs="Times New Roman" w:eastAsia="Times New Roman" w:hAnsi="Times New Roman"/>
          <w:sz w:val="20"/>
          <w:szCs w:val="20"/>
          <w:color w:val="454546"/>
        </w:rPr>
        <w:t>Inline XBRL Taxonomy Extension Presentation Linkbase Document</w:t>
      </w:r>
    </w:p>
    <w:p>
      <w:pPr>
        <w:spacing w:after="0" w:line="100" w:lineRule="exact"/>
        <w:rPr>
          <w:sz w:val="20"/>
          <w:szCs w:val="20"/>
          <w:color w:val="auto"/>
        </w:rPr>
      </w:pPr>
    </w:p>
    <w:p>
      <w:pPr>
        <w:ind w:left="840" w:hanging="569"/>
        <w:spacing w:after="0"/>
        <w:tabs>
          <w:tab w:leader="none" w:pos="840" w:val="left"/>
        </w:tabs>
        <w:numPr>
          <w:ilvl w:val="0"/>
          <w:numId w:val="45"/>
        </w:numPr>
        <w:rPr>
          <w:rFonts w:ascii="Times New Roman" w:cs="Times New Roman" w:eastAsia="Times New Roman" w:hAnsi="Times New Roman"/>
          <w:sz w:val="18"/>
          <w:szCs w:val="18"/>
          <w:color w:val="454546"/>
        </w:rPr>
      </w:pPr>
      <w:r>
        <w:rPr>
          <w:rFonts w:ascii="Times New Roman" w:cs="Times New Roman" w:eastAsia="Times New Roman" w:hAnsi="Times New Roman"/>
          <w:sz w:val="20"/>
          <w:szCs w:val="20"/>
          <w:color w:val="454546"/>
        </w:rPr>
        <w:t>Cover Page Interactive Data File (embedded within the Inline XBRL document)</w:t>
      </w:r>
    </w:p>
    <w:p>
      <w:pPr>
        <w:spacing w:after="0" w:line="130" w:lineRule="exact"/>
        <w:rPr>
          <w:sz w:val="20"/>
          <w:szCs w:val="20"/>
          <w:color w:val="auto"/>
        </w:rPr>
      </w:pPr>
    </w:p>
    <w:p>
      <w:pPr>
        <w:ind w:left="840" w:hanging="503"/>
        <w:spacing w:after="0"/>
        <w:tabs>
          <w:tab w:leader="none" w:pos="840" w:val="left"/>
        </w:tabs>
        <w:numPr>
          <w:ilvl w:val="0"/>
          <w:numId w:val="4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Management contract or compensation plan or arrangement identified pursuant to Items 15(a)(3) and 15(c) of Form 10-K.</w:t>
      </w:r>
    </w:p>
    <w:p>
      <w:pPr>
        <w:spacing w:after="0" w:line="5" w:lineRule="exact"/>
        <w:rPr>
          <w:sz w:val="20"/>
          <w:szCs w:val="20"/>
          <w:color w:val="auto"/>
        </w:rPr>
      </w:pPr>
    </w:p>
    <w:p>
      <w:pPr>
        <w:ind w:left="840" w:hanging="503"/>
        <w:spacing w:after="0"/>
        <w:tabs>
          <w:tab w:leader="none" w:pos="840" w:val="left"/>
        </w:tabs>
        <w:numPr>
          <w:ilvl w:val="0"/>
          <w:numId w:val="4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Portions of this exhibit have been redacted in accordance with Item 601(b)(10)(iv) of Regulation S-K.</w:t>
      </w:r>
    </w:p>
    <w:p>
      <w:pPr>
        <w:spacing w:after="0" w:line="55" w:lineRule="exact"/>
        <w:rPr>
          <w:sz w:val="20"/>
          <w:szCs w:val="20"/>
          <w:color w:val="auto"/>
        </w:rPr>
      </w:pPr>
    </w:p>
    <w:p>
      <w:pPr>
        <w:ind w:left="840" w:right="240" w:hanging="553"/>
        <w:spacing w:after="0" w:line="221" w:lineRule="auto"/>
        <w:tabs>
          <w:tab w:leader="none" w:pos="840" w:val="left"/>
        </w:tabs>
        <w:numPr>
          <w:ilvl w:val="0"/>
          <w:numId w:val="4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certifications attached as Exhibit 32.1 and 32.2 that accompany this Annual Report on Form 10 K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Annual Report on Form 10 K, irrespective of any general incorporation language contained in such filing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16. FORM 10-K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None.</w:t>
      </w:r>
    </w:p>
    <w:p>
      <w:pPr>
        <w:sectPr>
          <w:pgSz w:w="11880" w:h="15480" w:orient="portrait"/>
          <w:cols w:equalWidth="0" w:num="1">
            <w:col w:w="10080"/>
          </w:cols>
          <w:pgMar w:left="820" w:top="74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454546"/>
        </w:rPr>
        <w:t>91</w:t>
      </w:r>
    </w:p>
    <w:p>
      <w:pPr>
        <w:sectPr>
          <w:pgSz w:w="11880" w:h="15480" w:orient="portrait"/>
          <w:cols w:equalWidth="0" w:num="1">
            <w:col w:w="10080"/>
          </w:cols>
          <w:pgMar w:left="820" w:top="741" w:right="980" w:bottom="0" w:gutter="0" w:footer="0" w:header="0"/>
          <w:type w:val="continuous"/>
        </w:sectPr>
      </w:pPr>
    </w:p>
    <w:bookmarkStart w:id="95" w:name="page96"/>
    <w:bookmarkEnd w:id="95"/>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SIGNATURES</w:t>
      </w:r>
    </w:p>
    <w:p>
      <w:pPr>
        <w:spacing w:after="0" w:line="19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454546"/>
        </w:rPr>
        <w:t>Pursuant to the requirements of Section 13 or 15(d) of the Securities Exchange Act of 1934, the registrant has duly caused this report to be signed on its behalf by the undersigned, thereunto duly authorized, in the City of Scottsdale, State of Arizona.</w:t>
      </w:r>
    </w:p>
    <w:p>
      <w:pPr>
        <w:spacing w:after="0" w:line="3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454546"/>
        </w:rPr>
        <w:t>UNIVERSAL ELECTRONICS INC.</w:t>
      </w:r>
    </w:p>
    <w:p>
      <w:pPr>
        <w:spacing w:after="0" w:line="143" w:lineRule="exact"/>
        <w:rPr>
          <w:sz w:val="20"/>
          <w:szCs w:val="20"/>
          <w:color w:val="auto"/>
        </w:rPr>
      </w:pPr>
    </w:p>
    <w:p>
      <w:pPr>
        <w:ind w:left="4800"/>
        <w:spacing w:after="0"/>
        <w:tabs>
          <w:tab w:leader="none" w:pos="5680" w:val="left"/>
        </w:tabs>
        <w:rPr>
          <w:sz w:val="20"/>
          <w:szCs w:val="20"/>
          <w:color w:val="auto"/>
        </w:rPr>
      </w:pPr>
      <w:r>
        <w:rPr>
          <w:rFonts w:ascii="Times New Roman" w:cs="Times New Roman" w:eastAsia="Times New Roman" w:hAnsi="Times New Roman"/>
          <w:sz w:val="20"/>
          <w:szCs w:val="20"/>
          <w:color w:val="454546"/>
        </w:rPr>
        <w:t>By:</w:t>
      </w:r>
      <w:r>
        <w:rPr>
          <w:sz w:val="20"/>
          <w:szCs w:val="20"/>
          <w:color w:val="auto"/>
        </w:rPr>
        <w:tab/>
      </w:r>
      <w:r>
        <w:rPr>
          <w:rFonts w:ascii="Times New Roman" w:cs="Times New Roman" w:eastAsia="Times New Roman" w:hAnsi="Times New Roman"/>
          <w:sz w:val="20"/>
          <w:szCs w:val="20"/>
          <w:color w:val="454546"/>
        </w:rPr>
        <w:t>/s/ Richard K. Carnifax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3584575</wp:posOffset>
                </wp:positionH>
                <wp:positionV relativeFrom="paragraph">
                  <wp:posOffset>27305</wp:posOffset>
                </wp:positionV>
                <wp:extent cx="292417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4175"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25pt,2.15pt" to="512.5pt,2.15pt" o:allowincell="f" strokecolor="#454546" strokeweight="1pt"/>
            </w:pict>
          </mc:Fallback>
        </mc:AlternateContent>
      </w:r>
    </w:p>
    <w:p>
      <w:pPr>
        <w:spacing w:after="0" w:line="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454546"/>
        </w:rPr>
        <w:t>Richard K. Carnifax</w:t>
      </w:r>
    </w:p>
    <w:p>
      <w:pPr>
        <w:spacing w:after="0" w:line="6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i w:val="1"/>
          <w:iCs w:val="1"/>
          <w:color w:val="454546"/>
        </w:rPr>
        <w:t>Interim Chief Executive Officer and COO</w:t>
      </w:r>
    </w:p>
    <w:p>
      <w:pPr>
        <w:spacing w:after="0" w:line="3" w:lineRule="exact"/>
        <w:rPr>
          <w:sz w:val="20"/>
          <w:szCs w:val="20"/>
          <w:color w:val="auto"/>
        </w:rPr>
      </w:pPr>
    </w:p>
    <w:p>
      <w:pPr>
        <w:ind w:left="4800"/>
        <w:spacing w:after="0"/>
        <w:tabs>
          <w:tab w:leader="none" w:pos="5680" w:val="left"/>
        </w:tabs>
        <w:rPr>
          <w:sz w:val="20"/>
          <w:szCs w:val="20"/>
          <w:color w:val="auto"/>
        </w:rPr>
      </w:pPr>
      <w:r>
        <w:rPr>
          <w:rFonts w:ascii="Times New Roman" w:cs="Times New Roman" w:eastAsia="Times New Roman" w:hAnsi="Times New Roman"/>
          <w:sz w:val="40"/>
          <w:szCs w:val="40"/>
          <w:color w:val="454546"/>
          <w:vertAlign w:val="superscript"/>
        </w:rPr>
        <w:t>Date:</w:t>
      </w:r>
      <w:r>
        <w:rPr>
          <w:sz w:val="20"/>
          <w:szCs w:val="20"/>
          <w:color w:val="auto"/>
        </w:rPr>
        <w:tab/>
      </w:r>
      <w:r>
        <w:rPr>
          <w:rFonts w:ascii="Times New Roman" w:cs="Times New Roman" w:eastAsia="Times New Roman" w:hAnsi="Times New Roman"/>
          <w:sz w:val="20"/>
          <w:szCs w:val="20"/>
          <w:color w:val="454546"/>
        </w:rPr>
        <w:t>March 12, 2026</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POWER OF ATTORNEY</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454546"/>
        </w:rPr>
        <w:t>Each person whose signature appears below constitutes and appoints Richard K. Carnifax and Wade M. Jenke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454546"/>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454546"/>
              </w:rPr>
              <w:t>NAME &amp; TITLE</w:t>
            </w:r>
          </w:p>
        </w:tc>
        <w:tc>
          <w:tcPr>
            <w:tcW w:w="254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454546"/>
              </w:rPr>
              <w:t>SIGNATURE</w:t>
            </w:r>
          </w:p>
        </w:tc>
        <w:tc>
          <w:tcPr>
            <w:tcW w:w="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DATE</w:t>
            </w:r>
          </w:p>
        </w:tc>
        <w:tc>
          <w:tcPr>
            <w:tcW w:w="0" w:type="dxa"/>
            <w:vAlign w:val="bottom"/>
          </w:tcPr>
          <w:p>
            <w:pPr>
              <w:spacing w:after="0"/>
              <w:rPr>
                <w:sz w:val="1"/>
                <w:szCs w:val="1"/>
                <w:color w:val="auto"/>
              </w:rPr>
            </w:pPr>
          </w:p>
        </w:tc>
      </w:tr>
      <w:tr>
        <w:trPr>
          <w:trHeight w:val="338"/>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Richard K. Carnifax</w:t>
            </w: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700" w:type="dxa"/>
            <w:vAlign w:val="bottom"/>
          </w:tcPr>
          <w:p>
            <w:pPr>
              <w:spacing w:after="0" w:line="200" w:lineRule="exact"/>
              <w:rPr>
                <w:sz w:val="20"/>
                <w:szCs w:val="20"/>
                <w:color w:val="auto"/>
              </w:rPr>
            </w:pPr>
            <w:r>
              <w:rPr>
                <w:rFonts w:ascii="Times New Roman" w:cs="Times New Roman" w:eastAsia="Times New Roman" w:hAnsi="Times New Roman"/>
                <w:sz w:val="20"/>
                <w:szCs w:val="20"/>
                <w:i w:val="1"/>
                <w:iCs w:val="1"/>
                <w:color w:val="454546"/>
              </w:rPr>
              <w:t>Interim Chief Executive Officer and COO</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Richard K. Carnifax</w:t>
            </w:r>
          </w:p>
        </w:tc>
        <w:tc>
          <w:tcPr>
            <w:tcW w:w="6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(principal executive officer)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Wade M. Jenke</w:t>
            </w: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700" w:type="dxa"/>
            <w:vAlign w:val="bottom"/>
          </w:tcPr>
          <w:p>
            <w:pPr>
              <w:spacing w:after="0" w:line="200" w:lineRule="exact"/>
              <w:rPr>
                <w:sz w:val="20"/>
                <w:szCs w:val="20"/>
                <w:color w:val="auto"/>
              </w:rPr>
            </w:pPr>
            <w:r>
              <w:rPr>
                <w:rFonts w:ascii="Times New Roman" w:cs="Times New Roman" w:eastAsia="Times New Roman" w:hAnsi="Times New Roman"/>
                <w:sz w:val="20"/>
                <w:szCs w:val="20"/>
                <w:i w:val="1"/>
                <w:iCs w:val="1"/>
                <w:color w:val="454546"/>
              </w:rPr>
              <w:t>Chief Financial Officer</w:t>
            </w:r>
          </w:p>
        </w:tc>
        <w:tc>
          <w:tcPr>
            <w:tcW w:w="25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454546"/>
              </w:rPr>
              <w:t>/s/ Wade M. Jenke</w:t>
            </w:r>
          </w:p>
        </w:tc>
        <w:tc>
          <w:tcPr>
            <w:tcW w:w="6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(principal financial officer and principal accounting officer)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Eric B. Singer</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Eric B. Singer</w:t>
            </w:r>
          </w:p>
        </w:tc>
        <w:tc>
          <w:tcPr>
            <w:tcW w:w="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Chairman</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Michael D. Burger</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Michael D. Burger</w:t>
            </w:r>
          </w:p>
        </w:tc>
        <w:tc>
          <w:tcPr>
            <w:tcW w:w="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Director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Satjiv S. Chahil</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Satjiv S. Chahil</w:t>
            </w:r>
          </w:p>
        </w:tc>
        <w:tc>
          <w:tcPr>
            <w:tcW w:w="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Director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Sue Ann R. Hamilton</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Sue Ann R. Hamilton</w:t>
            </w:r>
          </w:p>
        </w:tc>
        <w:tc>
          <w:tcPr>
            <w:tcW w:w="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Director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William C. Mulligan</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William C. Mulligan</w:t>
            </w:r>
          </w:p>
        </w:tc>
        <w:tc>
          <w:tcPr>
            <w:tcW w:w="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Director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John Mutch</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John Mutch</w:t>
            </w:r>
          </w:p>
        </w:tc>
        <w:tc>
          <w:tcPr>
            <w:tcW w:w="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Director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454546"/>
              </w:rPr>
              <w:t>Romulo C. Pontual</w:t>
            </w:r>
          </w:p>
        </w:tc>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454546"/>
              </w:rPr>
              <w:t>/s/ Romulo C. Pontual</w:t>
            </w:r>
          </w:p>
        </w:tc>
        <w:tc>
          <w:tcPr>
            <w:tcW w:w="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454546"/>
              </w:rPr>
              <w:t>March 12, 2026</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Times New Roman" w:cs="Times New Roman" w:eastAsia="Times New Roman" w:hAnsi="Times New Roman"/>
                <w:sz w:val="20"/>
                <w:szCs w:val="20"/>
                <w:i w:val="1"/>
                <w:iCs w:val="1"/>
                <w:color w:val="454546"/>
              </w:rPr>
              <w:t>Director</w:t>
            </w:r>
          </w:p>
        </w:tc>
        <w:tc>
          <w:tcPr>
            <w:tcW w:w="2540" w:type="dxa"/>
            <w:vAlign w:val="bottom"/>
            <w:tcBorders>
              <w:bottom w:val="single" w:sz="8" w:color="454546"/>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bottom w:val="single" w:sz="8" w:color="454546"/>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92</w:t>
      </w:r>
    </w:p>
    <w:p>
      <w:pPr>
        <w:sectPr>
          <w:pgSz w:w="11880" w:h="15480" w:orient="portrait"/>
          <w:cols w:equalWidth="0" w:num="1">
            <w:col w:w="10260"/>
          </w:cols>
          <w:pgMar w:left="820" w:top="606" w:right="800" w:bottom="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98" w:name="page99"/>
    <w:bookmarkEnd w:id="98"/>
    <w:p>
      <w:pPr>
        <w:spacing w:after="0"/>
        <w:rPr>
          <w:sz w:val="20"/>
          <w:szCs w:val="20"/>
          <w:color w:val="auto"/>
        </w:rPr>
      </w:pPr>
      <w:r>
        <w:rPr>
          <w:rFonts w:ascii="Arial" w:cs="Arial" w:eastAsia="Arial" w:hAnsi="Arial"/>
          <w:sz w:val="40"/>
          <w:szCs w:val="40"/>
          <w:b w:val="1"/>
          <w:bCs w:val="1"/>
          <w:color w:val="231F20"/>
        </w:rPr>
        <w:t>Corporate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274320</wp:posOffset>
                </wp:positionV>
                <wp:extent cx="669226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2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6pt" to="527.4pt,21.6pt" o:allowincell="f" strokecolor="#231F20" strokeweight="0.5pt"/>
            </w:pict>
          </mc:Fallback>
        </mc:AlternateConten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color w:val="231F20"/>
        </w:rPr>
        <w:t>Directors</w:t>
      </w:r>
    </w:p>
    <w:p>
      <w:pPr>
        <w:spacing w:after="0" w:line="200" w:lineRule="exact"/>
        <w:rPr>
          <w:sz w:val="20"/>
          <w:szCs w:val="20"/>
          <w:color w:val="auto"/>
        </w:rPr>
      </w:pPr>
    </w:p>
    <w:p>
      <w:pPr>
        <w:spacing w:after="0" w:line="324" w:lineRule="exact"/>
        <w:rPr>
          <w:sz w:val="20"/>
          <w:szCs w:val="20"/>
          <w:color w:val="auto"/>
        </w:rPr>
      </w:pPr>
    </w:p>
    <w:tbl>
      <w:tblPr>
        <w:tblLayout w:type="fixed"/>
        <w:tblInd w:w="1140" w:type="dxa"/>
        <w:tblCellMar>
          <w:top w:w="0" w:type="dxa"/>
          <w:left w:w="0" w:type="dxa"/>
          <w:bottom w:w="0" w:type="dxa"/>
          <w:right w:w="0" w:type="dxa"/>
        </w:tblCellMar>
      </w:tblPr>
      <w:tr>
        <w:trPr>
          <w:trHeight w:val="265"/>
        </w:trPr>
        <w:tc>
          <w:tcPr>
            <w:tcW w:w="4000" w:type="dxa"/>
            <w:vAlign w:val="bottom"/>
          </w:tcPr>
          <w:p>
            <w:pPr>
              <w:spacing w:after="0"/>
              <w:rPr>
                <w:sz w:val="20"/>
                <w:szCs w:val="20"/>
                <w:color w:val="auto"/>
              </w:rPr>
            </w:pPr>
            <w:r>
              <w:rPr>
                <w:rFonts w:ascii="Arial" w:cs="Arial" w:eastAsia="Arial" w:hAnsi="Arial"/>
                <w:sz w:val="22"/>
                <w:szCs w:val="22"/>
                <w:b w:val="1"/>
                <w:bCs w:val="1"/>
                <w:color w:val="231F20"/>
              </w:rPr>
              <w:t xml:space="preserve">Eric B. Singer </w:t>
            </w:r>
            <w:r>
              <w:rPr>
                <w:rFonts w:ascii="Arial" w:cs="Arial" w:eastAsia="Arial" w:hAnsi="Arial"/>
                <w:sz w:val="12"/>
                <w:szCs w:val="12"/>
                <w:b w:val="1"/>
                <w:bCs w:val="1"/>
                <w:color w:val="231F20"/>
              </w:rPr>
              <w:t>1, 3, 4, 5</w:t>
            </w:r>
          </w:p>
        </w:tc>
        <w:tc>
          <w:tcPr>
            <w:tcW w:w="19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4000" w:type="dxa"/>
            <w:vAlign w:val="bottom"/>
          </w:tcPr>
          <w:p>
            <w:pPr>
              <w:spacing w:after="0"/>
              <w:rPr>
                <w:sz w:val="20"/>
                <w:szCs w:val="20"/>
                <w:color w:val="auto"/>
              </w:rPr>
            </w:pPr>
            <w:r>
              <w:rPr>
                <w:rFonts w:ascii="Arial" w:cs="Arial" w:eastAsia="Arial" w:hAnsi="Arial"/>
                <w:sz w:val="22"/>
                <w:szCs w:val="22"/>
                <w:b w:val="1"/>
                <w:bCs w:val="1"/>
                <w:color w:val="231F20"/>
              </w:rPr>
              <w:t xml:space="preserve">Michael D. Burger </w:t>
            </w:r>
            <w:r>
              <w:rPr>
                <w:rFonts w:ascii="Arial" w:cs="Arial" w:eastAsia="Arial" w:hAnsi="Arial"/>
                <w:sz w:val="12"/>
                <w:szCs w:val="12"/>
                <w:b w:val="1"/>
                <w:bCs w:val="1"/>
                <w:color w:val="231F20"/>
              </w:rPr>
              <w:t>2, 5</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00" w:type="dxa"/>
            <w:vAlign w:val="bottom"/>
          </w:tcPr>
          <w:p>
            <w:pPr>
              <w:spacing w:after="0"/>
              <w:rPr>
                <w:sz w:val="20"/>
                <w:szCs w:val="20"/>
                <w:color w:val="auto"/>
              </w:rPr>
            </w:pPr>
            <w:r>
              <w:rPr>
                <w:rFonts w:ascii="Arial" w:cs="Arial" w:eastAsia="Arial" w:hAnsi="Arial"/>
                <w:sz w:val="22"/>
                <w:szCs w:val="22"/>
                <w:b w:val="1"/>
                <w:bCs w:val="1"/>
                <w:color w:val="231F20"/>
              </w:rPr>
              <w:t xml:space="preserve">Satjiv S. Chahil </w:t>
            </w:r>
            <w:r>
              <w:rPr>
                <w:rFonts w:ascii="Arial" w:cs="Arial" w:eastAsia="Arial" w:hAnsi="Arial"/>
                <w:sz w:val="12"/>
                <w:szCs w:val="12"/>
                <w:b w:val="1"/>
                <w:bCs w:val="1"/>
                <w:color w:val="231F20"/>
              </w:rPr>
              <w:t>3, 4</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00" w:type="dxa"/>
            <w:vAlign w:val="bottom"/>
          </w:tcPr>
          <w:p>
            <w:pPr>
              <w:spacing w:after="0"/>
              <w:rPr>
                <w:sz w:val="20"/>
                <w:szCs w:val="20"/>
                <w:color w:val="auto"/>
              </w:rPr>
            </w:pPr>
            <w:r>
              <w:rPr>
                <w:rFonts w:ascii="Arial" w:cs="Arial" w:eastAsia="Arial" w:hAnsi="Arial"/>
                <w:sz w:val="22"/>
                <w:szCs w:val="22"/>
                <w:b w:val="1"/>
                <w:bCs w:val="1"/>
                <w:color w:val="231F20"/>
              </w:rPr>
              <w:t xml:space="preserve">Sue Ann R. Hamilton </w:t>
            </w:r>
            <w:r>
              <w:rPr>
                <w:rFonts w:ascii="Arial" w:cs="Arial" w:eastAsia="Arial" w:hAnsi="Arial"/>
                <w:sz w:val="12"/>
                <w:szCs w:val="12"/>
                <w:b w:val="1"/>
                <w:bCs w:val="1"/>
                <w:color w:val="231F20"/>
              </w:rPr>
              <w:t>3, 4</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00" w:type="dxa"/>
            <w:vAlign w:val="bottom"/>
          </w:tcPr>
          <w:p>
            <w:pPr>
              <w:spacing w:after="0"/>
              <w:rPr>
                <w:sz w:val="20"/>
                <w:szCs w:val="20"/>
                <w:color w:val="auto"/>
              </w:rPr>
            </w:pPr>
            <w:r>
              <w:rPr>
                <w:rFonts w:ascii="Arial" w:cs="Arial" w:eastAsia="Arial" w:hAnsi="Arial"/>
                <w:sz w:val="22"/>
                <w:szCs w:val="22"/>
                <w:b w:val="1"/>
                <w:bCs w:val="1"/>
                <w:color w:val="231F20"/>
              </w:rPr>
              <w:t>William C. Mulligan</w:t>
            </w:r>
          </w:p>
        </w:tc>
        <w:tc>
          <w:tcPr>
            <w:tcW w:w="1900" w:type="dxa"/>
            <w:vAlign w:val="bottom"/>
            <w:vMerge w:val="restart"/>
          </w:tcPr>
          <w:p>
            <w:pPr>
              <w:ind w:left="1760"/>
              <w:spacing w:after="0"/>
              <w:rPr>
                <w:sz w:val="20"/>
                <w:szCs w:val="20"/>
                <w:color w:val="auto"/>
              </w:rPr>
            </w:pPr>
            <w:r>
              <w:rPr>
                <w:rFonts w:ascii="Arial" w:cs="Arial" w:eastAsia="Arial" w:hAnsi="Arial"/>
                <w:sz w:val="12"/>
                <w:szCs w:val="12"/>
                <w:color w:val="231F20"/>
              </w:rPr>
              <w:t>1.</w:t>
            </w:r>
          </w:p>
        </w:tc>
        <w:tc>
          <w:tcPr>
            <w:tcW w:w="3520" w:type="dxa"/>
            <w:vAlign w:val="bottom"/>
            <w:vMerge w:val="restart"/>
          </w:tcPr>
          <w:p>
            <w:pPr>
              <w:ind w:left="20"/>
              <w:spacing w:after="0"/>
              <w:rPr>
                <w:sz w:val="20"/>
                <w:szCs w:val="20"/>
                <w:color w:val="auto"/>
              </w:rPr>
            </w:pPr>
            <w:r>
              <w:rPr>
                <w:rFonts w:ascii="Arial" w:cs="Arial" w:eastAsia="Arial" w:hAnsi="Arial"/>
                <w:sz w:val="12"/>
                <w:szCs w:val="12"/>
                <w:color w:val="231F20"/>
              </w:rPr>
              <w:t>Chairman of the Board</w:t>
            </w:r>
          </w:p>
        </w:tc>
        <w:tc>
          <w:tcPr>
            <w:tcW w:w="0" w:type="dxa"/>
            <w:vAlign w:val="bottom"/>
          </w:tcPr>
          <w:p>
            <w:pPr>
              <w:spacing w:after="0"/>
              <w:rPr>
                <w:sz w:val="1"/>
                <w:szCs w:val="1"/>
                <w:color w:val="auto"/>
              </w:rPr>
            </w:pPr>
          </w:p>
        </w:tc>
      </w:tr>
      <w:tr>
        <w:trPr>
          <w:trHeight w:val="87"/>
        </w:trPr>
        <w:tc>
          <w:tcPr>
            <w:tcW w:w="400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4000" w:type="dxa"/>
            <w:vAlign w:val="bottom"/>
            <w:vMerge w:val="restart"/>
          </w:tcPr>
          <w:p>
            <w:pPr>
              <w:spacing w:after="0"/>
              <w:rPr>
                <w:sz w:val="20"/>
                <w:szCs w:val="20"/>
                <w:color w:val="auto"/>
              </w:rPr>
            </w:pPr>
            <w:r>
              <w:rPr>
                <w:rFonts w:ascii="Arial" w:cs="Arial" w:eastAsia="Arial" w:hAnsi="Arial"/>
                <w:sz w:val="22"/>
                <w:szCs w:val="22"/>
                <w:b w:val="1"/>
                <w:bCs w:val="1"/>
                <w:color w:val="231F20"/>
              </w:rPr>
              <w:t xml:space="preserve">John Mutch </w:t>
            </w:r>
            <w:r>
              <w:rPr>
                <w:rFonts w:ascii="Arial" w:cs="Arial" w:eastAsia="Arial" w:hAnsi="Arial"/>
                <w:sz w:val="12"/>
                <w:szCs w:val="12"/>
                <w:b w:val="1"/>
                <w:bCs w:val="1"/>
                <w:color w:val="231F20"/>
              </w:rPr>
              <w:t>2, 5</w:t>
            </w:r>
          </w:p>
        </w:tc>
        <w:tc>
          <w:tcPr>
            <w:tcW w:w="1900" w:type="dxa"/>
            <w:vAlign w:val="bottom"/>
          </w:tcPr>
          <w:p>
            <w:pPr>
              <w:ind w:left="1760"/>
              <w:spacing w:after="0"/>
              <w:rPr>
                <w:sz w:val="20"/>
                <w:szCs w:val="20"/>
                <w:color w:val="auto"/>
              </w:rPr>
            </w:pPr>
            <w:r>
              <w:rPr>
                <w:rFonts w:ascii="Arial" w:cs="Arial" w:eastAsia="Arial" w:hAnsi="Arial"/>
                <w:sz w:val="12"/>
                <w:szCs w:val="12"/>
                <w:color w:val="231F20"/>
              </w:rPr>
              <w:t>2.</w:t>
            </w:r>
          </w:p>
        </w:tc>
        <w:tc>
          <w:tcPr>
            <w:tcW w:w="3520" w:type="dxa"/>
            <w:vAlign w:val="bottom"/>
          </w:tcPr>
          <w:p>
            <w:pPr>
              <w:ind w:left="20"/>
              <w:spacing w:after="0"/>
              <w:rPr>
                <w:sz w:val="20"/>
                <w:szCs w:val="20"/>
                <w:color w:val="auto"/>
              </w:rPr>
            </w:pPr>
            <w:r>
              <w:rPr>
                <w:rFonts w:ascii="Arial" w:cs="Arial" w:eastAsia="Arial" w:hAnsi="Arial"/>
                <w:sz w:val="12"/>
                <w:szCs w:val="12"/>
                <w:color w:val="231F20"/>
              </w:rPr>
              <w:t>Audit Committee</w:t>
            </w:r>
          </w:p>
        </w:tc>
        <w:tc>
          <w:tcPr>
            <w:tcW w:w="0" w:type="dxa"/>
            <w:vAlign w:val="bottom"/>
          </w:tcPr>
          <w:p>
            <w:pPr>
              <w:spacing w:after="0"/>
              <w:rPr>
                <w:sz w:val="1"/>
                <w:szCs w:val="1"/>
                <w:color w:val="auto"/>
              </w:rPr>
            </w:pPr>
          </w:p>
        </w:tc>
      </w:tr>
      <w:tr>
        <w:trPr>
          <w:trHeight w:val="187"/>
        </w:trPr>
        <w:tc>
          <w:tcPr>
            <w:tcW w:w="4000" w:type="dxa"/>
            <w:vAlign w:val="bottom"/>
            <w:vMerge w:val="continue"/>
          </w:tcPr>
          <w:p>
            <w:pPr>
              <w:spacing w:after="0"/>
              <w:rPr>
                <w:sz w:val="16"/>
                <w:szCs w:val="16"/>
                <w:color w:val="auto"/>
              </w:rPr>
            </w:pPr>
          </w:p>
        </w:tc>
        <w:tc>
          <w:tcPr>
            <w:tcW w:w="5420" w:type="dxa"/>
            <w:vAlign w:val="bottom"/>
            <w:gridSpan w:val="2"/>
          </w:tcPr>
          <w:p>
            <w:pPr>
              <w:ind w:left="1760"/>
              <w:spacing w:after="0"/>
              <w:rPr>
                <w:sz w:val="20"/>
                <w:szCs w:val="20"/>
                <w:color w:val="auto"/>
              </w:rPr>
            </w:pPr>
            <w:r>
              <w:rPr>
                <w:rFonts w:ascii="Arial" w:cs="Arial" w:eastAsia="Arial" w:hAnsi="Arial"/>
                <w:sz w:val="12"/>
                <w:szCs w:val="12"/>
                <w:color w:val="231F20"/>
              </w:rPr>
              <w:t>3. Compensation Committee</w:t>
            </w:r>
          </w:p>
        </w:tc>
        <w:tc>
          <w:tcPr>
            <w:tcW w:w="0" w:type="dxa"/>
            <w:vAlign w:val="bottom"/>
          </w:tcPr>
          <w:p>
            <w:pPr>
              <w:spacing w:after="0"/>
              <w:rPr>
                <w:sz w:val="1"/>
                <w:szCs w:val="1"/>
                <w:color w:val="auto"/>
              </w:rPr>
            </w:pPr>
          </w:p>
        </w:tc>
      </w:tr>
      <w:tr>
        <w:trPr>
          <w:trHeight w:val="187"/>
        </w:trPr>
        <w:tc>
          <w:tcPr>
            <w:tcW w:w="4000" w:type="dxa"/>
            <w:vAlign w:val="bottom"/>
            <w:vMerge w:val="restart"/>
          </w:tcPr>
          <w:p>
            <w:pPr>
              <w:spacing w:after="0"/>
              <w:rPr>
                <w:sz w:val="20"/>
                <w:szCs w:val="20"/>
                <w:color w:val="auto"/>
              </w:rPr>
            </w:pPr>
            <w:r>
              <w:rPr>
                <w:rFonts w:ascii="Arial" w:cs="Arial" w:eastAsia="Arial" w:hAnsi="Arial"/>
                <w:sz w:val="22"/>
                <w:szCs w:val="22"/>
                <w:b w:val="1"/>
                <w:bCs w:val="1"/>
                <w:color w:val="231F20"/>
              </w:rPr>
              <w:t xml:space="preserve">Rômulo C. Pontual </w:t>
            </w:r>
            <w:r>
              <w:rPr>
                <w:rFonts w:ascii="Arial" w:cs="Arial" w:eastAsia="Arial" w:hAnsi="Arial"/>
                <w:sz w:val="12"/>
                <w:szCs w:val="12"/>
                <w:b w:val="1"/>
                <w:bCs w:val="1"/>
                <w:color w:val="231F20"/>
              </w:rPr>
              <w:t>2, 4</w:t>
            </w:r>
          </w:p>
        </w:tc>
        <w:tc>
          <w:tcPr>
            <w:tcW w:w="5420" w:type="dxa"/>
            <w:vAlign w:val="bottom"/>
            <w:gridSpan w:val="2"/>
          </w:tcPr>
          <w:p>
            <w:pPr>
              <w:ind w:left="1760"/>
              <w:spacing w:after="0"/>
              <w:rPr>
                <w:sz w:val="20"/>
                <w:szCs w:val="20"/>
                <w:color w:val="auto"/>
              </w:rPr>
            </w:pPr>
            <w:r>
              <w:rPr>
                <w:rFonts w:ascii="Arial" w:cs="Arial" w:eastAsia="Arial" w:hAnsi="Arial"/>
                <w:sz w:val="12"/>
                <w:szCs w:val="12"/>
                <w:color w:val="231F20"/>
              </w:rPr>
              <w:t>4. Corporate Governance, Sustainability and Nominating Committee</w:t>
            </w:r>
          </w:p>
        </w:tc>
        <w:tc>
          <w:tcPr>
            <w:tcW w:w="0" w:type="dxa"/>
            <w:vAlign w:val="bottom"/>
          </w:tcPr>
          <w:p>
            <w:pPr>
              <w:spacing w:after="0"/>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900" w:type="dxa"/>
            <w:vAlign w:val="bottom"/>
          </w:tcPr>
          <w:p>
            <w:pPr>
              <w:ind w:left="1760"/>
              <w:spacing w:after="0"/>
              <w:rPr>
                <w:sz w:val="20"/>
                <w:szCs w:val="20"/>
                <w:color w:val="auto"/>
              </w:rPr>
            </w:pPr>
            <w:r>
              <w:rPr>
                <w:rFonts w:ascii="Arial" w:cs="Arial" w:eastAsia="Arial" w:hAnsi="Arial"/>
                <w:sz w:val="12"/>
                <w:szCs w:val="12"/>
                <w:color w:val="231F20"/>
              </w:rPr>
              <w:t>5.</w:t>
            </w:r>
          </w:p>
        </w:tc>
        <w:tc>
          <w:tcPr>
            <w:tcW w:w="3520" w:type="dxa"/>
            <w:vAlign w:val="bottom"/>
          </w:tcPr>
          <w:p>
            <w:pPr>
              <w:ind w:left="20"/>
              <w:spacing w:after="0"/>
              <w:rPr>
                <w:sz w:val="20"/>
                <w:szCs w:val="20"/>
                <w:color w:val="auto"/>
              </w:rPr>
            </w:pPr>
            <w:r>
              <w:rPr>
                <w:rFonts w:ascii="Arial" w:cs="Arial" w:eastAsia="Arial" w:hAnsi="Arial"/>
                <w:sz w:val="12"/>
                <w:szCs w:val="12"/>
                <w:color w:val="231F20"/>
              </w:rPr>
              <w:t>Operational Review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356235</wp:posOffset>
                </wp:positionV>
                <wp:extent cx="669226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2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8.05pt" to="527.4pt,28.05pt" o:allowincell="f" strokecolor="#231F2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color w:val="231F20"/>
        </w:rPr>
        <w:t>Officers &amp; Management Team</w:t>
      </w: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Richard K. Carnifax*</w:t>
      </w:r>
    </w:p>
    <w:p>
      <w:pPr>
        <w:ind w:left="1140"/>
        <w:spacing w:after="0"/>
        <w:rPr>
          <w:sz w:val="20"/>
          <w:szCs w:val="20"/>
          <w:color w:val="auto"/>
        </w:rPr>
      </w:pPr>
      <w:r>
        <w:rPr>
          <w:rFonts w:ascii="Arial" w:cs="Arial" w:eastAsia="Arial" w:hAnsi="Arial"/>
          <w:sz w:val="22"/>
          <w:szCs w:val="22"/>
          <w:color w:val="231F20"/>
        </w:rPr>
        <w:t>Interim Chief Executive Officer and Chief Operating Officer</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Wade M. Jenke*</w:t>
      </w:r>
    </w:p>
    <w:p>
      <w:pPr>
        <w:ind w:left="1140"/>
        <w:spacing w:after="0"/>
        <w:rPr>
          <w:sz w:val="20"/>
          <w:szCs w:val="20"/>
          <w:color w:val="auto"/>
        </w:rPr>
      </w:pPr>
      <w:r>
        <w:rPr>
          <w:rFonts w:ascii="Arial" w:cs="Arial" w:eastAsia="Arial" w:hAnsi="Arial"/>
          <w:sz w:val="22"/>
          <w:szCs w:val="22"/>
          <w:color w:val="231F20"/>
        </w:rPr>
        <w:t>Chief Financial Officer</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Ramzi S. Ammari*</w:t>
      </w:r>
    </w:p>
    <w:p>
      <w:pPr>
        <w:ind w:left="1140"/>
        <w:spacing w:after="0"/>
        <w:rPr>
          <w:sz w:val="20"/>
          <w:szCs w:val="20"/>
          <w:color w:val="auto"/>
        </w:rPr>
      </w:pPr>
      <w:r>
        <w:rPr>
          <w:rFonts w:ascii="Arial" w:cs="Arial" w:eastAsia="Arial" w:hAnsi="Arial"/>
          <w:sz w:val="22"/>
          <w:szCs w:val="22"/>
          <w:color w:val="231F20"/>
        </w:rPr>
        <w:t>Senior Vice President, Global Sales, Corporate Planning and Strategy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Ryan Hochgesang</w:t>
      </w:r>
    </w:p>
    <w:p>
      <w:pPr>
        <w:ind w:left="1140"/>
        <w:spacing w:after="0"/>
        <w:rPr>
          <w:sz w:val="20"/>
          <w:szCs w:val="20"/>
          <w:color w:val="auto"/>
        </w:rPr>
      </w:pPr>
      <w:r>
        <w:rPr>
          <w:rFonts w:ascii="Arial" w:cs="Arial" w:eastAsia="Arial" w:hAnsi="Arial"/>
          <w:sz w:val="22"/>
          <w:szCs w:val="22"/>
          <w:color w:val="231F20"/>
        </w:rPr>
        <w:t>VP, General Counsel and Corporate Secretary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Arsham Hatambeiki</w:t>
      </w:r>
    </w:p>
    <w:p>
      <w:pPr>
        <w:ind w:left="1140"/>
        <w:spacing w:after="0"/>
        <w:rPr>
          <w:sz w:val="20"/>
          <w:szCs w:val="20"/>
          <w:color w:val="auto"/>
        </w:rPr>
      </w:pPr>
      <w:r>
        <w:rPr>
          <w:rFonts w:ascii="Arial" w:cs="Arial" w:eastAsia="Arial" w:hAnsi="Arial"/>
          <w:sz w:val="22"/>
          <w:szCs w:val="22"/>
          <w:color w:val="231F20"/>
        </w:rPr>
        <w:t>Senior Vice President, Product and Technology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Joseph L. Haughawout</w:t>
      </w:r>
    </w:p>
    <w:p>
      <w:pPr>
        <w:ind w:left="1140"/>
        <w:spacing w:after="0"/>
        <w:rPr>
          <w:sz w:val="20"/>
          <w:szCs w:val="20"/>
          <w:color w:val="auto"/>
        </w:rPr>
      </w:pPr>
      <w:r>
        <w:rPr>
          <w:rFonts w:ascii="Arial" w:cs="Arial" w:eastAsia="Arial" w:hAnsi="Arial"/>
          <w:sz w:val="22"/>
          <w:szCs w:val="22"/>
          <w:color w:val="231F20"/>
        </w:rPr>
        <w:t>Senior Vice President, Product Development</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Raymond Ho</w:t>
      </w:r>
    </w:p>
    <w:p>
      <w:pPr>
        <w:ind w:left="1140"/>
        <w:spacing w:after="0"/>
        <w:rPr>
          <w:sz w:val="20"/>
          <w:szCs w:val="20"/>
          <w:color w:val="auto"/>
        </w:rPr>
      </w:pPr>
      <w:r>
        <w:rPr>
          <w:rFonts w:ascii="Arial" w:cs="Arial" w:eastAsia="Arial" w:hAnsi="Arial"/>
          <w:sz w:val="22"/>
          <w:szCs w:val="22"/>
          <w:color w:val="231F20"/>
        </w:rPr>
        <w:t>Senior Vice President, Finance</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Jonathan Hooker</w:t>
      </w:r>
    </w:p>
    <w:p>
      <w:pPr>
        <w:ind w:left="1140"/>
        <w:spacing w:after="0"/>
        <w:rPr>
          <w:sz w:val="20"/>
          <w:szCs w:val="20"/>
          <w:color w:val="auto"/>
        </w:rPr>
      </w:pPr>
      <w:r>
        <w:rPr>
          <w:rFonts w:ascii="Arial" w:cs="Arial" w:eastAsia="Arial" w:hAnsi="Arial"/>
          <w:sz w:val="22"/>
          <w:szCs w:val="22"/>
          <w:color w:val="231F20"/>
        </w:rPr>
        <w:t>Senior Vice President, Consumer Business Line</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Kuldip Johal</w:t>
      </w:r>
    </w:p>
    <w:p>
      <w:pPr>
        <w:ind w:left="1140"/>
        <w:spacing w:after="0"/>
        <w:rPr>
          <w:sz w:val="20"/>
          <w:szCs w:val="20"/>
          <w:color w:val="auto"/>
        </w:rPr>
      </w:pPr>
      <w:r>
        <w:rPr>
          <w:rFonts w:ascii="Arial" w:cs="Arial" w:eastAsia="Arial" w:hAnsi="Arial"/>
          <w:sz w:val="22"/>
          <w:szCs w:val="22"/>
          <w:color w:val="231F20"/>
        </w:rPr>
        <w:t>Senior Vice President, Global Sales - Video Service Providers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Hrag G. Ohannessian</w:t>
      </w:r>
    </w:p>
    <w:p>
      <w:pPr>
        <w:ind w:left="1140"/>
        <w:spacing w:after="0"/>
        <w:rPr>
          <w:sz w:val="20"/>
          <w:szCs w:val="20"/>
          <w:color w:val="auto"/>
        </w:rPr>
      </w:pPr>
      <w:r>
        <w:rPr>
          <w:rFonts w:ascii="Arial" w:cs="Arial" w:eastAsia="Arial" w:hAnsi="Arial"/>
          <w:sz w:val="22"/>
          <w:szCs w:val="22"/>
          <w:color w:val="231F20"/>
        </w:rPr>
        <w:t>Senior Vice President, Global Sales - Home Automation, Security and Hospitality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231F20"/>
        </w:rPr>
        <w:t>Norman G. Sheridan, Ph.D.</w:t>
      </w:r>
    </w:p>
    <w:p>
      <w:pPr>
        <w:ind w:left="1140"/>
        <w:spacing w:after="0"/>
        <w:rPr>
          <w:sz w:val="20"/>
          <w:szCs w:val="20"/>
          <w:color w:val="auto"/>
        </w:rPr>
      </w:pPr>
      <w:r>
        <w:rPr>
          <w:rFonts w:ascii="Arial" w:cs="Arial" w:eastAsia="Arial" w:hAnsi="Arial"/>
          <w:sz w:val="22"/>
          <w:szCs w:val="22"/>
          <w:color w:val="231F20"/>
        </w:rPr>
        <w:t>Senior Vice President, Engineering</w:t>
      </w:r>
    </w:p>
    <w:p>
      <w:pPr>
        <w:sectPr>
          <w:pgSz w:w="11880" w:h="15480" w:orient="portrait"/>
          <w:cols w:equalWidth="0" w:num="1">
            <w:col w:w="10560"/>
          </w:cols>
          <w:pgMar w:left="640" w:top="572" w:right="680" w:bottom="0" w:gutter="0" w:footer="0" w:header="0"/>
        </w:sectPr>
      </w:pPr>
    </w:p>
    <w:p>
      <w:pPr>
        <w:spacing w:after="0" w:line="200" w:lineRule="exact"/>
        <w:rPr>
          <w:sz w:val="20"/>
          <w:szCs w:val="20"/>
          <w:color w:val="auto"/>
        </w:rPr>
      </w:pPr>
    </w:p>
    <w:p>
      <w:pPr>
        <w:spacing w:after="0" w:line="261" w:lineRule="exact"/>
        <w:rPr>
          <w:sz w:val="20"/>
          <w:szCs w:val="20"/>
          <w:color w:val="auto"/>
        </w:rPr>
      </w:pPr>
    </w:p>
    <w:p>
      <w:pPr>
        <w:ind w:left="1140"/>
        <w:spacing w:after="0"/>
        <w:rPr>
          <w:sz w:val="20"/>
          <w:szCs w:val="20"/>
          <w:color w:val="auto"/>
        </w:rPr>
      </w:pPr>
      <w:r>
        <w:rPr>
          <w:rFonts w:ascii="Arial" w:cs="Arial" w:eastAsia="Arial" w:hAnsi="Arial"/>
          <w:sz w:val="12"/>
          <w:szCs w:val="12"/>
          <w:color w:val="231F20"/>
        </w:rPr>
        <w:t>* Executive Officer as defined by the Security Exchange Act of 1934.</w:t>
      </w:r>
    </w:p>
    <w:p>
      <w:pPr>
        <w:sectPr>
          <w:pgSz w:w="11880" w:h="15480" w:orient="portrait"/>
          <w:cols w:equalWidth="0" w:num="1">
            <w:col w:w="10560"/>
          </w:cols>
          <w:pgMar w:left="640" w:top="572" w:right="680" w:bottom="0"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92">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Arial" w:cs="Arial" w:eastAsia="Arial" w:hAnsi="Arial"/>
          <w:sz w:val="11"/>
          <w:szCs w:val="11"/>
          <w:color w:val="F3F4F4"/>
        </w:rPr>
        <w:t>QuickSet Cloud &amp; nevo.ai Smart Home Solutions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60"/>
        <w:spacing w:after="0"/>
        <w:rPr>
          <w:sz w:val="20"/>
          <w:szCs w:val="20"/>
          <w:color w:val="auto"/>
        </w:rPr>
      </w:pPr>
      <w:r>
        <w:rPr>
          <w:rFonts w:ascii="Arial" w:cs="Arial" w:eastAsia="Arial" w:hAnsi="Arial"/>
          <w:sz w:val="13"/>
          <w:szCs w:val="13"/>
          <w:color w:val="F3F4F4"/>
        </w:rPr>
        <w:t xml:space="preserve">UEI TIDE Climate Control Family </w:t>
      </w:r>
      <w:r>
        <w:rPr>
          <w:sz w:val="1"/>
          <w:szCs w:val="1"/>
          <w:color w:val="auto"/>
        </w:rPr>
        <w:drawing>
          <wp:inline distT="0" distB="0" distL="0" distR="0">
            <wp:extent cx="137795" cy="13779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93">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200" w:type="dxa"/>
        <w:tblCellMar>
          <w:top w:w="0" w:type="dxa"/>
          <w:left w:w="0" w:type="dxa"/>
          <w:bottom w:w="0" w:type="dxa"/>
          <w:right w:w="0" w:type="dxa"/>
        </w:tblCellMar>
      </w:tblPr>
      <w:tr>
        <w:trPr>
          <w:trHeight w:val="152"/>
        </w:trPr>
        <w:tc>
          <w:tcPr>
            <w:tcW w:w="4140" w:type="dxa"/>
            <w:vAlign w:val="bottom"/>
          </w:tcPr>
          <w:p>
            <w:pPr>
              <w:spacing w:after="0"/>
              <w:rPr>
                <w:sz w:val="20"/>
                <w:szCs w:val="20"/>
                <w:color w:val="auto"/>
              </w:rPr>
            </w:pPr>
            <w:r>
              <w:rPr>
                <w:rFonts w:ascii="Arial" w:cs="Arial" w:eastAsia="Arial" w:hAnsi="Arial"/>
                <w:sz w:val="13"/>
                <w:szCs w:val="13"/>
                <w:color w:val="F3F4F4"/>
              </w:rPr>
              <w:t>Battery-Free Voice Remotes</w:t>
            </w:r>
          </w:p>
        </w:tc>
        <w:tc>
          <w:tcPr>
            <w:tcW w:w="4140" w:type="dxa"/>
            <w:vAlign w:val="bottom"/>
            <w:vMerge w:val="restart"/>
          </w:tcPr>
          <w:p>
            <w:pPr>
              <w:ind w:left="2600"/>
              <w:spacing w:after="0"/>
              <w:rPr>
                <w:sz w:val="20"/>
                <w:szCs w:val="20"/>
                <w:color w:val="auto"/>
              </w:rPr>
            </w:pPr>
            <w:r>
              <w:rPr>
                <w:rFonts w:ascii="Arial" w:cs="Arial" w:eastAsia="Arial" w:hAnsi="Arial"/>
                <w:sz w:val="13"/>
                <w:szCs w:val="13"/>
                <w:color w:val="F3F4F4"/>
                <w:w w:val="91"/>
              </w:rPr>
              <w:t>Aspen Zigbee Sensor Family</w:t>
            </w:r>
          </w:p>
        </w:tc>
        <w:tc>
          <w:tcPr>
            <w:tcW w:w="0" w:type="dxa"/>
            <w:vAlign w:val="bottom"/>
          </w:tcPr>
          <w:p>
            <w:pPr>
              <w:spacing w:after="0"/>
              <w:rPr>
                <w:sz w:val="1"/>
                <w:szCs w:val="1"/>
                <w:color w:val="auto"/>
              </w:rPr>
            </w:pPr>
          </w:p>
        </w:tc>
      </w:tr>
      <w:tr>
        <w:trPr>
          <w:trHeight w:val="65"/>
        </w:trPr>
        <w:tc>
          <w:tcPr>
            <w:tcW w:w="414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ind w:left="7480"/>
        <w:spacing w:after="0"/>
        <w:rPr>
          <w:sz w:val="20"/>
          <w:szCs w:val="20"/>
          <w:color w:val="auto"/>
        </w:rPr>
      </w:pPr>
      <w:r>
        <w:rPr>
          <w:rFonts w:ascii="Arial" w:cs="Arial" w:eastAsia="Arial" w:hAnsi="Arial"/>
          <w:sz w:val="13"/>
          <w:szCs w:val="13"/>
          <w:color w:val="F3F4F4"/>
        </w:rPr>
        <w:t xml:space="preserve">FireÅghter Smoke Alarm Listener </w:t>
      </w:r>
      <w:r>
        <w:rPr>
          <w:sz w:val="1"/>
          <w:szCs w:val="1"/>
          <w:color w:val="auto"/>
        </w:rPr>
        <w:drawing>
          <wp:inline distT="0" distB="0" distL="0" distR="0">
            <wp:extent cx="137795" cy="13779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94">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r>
    </w:p>
    <w:p>
      <w:pPr>
        <w:spacing w:after="0" w:line="363" w:lineRule="exact"/>
        <w:rPr>
          <w:sz w:val="20"/>
          <w:szCs w:val="20"/>
          <w:color w:val="auto"/>
        </w:rPr>
      </w:pPr>
    </w:p>
    <w:p>
      <w:pPr>
        <w:ind w:left="6940"/>
        <w:spacing w:after="0"/>
        <w:rPr>
          <w:sz w:val="20"/>
          <w:szCs w:val="20"/>
          <w:color w:val="auto"/>
        </w:rPr>
      </w:pPr>
      <w:r>
        <w:rPr>
          <w:rFonts w:ascii="Arial" w:cs="Arial" w:eastAsia="Arial" w:hAnsi="Arial"/>
          <w:sz w:val="13"/>
          <w:szCs w:val="13"/>
          <w:color w:val="F3F4F4"/>
        </w:rPr>
        <w:t xml:space="preserve">Smart Motorized Shade Control </w:t>
      </w:r>
      <w:r>
        <w:rPr>
          <w:sz w:val="1"/>
          <w:szCs w:val="1"/>
          <w:color w:val="auto"/>
        </w:rPr>
        <w:drawing>
          <wp:inline distT="0" distB="0" distL="0" distR="0">
            <wp:extent cx="137795" cy="13779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95">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r>
    </w:p>
    <w:p>
      <w:pPr>
        <w:spacing w:after="0" w:line="328" w:lineRule="exact"/>
        <w:rPr>
          <w:sz w:val="20"/>
          <w:szCs w:val="20"/>
          <w:color w:val="auto"/>
        </w:rPr>
      </w:pPr>
    </w:p>
    <w:p>
      <w:pPr>
        <w:ind w:left="900"/>
        <w:spacing w:after="0"/>
        <w:rPr>
          <w:sz w:val="20"/>
          <w:szCs w:val="20"/>
          <w:color w:val="auto"/>
        </w:rPr>
      </w:pPr>
      <w:r>
        <w:rPr>
          <w:rFonts w:ascii="Arial" w:cs="Arial" w:eastAsia="Arial" w:hAnsi="Arial"/>
          <w:sz w:val="13"/>
          <w:szCs w:val="13"/>
          <w:color w:val="F3F4F4"/>
        </w:rPr>
        <w:t xml:space="preserve">QuickSet Cloud Entertainment Personalization </w:t>
      </w:r>
      <w:r>
        <w:rPr>
          <w:sz w:val="1"/>
          <w:szCs w:val="1"/>
          <w:color w:val="auto"/>
        </w:rPr>
        <w:drawing>
          <wp:inline distT="0" distB="0" distL="0" distR="0">
            <wp:extent cx="137795" cy="13779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96">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3"/>
          <w:szCs w:val="13"/>
          <w:color w:val="F3F4F4"/>
        </w:rPr>
        <w:t xml:space="preserve">Smart Home Controllers </w:t>
      </w:r>
      <w:r>
        <w:rPr>
          <w:sz w:val="1"/>
          <w:szCs w:val="1"/>
          <w:color w:val="auto"/>
        </w:rPr>
        <w:drawing>
          <wp:inline distT="0" distB="0" distL="0" distR="0">
            <wp:extent cx="137795" cy="13779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97">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r>
    </w:p>
    <w:p>
      <w:pPr>
        <w:spacing w:after="0" w:line="191" w:lineRule="exact"/>
        <w:rPr>
          <w:sz w:val="20"/>
          <w:szCs w:val="20"/>
          <w:color w:val="auto"/>
        </w:rPr>
      </w:pPr>
    </w:p>
    <w:p>
      <w:pPr>
        <w:ind w:left="1900"/>
        <w:spacing w:after="0"/>
        <w:rPr>
          <w:sz w:val="20"/>
          <w:szCs w:val="20"/>
          <w:color w:val="auto"/>
        </w:rPr>
      </w:pPr>
      <w:r>
        <w:rPr>
          <w:rFonts w:ascii="Arial" w:cs="Arial" w:eastAsia="Arial" w:hAnsi="Arial"/>
          <w:sz w:val="13"/>
          <w:szCs w:val="13"/>
          <w:color w:val="F3F4F4"/>
        </w:rPr>
        <w:t xml:space="preserve">QuickSet homeSense </w:t>
      </w:r>
      <w:r>
        <w:rPr>
          <w:sz w:val="1"/>
          <w:szCs w:val="1"/>
          <w:color w:val="auto"/>
        </w:rPr>
        <w:drawing>
          <wp:inline distT="0" distB="0" distL="0" distR="0">
            <wp:extent cx="137795" cy="13779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98">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r>
    </w:p>
    <w:p>
      <w:pPr>
        <w:spacing w:after="0" w:line="98" w:lineRule="exact"/>
        <w:rPr>
          <w:sz w:val="20"/>
          <w:szCs w:val="20"/>
          <w:color w:val="auto"/>
        </w:rPr>
      </w:pPr>
    </w:p>
    <w:p>
      <w:pPr>
        <w:spacing w:after="0"/>
        <w:rPr>
          <w:sz w:val="20"/>
          <w:szCs w:val="20"/>
          <w:color w:val="auto"/>
        </w:rPr>
      </w:pPr>
      <w:r>
        <w:rPr>
          <w:sz w:val="1"/>
          <w:szCs w:val="1"/>
          <w:color w:val="auto"/>
        </w:rPr>
        <w:drawing>
          <wp:inline distT="0" distB="0" distL="0" distR="0">
            <wp:extent cx="137795" cy="13779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99">
                      <a:extLst>
                        <a:ext uri="{28A0092B-C50C-407E-A947-70E740481C1C}"/>
                      </a:extLst>
                    </a:blip>
                    <a:srcRect/>
                    <a:stretch>
                      <a:fillRect/>
                    </a:stretch>
                  </pic:blipFill>
                  <pic:spPr bwMode="auto">
                    <a:xfrm>
                      <a:off x="0" y="0"/>
                      <a:ext cx="137795" cy="137795"/>
                    </a:xfrm>
                    <a:prstGeom prst="rect">
                      <a:avLst/>
                    </a:prstGeom>
                    <a:noFill/>
                    <a:ln>
                      <a:noFill/>
                    </a:ln>
                  </pic:spPr>
                </pic:pic>
              </a:graphicData>
            </a:graphic>
          </wp:inline>
        </w:drawing>
      </w:r>
      <w:r>
        <w:rPr>
          <w:rFonts w:ascii="Arial" w:cs="Arial" w:eastAsia="Arial" w:hAnsi="Arial"/>
          <w:sz w:val="13"/>
          <w:szCs w:val="13"/>
          <w:color w:val="F3F4F4"/>
        </w:rPr>
        <w:t>QuickSet Widget</w:t>
      </w:r>
    </w:p>
    <w:sectPr>
      <w:pgSz w:w="11880" w:h="15480" w:orient="portrait"/>
      <w:cols w:equalWidth="0" w:num="1">
        <w:col w:w="10480"/>
      </w:cols>
      <w:pgMar w:left="480" w:top="1440" w:right="9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4"/>
      <w:numFmt w:val="bullet"/>
      <w:start w:val="1"/>
    </w:lvl>
  </w:abstractNum>
  <w:abstractNum w:abstractNumId="1">
    <w:nsid w:val="79838CB2"/>
    <w:multiLevelType w:val="hybridMultilevel"/>
    <w:lvl w:ilvl="0">
      <w:lvlJc w:val="left"/>
      <w:lvlText w:val="%3"/>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lvl w:ilvl="1">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25"/>
    </w:lvl>
  </w:abstractNum>
  <w:abstractNum w:abstractNumId="16">
    <w:nsid w:val="22221A70"/>
    <w:multiLevelType w:val="hybridMultilevel"/>
    <w:lvl w:ilvl="0">
      <w:lvlJc w:val="left"/>
      <w:lvlText w:val="%1"/>
      <w:numFmt w:val="decimal"/>
      <w:start w:val="10"/>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291"/>
    </w:lvl>
  </w:abstractNum>
  <w:abstractNum w:abstractNumId="24">
    <w:nsid w:val="3804823E"/>
    <w:multiLevelType w:val="hybridMultilevel"/>
    <w:lvl w:ilvl="0">
      <w:lvlJc w:val="left"/>
      <w:lvlText w:val="(%1)"/>
      <w:numFmt w:val="decimal"/>
      <w:start w:val="126"/>
    </w:lvl>
  </w:abstractNum>
  <w:abstractNum w:abstractNumId="25">
    <w:nsid w:val="77465F01"/>
    <w:multiLevelType w:val="hybridMultilevel"/>
    <w:lvl w:ilvl="0">
      <w:lvlJc w:val="left"/>
      <w:lvlText w:val="(%1)"/>
      <w:numFmt w:val="decimal"/>
      <w:start w:val="437"/>
    </w:lvl>
  </w:abstractNum>
  <w:abstractNum w:abstractNumId="26">
    <w:nsid w:val="7724C67E"/>
    <w:multiLevelType w:val="hybridMultilevel"/>
    <w:lvl w:ilvl="0">
      <w:lvlJc w:val="left"/>
      <w:lvlText w:val="(%1)"/>
      <w:numFmt w:val="decimal"/>
      <w:start w:val="152"/>
    </w:lvl>
  </w:abstractNum>
  <w:abstractNum w:abstractNumId="27">
    <w:nsid w:val="5C482A97"/>
    <w:multiLevelType w:val="hybridMultilevel"/>
    <w:lvl w:ilvl="0">
      <w:lvlJc w:val="left"/>
      <w:lvlText w:val="(%1)"/>
      <w:numFmt w:val="decimal"/>
      <w:start w:val="41"/>
    </w:lvl>
  </w:abstractNum>
  <w:abstractNum w:abstractNumId="28">
    <w:nsid w:val="2463B9EA"/>
    <w:multiLevelType w:val="hybridMultilevel"/>
    <w:lvl w:ilvl="0">
      <w:lvlJc w:val="left"/>
      <w:lvlText w:val="(%1)"/>
      <w:numFmt w:val="decimal"/>
      <w:start w:val="775"/>
    </w:lvl>
  </w:abstractNum>
  <w:abstractNum w:abstractNumId="29">
    <w:nsid w:val="5E884ADC"/>
    <w:multiLevelType w:val="hybridMultilevel"/>
    <w:lvl w:ilvl="0">
      <w:lvlJc w:val="left"/>
      <w:lvlText w:val="(%1)"/>
      <w:numFmt w:val="decimal"/>
      <w:start w:val="282"/>
    </w:lvl>
  </w:abstractNum>
  <w:abstractNum w:abstractNumId="30">
    <w:nsid w:val="51EAD36B"/>
    <w:multiLevelType w:val="hybridMultilevel"/>
    <w:lvl w:ilvl="0">
      <w:lvlJc w:val="left"/>
      <w:lvlText w:val="(%1)"/>
      <w:numFmt w:val="decimal"/>
      <w:start w:val="192"/>
    </w:lvl>
  </w:abstractNum>
  <w:abstractNum w:abstractNumId="31">
    <w:nsid w:val="2D517796"/>
    <w:multiLevelType w:val="hybridMultilevel"/>
    <w:lvl w:ilvl="0">
      <w:lvlJc w:val="left"/>
      <w:lvlText w:val="(%1)"/>
      <w:numFmt w:val="decimal"/>
      <w:start w:val="229"/>
    </w:lvl>
  </w:abstractNum>
  <w:abstractNum w:abstractNumId="32">
    <w:nsid w:val="580BD78F"/>
    <w:multiLevelType w:val="hybridMultilevel"/>
    <w:lvl w:ilvl="0">
      <w:lvlJc w:val="left"/>
      <w:lvlText w:val="(%1)"/>
      <w:numFmt w:val="decimal"/>
      <w:start w:val="571"/>
    </w:lvl>
  </w:abstractNum>
  <w:abstractNum w:abstractNumId="33">
    <w:nsid w:val="153EA438"/>
    <w:multiLevelType w:val="hybridMultilevel"/>
    <w:lvl w:ilvl="0">
      <w:lvlJc w:val="left"/>
      <w:lvlText w:val="%1"/>
      <w:numFmt w:val="decimal"/>
      <w:start w:val="412"/>
    </w:lvl>
  </w:abstractNum>
  <w:abstractNum w:abstractNumId="34">
    <w:nsid w:val="3855585C"/>
    <w:multiLevelType w:val="hybridMultilevel"/>
    <w:lvl w:ilvl="0">
      <w:lvlJc w:val="left"/>
      <w:lvlText w:val="%1"/>
      <w:numFmt w:val="decimal"/>
      <w:start w:val="46"/>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337"/>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04"/>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2026-04-08T15:35:17Z</dcterms:created>
  <dcterms:modified xsi:type="dcterms:W3CDTF">2026-04-08T15:35:17Z</dcterms:modified>
</cp:coreProperties>
</file>