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214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214620"/>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1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Singer Eric</w:t>
              </w:r>
            </w:hyperlink>
          </w:p>
        </w:tc>
        <w:tc>
          <w:tcPr>
            <w:tcW w:w="1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3"/>
          </w:tcPr>
          <w:p>
            <w:pPr>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UNIVERSAL ELECTRONICS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UEIC</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100" w:type="dxa"/>
            <w:vAlign w:val="bottom"/>
            <w:gridSpan w:val="3"/>
            <w:vMerge w:val="continue"/>
          </w:tcPr>
          <w:p>
            <w:pPr>
              <w:spacing w:after="0"/>
              <w:rPr>
                <w:sz w:val="4"/>
                <w:szCs w:val="4"/>
                <w:color w:val="auto"/>
              </w:rPr>
            </w:pPr>
          </w:p>
        </w:tc>
        <w:tc>
          <w:tcPr>
            <w:tcW w:w="1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0" w:type="dxa"/>
            <w:vAlign w:val="bottom"/>
            <w:gridSpan w:val="2"/>
            <w:vMerge w:val="restart"/>
          </w:tcPr>
          <w:p>
            <w:pPr>
              <w:spacing w:after="0"/>
              <w:rPr>
                <w:sz w:val="4"/>
                <w:szCs w:val="4"/>
                <w:color w:val="auto"/>
              </w:rPr>
            </w:pPr>
          </w:p>
        </w:tc>
        <w:tc>
          <w:tcPr>
            <w:tcW w:w="120" w:type="dxa"/>
            <w:vAlign w:val="bottom"/>
            <w:tcBorders>
              <w:top w:val="single" w:sz="8" w:color="0000EE"/>
            </w:tcBorders>
            <w:vMerge w:val="restart"/>
          </w:tcPr>
          <w:p>
            <w:pPr>
              <w:spacing w:after="0" w:line="238" w:lineRule="exact"/>
              <w:rPr>
                <w:sz w:val="20"/>
                <w:szCs w:val="20"/>
                <w:color w:val="auto"/>
              </w:rPr>
            </w:pPr>
            <w:r>
              <w:rPr>
                <w:rFonts w:ascii="Times New Roman" w:cs="Times New Roman" w:eastAsia="Times New Roman" w:hAnsi="Times New Roman"/>
                <w:sz w:val="21"/>
                <w:szCs w:val="21"/>
                <w:color w:val="auto"/>
              </w:rPr>
              <w:t>]</w:t>
            </w:r>
          </w:p>
        </w:tc>
        <w:tc>
          <w:tcPr>
            <w:tcW w:w="2920" w:type="dxa"/>
            <w:vAlign w:val="bottom"/>
            <w:tcBorders>
              <w:top w:val="single" w:sz="8" w:color="0000EE"/>
            </w:tcBorders>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940" w:type="dxa"/>
            <w:vAlign w:val="bottom"/>
            <w:tcBorders>
              <w:top w:val="single" w:sz="8" w:color="0000EE"/>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3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60" w:type="dxa"/>
            <w:vAlign w:val="bottom"/>
            <w:gridSpan w:val="2"/>
            <w:vMerge w:val="continue"/>
          </w:tcPr>
          <w:p>
            <w:pPr>
              <w:spacing w:after="0"/>
              <w:rPr>
                <w:sz w:val="14"/>
                <w:szCs w:val="14"/>
                <w:color w:val="auto"/>
              </w:rPr>
            </w:pPr>
          </w:p>
        </w:tc>
        <w:tc>
          <w:tcPr>
            <w:tcW w:w="120" w:type="dxa"/>
            <w:vAlign w:val="bottom"/>
            <w:tcBorders>
              <w:top w:val="single" w:sz="8" w:color="0000EE"/>
            </w:tcBorders>
            <w:vMerge w:val="continue"/>
          </w:tcPr>
          <w:p>
            <w:pPr>
              <w:spacing w:after="0"/>
              <w:rPr>
                <w:sz w:val="14"/>
                <w:szCs w:val="14"/>
                <w:color w:val="auto"/>
              </w:rPr>
            </w:pPr>
          </w:p>
        </w:tc>
        <w:tc>
          <w:tcPr>
            <w:tcW w:w="2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vMerge w:val="restart"/>
          </w:tcPr>
          <w:p>
            <w:pPr>
              <w:ind w:left="140"/>
              <w:spacing w:after="0"/>
              <w:rPr>
                <w:sz w:val="20"/>
                <w:szCs w:val="20"/>
                <w:color w:val="auto"/>
              </w:rPr>
            </w:pPr>
            <w:r>
              <w:rPr>
                <w:rFonts w:ascii="Arial" w:cs="Arial" w:eastAsia="Arial" w:hAnsi="Arial"/>
                <w:sz w:val="13"/>
                <w:szCs w:val="13"/>
                <w:color w:val="auto"/>
              </w:rPr>
              <w:t>(First)</w:t>
            </w:r>
          </w:p>
        </w:tc>
        <w:tc>
          <w:tcPr>
            <w:tcW w:w="118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20" w:type="dxa"/>
            <w:vAlign w:val="bottom"/>
            <w:tcBorders>
              <w:bottom w:val="single" w:sz="8" w:color="2C2C2C"/>
            </w:tcBorders>
          </w:tcPr>
          <w:p>
            <w:pPr>
              <w:spacing w:after="0"/>
              <w:rPr>
                <w:sz w:val="17"/>
                <w:szCs w:val="17"/>
                <w:color w:val="auto"/>
              </w:rPr>
            </w:pPr>
          </w:p>
        </w:tc>
        <w:tc>
          <w:tcPr>
            <w:tcW w:w="29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100" w:type="dxa"/>
            <w:vAlign w:val="bottom"/>
            <w:gridSpan w:val="3"/>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180" w:type="dxa"/>
            <w:vAlign w:val="bottom"/>
            <w:vMerge w:val="continue"/>
          </w:tcPr>
          <w:p>
            <w:pPr>
              <w:spacing w:after="0"/>
              <w:rPr>
                <w:sz w:val="6"/>
                <w:szCs w:val="6"/>
                <w:color w:val="auto"/>
              </w:rPr>
            </w:pPr>
          </w:p>
        </w:tc>
        <w:tc>
          <w:tcPr>
            <w:tcW w:w="280" w:type="dxa"/>
            <w:vAlign w:val="bottom"/>
            <w:gridSpan w:val="3"/>
            <w:vMerge w:val="restart"/>
          </w:tcPr>
          <w:p>
            <w:pPr>
              <w:ind w:left="1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4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IMMERSION CORPORATION</w:t>
            </w:r>
          </w:p>
        </w:tc>
        <w:tc>
          <w:tcPr>
            <w:tcW w:w="280" w:type="dxa"/>
            <w:vAlign w:val="bottom"/>
            <w:gridSpan w:val="3"/>
            <w:vMerge w:val="continue"/>
          </w:tcPr>
          <w:p>
            <w:pPr>
              <w:spacing w:after="0"/>
              <w:rPr>
                <w:sz w:val="8"/>
                <w:szCs w:val="8"/>
                <w:color w:val="auto"/>
              </w:rPr>
            </w:pPr>
          </w:p>
        </w:tc>
        <w:tc>
          <w:tcPr>
            <w:tcW w:w="36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640" w:type="dxa"/>
            <w:vAlign w:val="bottom"/>
            <w:gridSpan w:val="5"/>
            <w:vMerge w:val="continue"/>
          </w:tcPr>
          <w:p>
            <w:pPr>
              <w:spacing w:after="0"/>
              <w:rPr>
                <w:sz w:val="18"/>
                <w:szCs w:val="18"/>
                <w:color w:val="auto"/>
              </w:rPr>
            </w:pPr>
          </w:p>
        </w:tc>
        <w:tc>
          <w:tcPr>
            <w:tcW w:w="320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05/19/2026</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2999 NE 191ST ST, STE 610</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172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319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19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3"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5"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700" w:type="dxa"/>
            <w:vAlign w:val="bottom"/>
            <w:gridSpan w:val="8"/>
          </w:tcPr>
          <w:p>
            <w:pPr>
              <w:jc w:val="center"/>
              <w:ind w:right="34"/>
              <w:spacing w:after="0" w:line="135" w:lineRule="exact"/>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line="135"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AVENTURA</w:t>
            </w: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0"/>
              </w:rPr>
              <w:t>FL</w:t>
            </w:r>
          </w:p>
        </w:tc>
        <w:tc>
          <w:tcPr>
            <w:tcW w:w="980" w:type="dxa"/>
            <w:vAlign w:val="bottom"/>
          </w:tcPr>
          <w:p>
            <w:pPr>
              <w:spacing w:after="0"/>
              <w:rPr>
                <w:sz w:val="8"/>
                <w:szCs w:val="8"/>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33180</w:t>
            </w: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2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9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vMerge w:val="restart"/>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5"/>
                <w:szCs w:val="5"/>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vMerge w:val="continue"/>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3"/>
          </w:tcPr>
          <w:p>
            <w:pPr>
              <w:spacing w:after="0"/>
              <w:rPr>
                <w:sz w:val="10"/>
                <w:szCs w:val="10"/>
                <w:color w:val="auto"/>
              </w:rPr>
            </w:pPr>
          </w:p>
        </w:tc>
        <w:tc>
          <w:tcPr>
            <w:tcW w:w="254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5"/>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6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860" w:type="dxa"/>
            <w:vAlign w:val="bottom"/>
            <w:gridSpan w:val="3"/>
          </w:tcPr>
          <w:p>
            <w:pPr>
              <w:ind w:left="900"/>
              <w:spacing w:after="0"/>
              <w:rPr>
                <w:sz w:val="20"/>
                <w:szCs w:val="20"/>
                <w:color w:val="auto"/>
              </w:rPr>
            </w:pPr>
            <w:r>
              <w:rPr>
                <w:rFonts w:ascii="Times New Roman" w:cs="Times New Roman" w:eastAsia="Times New Roman" w:hAnsi="Times New Roman"/>
                <w:sz w:val="17"/>
                <w:szCs w:val="17"/>
                <w:color w:val="0000FF"/>
              </w:rPr>
              <w:t>05/19/2026</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66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rPr>
              <w:t>18,437</w:t>
            </w:r>
          </w:p>
        </w:tc>
        <w:tc>
          <w:tcPr>
            <w:tcW w:w="56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280" w:type="dxa"/>
            <w:vAlign w:val="bottom"/>
            <w:gridSpan w:val="3"/>
          </w:tcPr>
          <w:p>
            <w:pPr>
              <w:jc w:val="right"/>
              <w:ind w:right="321"/>
              <w:spacing w:after="0"/>
              <w:rPr>
                <w:sz w:val="20"/>
                <w:szCs w:val="20"/>
                <w:color w:val="auto"/>
              </w:rPr>
            </w:pPr>
            <w:r>
              <w:rPr>
                <w:rFonts w:ascii="Times New Roman" w:cs="Times New Roman" w:eastAsia="Times New Roman" w:hAnsi="Times New Roman"/>
                <w:sz w:val="17"/>
                <w:szCs w:val="17"/>
                <w:color w:val="0000FF"/>
              </w:rPr>
              <w:t>80,984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gridSpan w:val="3"/>
            <w:vMerge w:val="restart"/>
          </w:tcPr>
          <w:p>
            <w:pPr>
              <w:jc w:val="right"/>
              <w:ind w:right="221"/>
              <w:spacing w:after="0"/>
              <w:rPr>
                <w:sz w:val="20"/>
                <w:szCs w:val="20"/>
                <w:color w:val="auto"/>
              </w:rPr>
            </w:pPr>
            <w:r>
              <w:rPr>
                <w:rFonts w:ascii="Times New Roman" w:cs="Times New Roman" w:eastAsia="Times New Roman" w:hAnsi="Times New Roman"/>
                <w:sz w:val="17"/>
                <w:szCs w:val="17"/>
                <w:color w:val="0000FF"/>
              </w:rPr>
              <w:t>1,544,647</w:t>
            </w:r>
          </w:p>
        </w:tc>
        <w:tc>
          <w:tcPr>
            <w:tcW w:w="280" w:type="dxa"/>
            <w:vAlign w:val="bottom"/>
          </w:tcPr>
          <w:p>
            <w:pPr>
              <w:spacing w:after="0"/>
              <w:rPr>
                <w:sz w:val="21"/>
                <w:szCs w:val="21"/>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33"/>
                <w:szCs w:val="33"/>
                <w:color w:val="0000FF"/>
                <w:vertAlign w:val="subscript"/>
              </w:rPr>
              <w:t>I</w:t>
            </w:r>
            <w:r>
              <w:rPr>
                <w:rFonts w:ascii="Times New Roman" w:cs="Times New Roman" w:eastAsia="Times New Roman" w:hAnsi="Times New Roman"/>
                <w:sz w:val="11"/>
                <w:szCs w:val="11"/>
                <w:color w:val="008000"/>
              </w:rPr>
              <w:t>(2)</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Group</w:t>
            </w:r>
            <w:r>
              <w:rPr>
                <w:rFonts w:ascii="Times New Roman" w:cs="Times New Roman" w:eastAsia="Times New Roman" w:hAnsi="Times New Roman"/>
                <w:sz w:val="21"/>
                <w:szCs w:val="21"/>
                <w:color w:val="008000"/>
                <w:vertAlign w:val="superscript"/>
              </w:rPr>
              <w:t>(2)</w:t>
            </w:r>
          </w:p>
        </w:tc>
        <w:tc>
          <w:tcPr>
            <w:tcW w:w="0" w:type="dxa"/>
            <w:vAlign w:val="bottom"/>
          </w:tcPr>
          <w:p>
            <w:pPr>
              <w:spacing w:after="0"/>
              <w:rPr>
                <w:sz w:val="1"/>
                <w:szCs w:val="1"/>
                <w:color w:val="auto"/>
              </w:rPr>
            </w:pPr>
          </w:p>
        </w:tc>
      </w:tr>
      <w:tr>
        <w:trPr>
          <w:trHeight w:val="149"/>
        </w:trPr>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tcPr>
          <w:p>
            <w:pPr>
              <w:spacing w:after="0"/>
              <w:rPr>
                <w:sz w:val="12"/>
                <w:szCs w:val="12"/>
                <w:color w:val="auto"/>
              </w:rPr>
            </w:pPr>
          </w:p>
        </w:tc>
        <w:tc>
          <w:tcPr>
            <w:tcW w:w="11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220" w:type="dxa"/>
            <w:vAlign w:val="bottom"/>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2"/>
          </w:tcPr>
          <w:p>
            <w:pPr>
              <w:jc w:val="center"/>
              <w:ind w:left="473"/>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18,437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05/19/2026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920" w:type="dxa"/>
            <w:vAlign w:val="bottom"/>
          </w:tcPr>
          <w:p>
            <w:pPr>
              <w:ind w:left="460"/>
              <w:spacing w:after="0" w:line="129" w:lineRule="exact"/>
              <w:rPr>
                <w:sz w:val="20"/>
                <w:szCs w:val="20"/>
                <w:color w:val="auto"/>
              </w:rPr>
            </w:pPr>
            <w:r>
              <w:rPr>
                <w:rFonts w:ascii="Times New Roman" w:cs="Times New Roman" w:eastAsia="Times New Roman" w:hAnsi="Times New Roman"/>
                <w:sz w:val="13"/>
                <w:szCs w:val="13"/>
                <w:color w:val="0000FF"/>
              </w:rPr>
              <w:t>18,437</w:t>
            </w: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tcPr>
          <w:p>
            <w:pPr>
              <w:ind w:left="36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80" w:type="dxa"/>
            <w:vAlign w:val="bottom"/>
          </w:tcPr>
          <w:p>
            <w:pPr>
              <w:ind w:left="34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ind w:left="4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UEI common stock.</w:t>
      </w:r>
    </w:p>
    <w:p>
      <w:pPr>
        <w:spacing w:after="0" w:line="44" w:lineRule="exact"/>
        <w:rPr>
          <w:rFonts w:ascii="Times New Roman" w:cs="Times New Roman" w:eastAsia="Times New Roman" w:hAnsi="Times New Roman"/>
          <w:sz w:val="13"/>
          <w:szCs w:val="13"/>
          <w:color w:val="008000"/>
        </w:rPr>
      </w:pPr>
    </w:p>
    <w:p>
      <w:pPr>
        <w:ind w:left="40" w:right="1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of the Issuer's Common Stock held directly by Toro 18 Holdings LLC ("Toro 18"). Immersion Corporation, as the sole member of Toro 18, may be deemed to beneficially own the shares held directly by Toro 18. William C. Martin, as the Chief Strategy Officer of Toro 18, may be deemed to beneficially own the shares held directly by Toro 18. Eric Singer, as the President and Chief Executive Officer of Toro 18, may be deemed to beneficially own the securities held directly by Toro 18.</w:t>
      </w:r>
    </w:p>
    <w:p>
      <w:pPr>
        <w:spacing w:after="0" w:line="25" w:lineRule="exact"/>
        <w:rPr>
          <w:rFonts w:ascii="Times New Roman" w:cs="Times New Roman" w:eastAsia="Times New Roman" w:hAnsi="Times New Roman"/>
          <w:sz w:val="13"/>
          <w:szCs w:val="13"/>
          <w:color w:val="008000"/>
        </w:rPr>
      </w:pPr>
    </w:p>
    <w:p>
      <w:pPr>
        <w:ind w:left="40" w:right="24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July 1, 2025, the reporting person was granted 18,437 restricted stock units, with 100% vesting upon the earlier of (i) one year following the date of grant and (ii) immediately prior to the Company's next annual meeting of stockholders.</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/s/Eric Singer by Bryan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-8890</wp:posOffset>
            </wp:positionV>
            <wp:extent cx="10033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ind w:left="6600"/>
        <w:spacing w:after="0" w:line="196" w:lineRule="auto"/>
        <w:tabs>
          <w:tab w:leader="none" w:pos="8780" w:val="left"/>
        </w:tabs>
        <w:rPr>
          <w:sz w:val="20"/>
          <w:szCs w:val="20"/>
          <w:color w:val="auto"/>
        </w:rPr>
      </w:pPr>
      <w:r>
        <w:rPr>
          <w:rFonts w:ascii="Times New Roman" w:cs="Times New Roman" w:eastAsia="Times New Roman" w:hAnsi="Times New Roman"/>
          <w:sz w:val="17"/>
          <w:szCs w:val="17"/>
          <w:color w:val="0000FF"/>
        </w:rPr>
        <w:t>Allison, pursuant to Limited</w:t>
      </w:r>
      <w:r>
        <w:rPr>
          <w:sz w:val="20"/>
          <w:szCs w:val="20"/>
          <w:color w:val="auto"/>
        </w:rPr>
        <w:tab/>
      </w:r>
      <w:r>
        <w:rPr>
          <w:rFonts w:ascii="Times New Roman" w:cs="Times New Roman" w:eastAsia="Times New Roman" w:hAnsi="Times New Roman"/>
          <w:sz w:val="25"/>
          <w:szCs w:val="25"/>
          <w:color w:val="0000FF"/>
          <w:vertAlign w:val="subscript"/>
        </w:rPr>
        <w:t>05/21/2026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2077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2077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Power of Attorney dated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2725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127254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-15875</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2"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13" Type="http://schemas.openxmlformats.org/officeDocument/2006/relationships/hyperlink" Target="http://www.sec.gov/cgi-bin/browse-edgar?action=getcompany&amp;CIK=0001443284" TargetMode="External"/><Relationship Id="rId14" Type="http://schemas.openxmlformats.org/officeDocument/2006/relationships/hyperlink" Target="http://www.sec.gov/cgi-bin/browse-edgar?action=getcompany&amp;CIK=00001019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2026-05-21T17:00:03Z</dcterms:created>
  <dcterms:modified xsi:type="dcterms:W3CDTF">2026-05-21T17:00:03Z</dcterms:modified>
</cp:coreProperties>
</file>