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620" w:right="280" w:hanging="396"/>
        <w:spacing w:after="0" w:line="256" w:lineRule="auto"/>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99" w:lineRule="exact"/>
        <w:rPr>
          <w:sz w:val="24"/>
          <w:szCs w:val="24"/>
          <w:color w:val="auto"/>
        </w:rPr>
      </w:pPr>
    </w:p>
    <w:p>
      <w:pPr>
        <w:ind w:left="620" w:right="260" w:hanging="396"/>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880"/>
        <w:spacing w:after="0"/>
        <w:tabs>
          <w:tab w:leader="none" w:pos="6740" w:val="left"/>
          <w:tab w:leader="none" w:pos="7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8"/>
              </w:rPr>
              <w:t>Delaware</w:t>
            </w:r>
          </w:p>
        </w:tc>
        <w:tc>
          <w:tcPr>
            <w:tcW w:w="3000" w:type="dxa"/>
            <w:vAlign w:val="bottom"/>
          </w:tcPr>
          <w:p>
            <w:pPr>
              <w:jc w:val="right"/>
              <w:ind w:right="24"/>
              <w:spacing w:after="0"/>
              <w:rPr>
                <w:sz w:val="20"/>
                <w:szCs w:val="20"/>
                <w:color w:val="auto"/>
              </w:rPr>
            </w:pPr>
            <w:r>
              <w:rPr>
                <w:rFonts w:ascii="Arial" w:cs="Arial" w:eastAsia="Arial" w:hAnsi="Arial"/>
                <w:sz w:val="18"/>
                <w:szCs w:val="18"/>
                <w:b w:val="1"/>
                <w:bCs w:val="1"/>
                <w:color w:val="auto"/>
              </w:rPr>
              <w:t>33-0204817</w:t>
            </w:r>
          </w:p>
        </w:tc>
      </w:tr>
      <w:tr>
        <w:trPr>
          <w:trHeight w:val="149"/>
        </w:trPr>
        <w:tc>
          <w:tcPr>
            <w:tcW w:w="4640" w:type="dxa"/>
            <w:vAlign w:val="bottom"/>
          </w:tcPr>
          <w:p>
            <w:pPr>
              <w:jc w:val="center"/>
              <w:ind w:right="186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0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9"/>
              </w:rPr>
              <w:t>Incorporation or Organization)</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8"/>
              </w:rPr>
              <w:t>201 E. Sandpointe Avenue, 8</w:t>
            </w:r>
            <w:r>
              <w:rPr>
                <w:rFonts w:ascii="Arial" w:cs="Arial" w:eastAsia="Arial" w:hAnsi="Arial"/>
                <w:sz w:val="11"/>
                <w:szCs w:val="11"/>
                <w:b w:val="1"/>
                <w:bCs w:val="1"/>
                <w:color w:val="auto"/>
                <w:w w:val="88"/>
              </w:rPr>
              <w:t>th</w:t>
            </w:r>
            <w:r>
              <w:rPr>
                <w:rFonts w:ascii="Arial" w:cs="Arial" w:eastAsia="Arial" w:hAnsi="Arial"/>
                <w:sz w:val="18"/>
                <w:szCs w:val="18"/>
                <w:b w:val="1"/>
                <w:bCs w:val="1"/>
                <w:color w:val="auto"/>
                <w:w w:val="88"/>
              </w:rPr>
              <w:t xml:space="preserve"> Floor</w:t>
            </w:r>
          </w:p>
        </w:tc>
        <w:tc>
          <w:tcPr>
            <w:tcW w:w="3000" w:type="dxa"/>
            <w:vAlign w:val="bottom"/>
          </w:tcPr>
          <w:p>
            <w:pPr>
              <w:spacing w:after="0"/>
              <w:rPr>
                <w:sz w:val="24"/>
                <w:szCs w:val="24"/>
                <w:color w:val="auto"/>
              </w:rPr>
            </w:pPr>
          </w:p>
        </w:tc>
      </w:tr>
      <w:tr>
        <w:trPr>
          <w:trHeight w:val="231"/>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91"/>
              </w:rPr>
              <w:t>Santa Ana, California</w:t>
            </w:r>
          </w:p>
        </w:tc>
        <w:tc>
          <w:tcPr>
            <w:tcW w:w="3000" w:type="dxa"/>
            <w:vAlign w:val="bottom"/>
          </w:tcPr>
          <w:p>
            <w:pPr>
              <w:jc w:val="right"/>
              <w:ind w:right="224"/>
              <w:spacing w:after="0"/>
              <w:rPr>
                <w:sz w:val="20"/>
                <w:szCs w:val="20"/>
                <w:color w:val="auto"/>
              </w:rPr>
            </w:pPr>
            <w:r>
              <w:rPr>
                <w:rFonts w:ascii="Arial" w:cs="Arial" w:eastAsia="Arial" w:hAnsi="Arial"/>
                <w:sz w:val="18"/>
                <w:szCs w:val="18"/>
                <w:b w:val="1"/>
                <w:bCs w:val="1"/>
                <w:color w:val="auto"/>
              </w:rPr>
              <w:t>92707</w:t>
            </w:r>
          </w:p>
        </w:tc>
      </w:tr>
      <w:tr>
        <w:trPr>
          <w:trHeight w:val="174"/>
        </w:trPr>
        <w:tc>
          <w:tcPr>
            <w:tcW w:w="4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918-9500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22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200"/>
          </w:cols>
          <w:pgMar w:left="240" w:top="230"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720"/>
            <w:col w:w="160" w:space="100"/>
            <w:col w:w="5080" w:space="720"/>
            <w:col w:w="2120" w:space="720"/>
            <w:col w:w="200"/>
          </w:cols>
          <w:pgMar w:left="240" w:top="230"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020" w:space="160"/>
            <w:col w:w="260" w:space="80"/>
            <w:col w:w="160" w:space="180"/>
            <w:col w:w="2540"/>
          </w:cols>
          <w:pgMar w:left="240" w:top="230" w:right="259" w:bottom="1440" w:gutter="0" w:footer="0" w:header="0"/>
          <w:type w:val="continuous"/>
        </w:sectPr>
      </w:pPr>
    </w:p>
    <w:p>
      <w:pPr>
        <w:spacing w:after="0" w:line="6"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15,043,221 shares of Common Stock, par value $0.01 per share, of the registrant were outstanding on November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40" w:type="dxa"/>
            <w:vAlign w:val="bottom"/>
            <w:gridSpan w:val="4"/>
          </w:tcPr>
          <w:p>
            <w:pPr>
              <w:jc w:val="center"/>
              <w:ind w:right="3500"/>
              <w:spacing w:after="0"/>
              <w:rPr>
                <w:sz w:val="20"/>
                <w:szCs w:val="20"/>
                <w:color w:val="auto"/>
              </w:rPr>
            </w:pPr>
            <w:r>
              <w:rPr>
                <w:rFonts w:ascii="Arial" w:cs="Arial" w:eastAsia="Arial" w:hAnsi="Arial"/>
                <w:sz w:val="18"/>
                <w:szCs w:val="18"/>
                <w:b w:val="1"/>
                <w:bCs w:val="1"/>
                <w:color w:val="auto"/>
                <w:w w:val="98"/>
              </w:rPr>
              <w:t>UNIVERSAL ELECTRONICS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2"/>
          </w:tcPr>
          <w:p>
            <w:pPr>
              <w:jc w:val="center"/>
              <w:ind w:right="442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820" w:type="dxa"/>
            <w:vAlign w:val="bottom"/>
            <w:gridSpan w:val="11"/>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220" w:type="dxa"/>
            <w:vAlign w:val="bottom"/>
            <w:gridSpan w:val="8"/>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11"/>
            <w:vMerge w:val="continue"/>
          </w:tcPr>
          <w:p>
            <w:pPr>
              <w:spacing w:after="0"/>
              <w:rPr>
                <w:sz w:val="13"/>
                <w:szCs w:val="13"/>
                <w:color w:val="auto"/>
              </w:rPr>
            </w:pPr>
          </w:p>
        </w:tc>
        <w:tc>
          <w:tcPr>
            <w:tcW w:w="822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Consolidated Financial Statements (Unaudited)</w:t>
              </w:r>
            </w:hyperlink>
          </w:p>
        </w:tc>
        <w:tc>
          <w:tcPr>
            <w:tcW w:w="7160" w:type="dxa"/>
            <w:vAlign w:val="bottom"/>
            <w:gridSpan w:val="5"/>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85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Income Statements</w:t>
              </w:r>
            </w:hyperlink>
          </w:p>
        </w:tc>
        <w:tc>
          <w:tcPr>
            <w:tcW w:w="82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Comprehensive Income Statements</w:t>
              </w:r>
            </w:hyperlink>
          </w:p>
        </w:tc>
        <w:tc>
          <w:tcPr>
            <w:tcW w:w="71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78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the Consolidated Financial Statements</w:t>
              </w:r>
            </w:hyperlink>
          </w:p>
        </w:tc>
        <w:tc>
          <w:tcPr>
            <w:tcW w:w="72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4. Controls and Procedures</w:t>
              </w:r>
            </w:hyperlink>
          </w:p>
        </w:tc>
        <w:tc>
          <w:tcPr>
            <w:tcW w:w="87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PART II. OTHER INFORMATION</w:t>
              </w:r>
            </w:hyperlink>
          </w:p>
        </w:tc>
        <w:tc>
          <w:tcPr>
            <w:tcW w:w="85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1. Legal Proceedings</w:t>
              </w:r>
            </w:hyperlink>
          </w:p>
        </w:tc>
        <w:tc>
          <w:tcPr>
            <w:tcW w:w="91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1A. Risk Factors</w:t>
              </w:r>
            </w:hyperlink>
          </w:p>
        </w:tc>
        <w:tc>
          <w:tcPr>
            <w:tcW w:w="94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2. Unregistered Sales of Equity Securities and Use of Proceeds</w:t>
              </w:r>
            </w:hyperlink>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6. Exhibits</w:t>
              </w:r>
            </w:hyperlink>
          </w:p>
        </w:tc>
        <w:tc>
          <w:tcPr>
            <w:tcW w:w="99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8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 Index</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3"/>
        </w:trPr>
        <w:tc>
          <w:tcPr>
            <w:tcW w:w="960" w:type="dxa"/>
            <w:vAlign w:val="bottom"/>
            <w:tcBorders>
              <w:top w:val="single" w:sz="8" w:color="0000EE"/>
            </w:tcBorders>
            <w:gridSpan w:val="3"/>
          </w:tcPr>
          <w:p>
            <w:pPr>
              <w:spacing w:after="0"/>
              <w:rPr>
                <w:sz w:val="24"/>
                <w:szCs w:val="24"/>
                <w:color w:val="auto"/>
              </w:rPr>
            </w:pPr>
          </w:p>
        </w:tc>
        <w:tc>
          <w:tcPr>
            <w:tcW w:w="5880" w:type="dxa"/>
            <w:vAlign w:val="bottom"/>
            <w:gridSpan w:val="15"/>
          </w:tcPr>
          <w:p>
            <w:pPr>
              <w:jc w:val="center"/>
              <w:ind w:left="3552"/>
              <w:spacing w:after="0"/>
              <w:rPr>
                <w:sz w:val="20"/>
                <w:szCs w:val="20"/>
                <w:color w:val="auto"/>
              </w:rPr>
            </w:pPr>
            <w:r>
              <w:rPr>
                <w:rFonts w:ascii="Arial" w:cs="Arial" w:eastAsia="Arial" w:hAnsi="Arial"/>
                <w:sz w:val="18"/>
                <w:szCs w:val="18"/>
                <w:color w:val="auto"/>
                <w:w w:val="79"/>
              </w:rPr>
              <w:t>2</w:t>
            </w: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87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ind w:left="4020"/>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29,372</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92,392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82,184</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72,115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90,904</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215,570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212,063</w:t>
            </w: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80,449</w:t>
            </w: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30,820</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32,814</w:t>
            </w: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5,350</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367,273</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369,488</w:t>
            </w: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55,430</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Line of credit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14,400</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Accrued sales discounts, rebates and royalties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6,544</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5,707</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31,343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29,204</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105,807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127,302</w:t>
            </w: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11,056</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119,931</w:t>
            </w: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139,499</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w w:val="95"/>
              </w:rPr>
              <w:t>Common stock, $0.01 par value, 50,000,000 shares authorized; 21,368,580 and 21,142,915 shares issued 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640"/>
              <w:spacing w:after="0"/>
              <w:rPr>
                <w:sz w:val="20"/>
                <w:szCs w:val="20"/>
                <w:color w:val="auto"/>
              </w:rPr>
            </w:pPr>
            <w:r>
              <w:rPr>
                <w:rFonts w:ascii="Arial" w:cs="Arial" w:eastAsia="Arial" w:hAnsi="Arial"/>
                <w:sz w:val="18"/>
                <w:szCs w:val="18"/>
                <w:color w:val="auto"/>
              </w:rPr>
              <w:t>September 30, 2012 and December 31, 2011, respectively</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178,602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173,701</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167,651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154,016</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346,410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328,866</w:t>
            </w: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0"/>
              </w:rPr>
              <w:t>Less cost of common stock in treasury, 6,360,302 and 6,353,035 shares on September 30, 2012 and December 31, 2011,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(99,068)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(98,877)</w:t>
            </w:r>
          </w:p>
        </w:tc>
      </w:tr>
      <w:tr>
        <w:trPr>
          <w:trHeight w:val="230"/>
        </w:trPr>
        <w:tc>
          <w:tcPr>
            <w:tcW w:w="20" w:type="dxa"/>
            <w:vAlign w:val="bottom"/>
          </w:tcPr>
          <w:p>
            <w:pPr>
              <w:spacing w:after="0"/>
              <w:rPr>
                <w:sz w:val="20"/>
                <w:szCs w:val="20"/>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247,342</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229,989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367,273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369,488</w:t>
            </w: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124,871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345,307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247,572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254,284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9,534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9,465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18,312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15,032</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Basic</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14,984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14,887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5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814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814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$6,850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$13,635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foreign currency translation adjustment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(2,076)</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7,348</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5,008</w:t>
            </w: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12,640</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$ 13,635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$ 15,032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Depreciation and amortization</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12,948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Provision for doubtful accounts</w:t>
            </w:r>
          </w:p>
        </w:tc>
        <w:tc>
          <w:tcPr>
            <w:tcW w:w="2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Provision for inventory write-downs</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2,148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Deferred income taxes</w:t>
            </w:r>
          </w:p>
        </w:tc>
        <w:tc>
          <w:tcPr>
            <w:tcW w:w="2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2400" w:type="dxa"/>
            <w:vAlign w:val="bottom"/>
            <w:gridSpan w:val="3"/>
          </w:tcPr>
          <w:p>
            <w:pPr>
              <w:jc w:val="right"/>
              <w:ind w:right="140"/>
              <w:spacing w:after="0"/>
              <w:rPr>
                <w:sz w:val="20"/>
                <w:szCs w:val="20"/>
                <w:color w:val="auto"/>
              </w:rPr>
            </w:pPr>
            <w:r>
              <w:rPr>
                <w:rFonts w:ascii="Arial" w:cs="Arial" w:eastAsia="Arial" w:hAnsi="Arial"/>
                <w:sz w:val="18"/>
                <w:szCs w:val="18"/>
                <w:color w:val="auto"/>
              </w:rPr>
              <w:t>(160)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Excess tax benefit from stock-based compensation</w:t>
            </w:r>
          </w:p>
        </w:tc>
        <w:tc>
          <w:tcPr>
            <w:tcW w:w="2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Shares issued for employee benefit plan</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620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Stock-based compensation</w:t>
            </w:r>
          </w:p>
        </w:tc>
        <w:tc>
          <w:tcPr>
            <w:tcW w:w="2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3,447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Accounts receivable</w:t>
            </w:r>
          </w:p>
        </w:tc>
        <w:tc>
          <w:tcPr>
            <w:tcW w:w="2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(10,876)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Inventories</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15,758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Prepaid expenses and other assets</w:t>
            </w:r>
          </w:p>
        </w:tc>
        <w:tc>
          <w:tcPr>
            <w:tcW w:w="2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Accounts payable and accrued expenses</w:t>
            </w:r>
          </w:p>
        </w:tc>
        <w:tc>
          <w:tcPr>
            <w:tcW w:w="2400" w:type="dxa"/>
            <w:vAlign w:val="bottom"/>
            <w:gridSpan w:val="3"/>
          </w:tcPr>
          <w:p>
            <w:pPr>
              <w:jc w:val="right"/>
              <w:ind w:right="140"/>
              <w:spacing w:after="0"/>
              <w:rPr>
                <w:sz w:val="20"/>
                <w:szCs w:val="20"/>
                <w:color w:val="auto"/>
              </w:rPr>
            </w:pPr>
            <w:r>
              <w:rPr>
                <w:rFonts w:ascii="Arial" w:cs="Arial" w:eastAsia="Arial" w:hAnsi="Arial"/>
                <w:sz w:val="18"/>
                <w:szCs w:val="18"/>
                <w:color w:val="auto"/>
              </w:rPr>
              <w:t>(8,335)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Accrued income taxes</w:t>
            </w: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214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1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Acquisition of property, plant, and equipment</w:t>
            </w:r>
          </w:p>
        </w:tc>
        <w:tc>
          <w:tcPr>
            <w:tcW w:w="2400" w:type="dxa"/>
            <w:vAlign w:val="bottom"/>
            <w:gridSpan w:val="3"/>
          </w:tcPr>
          <w:p>
            <w:pPr>
              <w:jc w:val="right"/>
              <w:ind w:right="140"/>
              <w:spacing w:after="0"/>
              <w:rPr>
                <w:sz w:val="20"/>
                <w:szCs w:val="20"/>
                <w:color w:val="auto"/>
              </w:rPr>
            </w:pPr>
            <w:r>
              <w:rPr>
                <w:rFonts w:ascii="Arial" w:cs="Arial" w:eastAsia="Arial" w:hAnsi="Arial"/>
                <w:sz w:val="18"/>
                <w:szCs w:val="18"/>
                <w:color w:val="auto"/>
              </w:rPr>
              <w:t>(6,525)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Acquisition of intangible assets</w:t>
            </w: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2140"/>
              <w:spacing w:after="0"/>
              <w:rPr>
                <w:sz w:val="20"/>
                <w:szCs w:val="20"/>
                <w:color w:val="auto"/>
              </w:rPr>
            </w:pPr>
            <w:r>
              <w:rPr>
                <w:rFonts w:ascii="Arial" w:cs="Arial" w:eastAsia="Arial" w:hAnsi="Arial"/>
                <w:sz w:val="18"/>
                <w:szCs w:val="18"/>
                <w:color w:val="auto"/>
              </w:rPr>
              <w:t>Net cash used for investing activities</w:t>
            </w:r>
          </w:p>
        </w:tc>
        <w:tc>
          <w:tcPr>
            <w:tcW w:w="1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(7,327)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15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Issuance of debt</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debt</w:t>
            </w:r>
          </w:p>
        </w:tc>
        <w:tc>
          <w:tcPr>
            <w:tcW w:w="2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(21,600)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Proceeds from stock options exercised</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1,425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stock purchased</w:t>
            </w:r>
          </w:p>
        </w:tc>
        <w:tc>
          <w:tcPr>
            <w:tcW w:w="2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Net cash used for financing activities</w:t>
            </w: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(24,309)</w:t>
            </w: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5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11,844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$ 41,216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 xml:space="preserve">Supplemental Cash Flow Information — </w:t>
      </w:r>
      <w:r>
        <w:rPr>
          <w:rFonts w:ascii="Arial" w:cs="Arial" w:eastAsia="Arial" w:hAnsi="Arial"/>
          <w:sz w:val="16"/>
          <w:szCs w:val="16"/>
          <w:i w:val="1"/>
          <w:iCs w:val="1"/>
          <w:color w:val="auto"/>
        </w:rPr>
        <w:t>We had income tax payments of $6.5 million and $6.9 million during the nine months ended September 30, 2012</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2011, respectively. We had interest payments of $0.2 million and $0.3 million during the nine months ended September 30, 2012 </w:t>
      </w:r>
      <w:r>
        <w:rPr>
          <w:rFonts w:ascii="Arial" w:cs="Arial" w:eastAsia="Arial" w:hAnsi="Arial"/>
          <w:sz w:val="16"/>
          <w:szCs w:val="16"/>
          <w:color w:val="auto"/>
        </w:rPr>
        <w:t>and</w:t>
      </w:r>
      <w:r>
        <w:rPr>
          <w:rFonts w:ascii="Arial" w:cs="Arial" w:eastAsia="Arial" w:hAnsi="Arial"/>
          <w:sz w:val="16"/>
          <w:szCs w:val="16"/>
          <w:i w:val="1"/>
          <w:iCs w:val="1"/>
          <w:color w:val="auto"/>
        </w:rPr>
        <w:t xml:space="preserve"> 2011,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results of operations for the three and nine months ended September 30, 2012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allowances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2011 for a summary of our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May 2011, the FASB issued ASU No. 2011-04, “Amendments to Achieve Common Fair Value Measurement and Disclosure Requirements in U.S. GAAP and International Financial Reporting Standards (“IFRS”).” This 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This pronouncement is effective for reporting periods beginning on or after December 15, 2011. We adopted this ASU beginning January 1, 2012.</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June 2011, the FASB issued ASU No. 2011-05 which requires an entity to present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We adopted this ASU beginning January 1, 2012.</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September 2011, the FASB issued ASU 2011-08, “Testing Goodwill for Impairment.” The amendments in ASU 2011-08 are intended to reduce the cost and complexity associated with goodwill impairment tests required under the Accounting Standard Codification Topic 350 Intangibles – Goodwill and Other. The update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percent. The amendments in this update are effective for annual and interim goodwill impairment tests performed for fiscal years beginning after December 15, 2011. This guidance became effective January 1, 2012 and will be considered during the 2012 goodwill impairment testing. We do not expect it to have an impact on our consolidated financial position or results of operations.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December 2011, the FASB issued ASU 2011-11, “Disclosures about Offsetting Assets and Liabilities.” The amendments in ASU 2011-11 require an entity to disclose information about offsetting and related arrangements to enable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users of its financial statements to understand the effect of those arrangements on its financial position. This pronouncement is effective for fiscal years, and interim periods within those years, beginning on or after January 1, 2013 with retrospective application required. The adoption of ASU 2011-11 will result in changes to our presentation and disclosure only and will not have an impact on our consolidated results of operations and financial condition.</w:t>
      </w:r>
    </w:p>
    <w:p>
      <w:pPr>
        <w:spacing w:after="0" w:line="10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July 2012, the FASB issued ASU 2012-02, “Testing Indefinite-Lived Intangible Assets for Impairment.” The new accounting guidance is intended to simplify impairment testing for indefinite-lived intangible assets. Entities will now be allowed to perform a qualitative assessment on indefinite-lived intangible asset impairment to determine whether a quantitative assessment is necessary. This guidance is effective for annual and interim indefinite-lived intangible asset impairment tests performed for fiscal years beginning after September 15, 2012. Early adoption is permitted. We do not expect it to have an impact on our consolidated financial position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equivalents that were accounted for at fair value on a recurring basis on September 30, 2012 and December 31, 2011 were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September 30, 2012</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December 31, 2011</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250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Fair Value Measurement Using</w:t>
            </w: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w w:val="96"/>
              </w:rPr>
              <w:t>Fair Value Measurement Using</w:t>
            </w:r>
          </w:p>
        </w:tc>
        <w:tc>
          <w:tcPr>
            <w:tcW w:w="30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88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(Level 1)</w:t>
            </w: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(Level 2)</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(Level 3)</w:t>
            </w:r>
          </w:p>
        </w:tc>
        <w:tc>
          <w:tcPr>
            <w:tcW w:w="280" w:type="dxa"/>
            <w:vAlign w:val="bottom"/>
          </w:tcPr>
          <w:p>
            <w:pPr>
              <w:spacing w:after="0"/>
              <w:rPr>
                <w:sz w:val="12"/>
                <w:szCs w:val="12"/>
                <w:color w:val="auto"/>
              </w:rPr>
            </w:pPr>
          </w:p>
        </w:tc>
        <w:tc>
          <w:tcPr>
            <w:tcW w:w="7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2"/>
                <w:szCs w:val="12"/>
                <w:color w:val="auto"/>
              </w:rPr>
            </w:pPr>
          </w:p>
        </w:tc>
        <w:tc>
          <w:tcPr>
            <w:tcW w:w="88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(Level 1)</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12"/>
                <w:szCs w:val="12"/>
                <w:color w:val="auto"/>
              </w:rPr>
            </w:pPr>
          </w:p>
        </w:tc>
        <w:tc>
          <w:tcPr>
            <w:tcW w:w="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$41,216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$41,216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$29,372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$29,372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September 30, 2012, we had approximately $7.7 million, $5.8 million, $21.9 million, $0.6 million and $5.2 million of cash and cash equivalents in the United States, Europe, Asia, Cayman Islands, and South America, respectively.</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December 31, 2011, we had approximately $4.1 million, $7.6 million, $16.5 million, $0.1 million, and $1.1 million of cash and cash equivalents in the United States, Europe, Asia, Cayman Islands and South America,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Cash and Cash Equivalents</w:t>
      </w:r>
      <w:r>
        <w:rPr>
          <w:rFonts w:ascii="Arial" w:cs="Arial" w:eastAsia="Arial" w:hAnsi="Arial"/>
          <w:sz w:val="16"/>
          <w:szCs w:val="16"/>
          <w:color w:val="auto"/>
        </w:rPr>
        <w:t xml:space="preserve"> in our Annual Report on Form 10-K for further information regarding our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September 30, 2012 and December 31,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receivables, gross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82,305</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r>
      <w:tr>
        <w:trPr>
          <w:trHeight w:val="221"/>
        </w:trPr>
        <w:tc>
          <w:tcPr>
            <w:tcW w:w="6180" w:type="dxa"/>
            <w:vAlign w:val="bottom"/>
          </w:tcPr>
          <w:p>
            <w:pPr>
              <w:ind w:left="440"/>
              <w:spacing w:after="0"/>
              <w:rPr>
                <w:sz w:val="20"/>
                <w:szCs w:val="20"/>
                <w:color w:val="auto"/>
              </w:rPr>
            </w:pPr>
            <w:r>
              <w:rPr>
                <w:rFonts w:ascii="Arial" w:cs="Arial" w:eastAsia="Arial" w:hAnsi="Arial"/>
                <w:sz w:val="18"/>
                <w:szCs w:val="18"/>
                <w:color w:val="auto"/>
              </w:rPr>
              <w:t>Trade receivables, net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88,513</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80,303</w:t>
            </w:r>
          </w:p>
        </w:tc>
        <w:tc>
          <w:tcPr>
            <w:tcW w:w="120" w:type="dxa"/>
            <w:vAlign w:val="bottom"/>
          </w:tcPr>
          <w:p>
            <w:pPr>
              <w:spacing w:after="0"/>
              <w:rPr>
                <w:sz w:val="19"/>
                <w:szCs w:val="19"/>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8"/>
                <w:szCs w:val="18"/>
                <w:color w:val="auto"/>
              </w:rPr>
            </w:pP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92,392</w:t>
            </w:r>
          </w:p>
        </w:tc>
        <w:tc>
          <w:tcPr>
            <w:tcW w:w="400" w:type="dxa"/>
            <w:vAlign w:val="bottom"/>
          </w:tcPr>
          <w:p>
            <w:pPr>
              <w:spacing w:after="0"/>
              <w:rPr>
                <w:sz w:val="19"/>
                <w:szCs w:val="19"/>
                <w:color w:val="auto"/>
              </w:rPr>
            </w:pPr>
          </w:p>
        </w:tc>
        <w:tc>
          <w:tcPr>
            <w:tcW w:w="5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82,184</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three months ended September 30, 2012 and 2011 were the following: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557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Valuation account for trade receivables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Three months ended September 30, 2012</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Three months ended September 30, 2011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53"/>
        </w:trPr>
        <w:tc>
          <w:tcPr>
            <w:tcW w:w="7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w w:val="94"/>
              </w:rPr>
              <w:t>Balance at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Additions</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w w:val="82"/>
              </w:rPr>
              <w:t>Balance at</w:t>
            </w:r>
          </w:p>
        </w:tc>
      </w:tr>
      <w:tr>
        <w:trPr>
          <w:trHeight w:val="149"/>
        </w:trPr>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66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Costs and</w:t>
            </w:r>
          </w:p>
        </w:tc>
        <w:tc>
          <w:tcPr>
            <w:tcW w:w="32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2"/>
                <w:szCs w:val="12"/>
                <w:color w:val="auto"/>
              </w:rPr>
            </w:pPr>
          </w:p>
        </w:tc>
        <w:tc>
          <w:tcPr>
            <w:tcW w:w="5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Period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Expenses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FX Effects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1,105</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-409575</wp:posOffset>
            </wp:positionV>
            <wp:extent cx="666369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-135255</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960" w:space="720"/>
            <w:col w:w="574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nine months ended September 30, 2012 and 2011 were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Additions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34"/>
        </w:trPr>
        <w:tc>
          <w:tcPr>
            <w:tcW w:w="458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Beginning of</w:t>
            </w:r>
          </w:p>
        </w:tc>
        <w:tc>
          <w:tcPr>
            <w:tcW w:w="30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to Costs and</w:t>
            </w:r>
          </w:p>
        </w:tc>
        <w:tc>
          <w:tcPr>
            <w:tcW w:w="30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Period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79"/>
              </w:rPr>
              <w:t>Expenses</w:t>
            </w:r>
          </w:p>
        </w:tc>
        <w:tc>
          <w:tcPr>
            <w:tcW w:w="300" w:type="dxa"/>
            <w:vAlign w:val="bottom"/>
          </w:tcPr>
          <w:p>
            <w:pPr>
              <w:spacing w:after="0"/>
              <w:rPr>
                <w:sz w:val="12"/>
                <w:szCs w:val="12"/>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FX Effects</w:t>
            </w:r>
          </w:p>
        </w:tc>
        <w:tc>
          <w:tcPr>
            <w:tcW w:w="100" w:type="dxa"/>
            <w:vAlign w:val="bottom"/>
          </w:tcPr>
          <w:p>
            <w:pPr>
              <w:spacing w:after="0"/>
              <w:rPr>
                <w:sz w:val="12"/>
                <w:szCs w:val="12"/>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Valuation account for trade receivables</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Nine months ended September 30, 2012</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1,021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72</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Nine months ended September 30, 2011</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allowance for sales returns balance at September 30, 2012 and December 31, 2011 contained reserves for items returned prior to year-end, but were not completely processed, and therefore had not yet been removed from the allowance for sales returns balance. If these returns had been fully processed, the allowance for sales returns balance would have been approximately $0.4 million and $0.7 million on September 30, 2012 and December 31, 2011, respectively. The value of these returned goods was included in our inventory balance at September 30, 2012 and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three and nine months ended September 30, 2012 and 2011, we had net sales to the following significant customers that totaled more than 10% of our net sales: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8"/>
              </w:rPr>
              <w:t>Three Months Ended September 30,</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2"/>
              </w:rPr>
              <w:t>(thousands)</w:t>
            </w:r>
          </w:p>
        </w:tc>
        <w:tc>
          <w:tcPr>
            <w:tcW w:w="580" w:type="dxa"/>
            <w:vAlign w:val="bottom"/>
          </w:tcPr>
          <w:p>
            <w:pPr>
              <w:spacing w:after="0"/>
              <w:rPr>
                <w:sz w:val="12"/>
                <w:szCs w:val="12"/>
                <w:color w:val="auto"/>
              </w:rPr>
            </w:pPr>
          </w:p>
        </w:tc>
        <w:tc>
          <w:tcPr>
            <w:tcW w:w="8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580" w:type="dxa"/>
            <w:vAlign w:val="bottom"/>
          </w:tcPr>
          <w:p>
            <w:pPr>
              <w:spacing w:after="0"/>
              <w:rPr>
                <w:sz w:val="12"/>
                <w:szCs w:val="12"/>
                <w:color w:val="auto"/>
              </w:rPr>
            </w:pPr>
          </w:p>
        </w:tc>
        <w:tc>
          <w:tcPr>
            <w:tcW w:w="8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DIRECTV</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65"/>
        </w:trPr>
        <w:tc>
          <w:tcPr>
            <w:tcW w:w="4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5"/>
              </w:rPr>
              <w:t>Nine months Ended September 30,</w:t>
            </w: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2"/>
              </w:rPr>
              <w:t>(thousands)</w:t>
            </w:r>
          </w:p>
        </w:tc>
        <w:tc>
          <w:tcPr>
            <w:tcW w:w="580" w:type="dxa"/>
            <w:vAlign w:val="bottom"/>
          </w:tcPr>
          <w:p>
            <w:pPr>
              <w:spacing w:after="0"/>
              <w:rPr>
                <w:sz w:val="12"/>
                <w:szCs w:val="12"/>
                <w:color w:val="auto"/>
              </w:rPr>
            </w:pPr>
          </w:p>
        </w:tc>
        <w:tc>
          <w:tcPr>
            <w:tcW w:w="8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580" w:type="dxa"/>
            <w:vAlign w:val="bottom"/>
          </w:tcPr>
          <w:p>
            <w:pPr>
              <w:spacing w:after="0"/>
              <w:rPr>
                <w:sz w:val="12"/>
                <w:szCs w:val="12"/>
                <w:color w:val="auto"/>
              </w:rPr>
            </w:pPr>
          </w:p>
        </w:tc>
        <w:tc>
          <w:tcPr>
            <w:tcW w:w="8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DIRECTV</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59,117</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w:t>
            </w: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Sony</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38,456</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with these customers were the following on September 30, 2012 and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4"/>
                <w:szCs w:val="14"/>
                <w:color w:val="auto"/>
              </w:rPr>
            </w:pPr>
          </w:p>
        </w:tc>
        <w:tc>
          <w:tcPr>
            <w:tcW w:w="24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8"/>
              </w:rPr>
              <w:t>% of Accounts</w:t>
            </w:r>
          </w:p>
        </w:tc>
        <w:tc>
          <w:tcPr>
            <w:tcW w:w="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2"/>
              </w:rPr>
              <w:t>(thousands)</w:t>
            </w: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Receivable, Net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2"/>
              </w:rPr>
              <w:t>(thousands)</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Receivable, Net</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DIRECTV</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62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6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Sony</w:t>
            </w:r>
          </w:p>
        </w:tc>
        <w:tc>
          <w:tcPr>
            <w:tcW w:w="10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7,064</w:t>
            </w:r>
          </w:p>
        </w:tc>
        <w:tc>
          <w:tcPr>
            <w:tcW w:w="6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September 30, 2012 and December 31,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Components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15,702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40,238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72,115</w:t>
            </w:r>
          </w:p>
        </w:tc>
        <w:tc>
          <w:tcPr>
            <w:tcW w:w="420" w:type="dxa"/>
            <w:vAlign w:val="bottom"/>
          </w:tcPr>
          <w:p>
            <w:pPr>
              <w:spacing w:after="0"/>
              <w:rPr>
                <w:sz w:val="19"/>
                <w:szCs w:val="19"/>
                <w:color w:val="auto"/>
              </w:rPr>
            </w:pPr>
          </w:p>
        </w:tc>
        <w:tc>
          <w:tcPr>
            <w:tcW w:w="5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reserve for excess and obsolete inventory during the three months ended September 30, 2012 and 2011 were composed of the following:</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440" w:right="2060" w:hanging="431"/>
        <w:spacing w:after="0" w:line="335" w:lineRule="auto"/>
        <w:rPr>
          <w:sz w:val="20"/>
          <w:szCs w:val="20"/>
          <w:color w:val="auto"/>
        </w:rPr>
      </w:pPr>
      <w:r>
        <w:rPr>
          <w:rFonts w:ascii="Arial" w:cs="Arial" w:eastAsia="Arial" w:hAnsi="Arial"/>
          <w:sz w:val="15"/>
          <w:szCs w:val="15"/>
          <w:color w:val="auto"/>
        </w:rPr>
        <w:t>Reserve for excess and obsolete inventory: Three Months Ended September 30, 2012 Three Months Ended September 30, 2011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34"/>
        </w:trPr>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Beginning of</w:t>
            </w:r>
          </w:p>
        </w:tc>
        <w:tc>
          <w:tcPr>
            <w:tcW w:w="2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Costs and</w:t>
            </w:r>
          </w:p>
        </w:tc>
        <w:tc>
          <w:tcPr>
            <w:tcW w:w="160" w:type="dxa"/>
            <w:vAlign w:val="bottom"/>
          </w:tcPr>
          <w:p>
            <w:pPr>
              <w:spacing w:after="0"/>
              <w:rPr>
                <w:sz w:val="11"/>
                <w:szCs w:val="11"/>
                <w:color w:val="auto"/>
              </w:rPr>
            </w:pPr>
          </w:p>
        </w:tc>
        <w:tc>
          <w:tcPr>
            <w:tcW w:w="7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Sell</w:t>
            </w:r>
          </w:p>
        </w:tc>
        <w:tc>
          <w:tcPr>
            <w:tcW w:w="22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87"/>
              </w:rPr>
              <w:t>End of</w:t>
            </w:r>
          </w:p>
        </w:tc>
      </w:tr>
      <w:tr>
        <w:trPr>
          <w:trHeight w:val="176"/>
        </w:trPr>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85"/>
              </w:rPr>
              <w:t>Expenses</w:t>
            </w:r>
            <w:r>
              <w:rPr>
                <w:rFonts w:ascii="Arial" w:cs="Arial" w:eastAsia="Arial" w:hAnsi="Arial"/>
                <w:sz w:val="20"/>
                <w:szCs w:val="20"/>
                <w:b w:val="1"/>
                <w:bCs w:val="1"/>
                <w:color w:val="auto"/>
                <w:w w:val="85"/>
                <w:vertAlign w:val="superscript"/>
              </w:rPr>
              <w:t>(1)</w:t>
            </w:r>
          </w:p>
        </w:tc>
        <w:tc>
          <w:tcPr>
            <w:tcW w:w="440" w:type="dxa"/>
            <w:vAlign w:val="bottom"/>
          </w:tcPr>
          <w:p>
            <w:pPr>
              <w:spacing w:after="0"/>
              <w:rPr>
                <w:sz w:val="15"/>
                <w:szCs w:val="15"/>
                <w:color w:val="auto"/>
              </w:rPr>
            </w:pPr>
          </w:p>
        </w:tc>
        <w:tc>
          <w:tcPr>
            <w:tcW w:w="660" w:type="dxa"/>
            <w:vAlign w:val="bottom"/>
            <w:tcBorders>
              <w:bottom w:val="single" w:sz="8" w:color="auto"/>
            </w:tcBorders>
            <w:gridSpan w:val="2"/>
          </w:tcPr>
          <w:p>
            <w:pPr>
              <w:ind w:left="20"/>
              <w:spacing w:after="0" w:line="176" w:lineRule="exact"/>
              <w:rPr>
                <w:sz w:val="20"/>
                <w:szCs w:val="20"/>
                <w:color w:val="auto"/>
              </w:rPr>
            </w:pPr>
            <w:r>
              <w:rPr>
                <w:rFonts w:ascii="Arial" w:cs="Arial" w:eastAsia="Arial" w:hAnsi="Arial"/>
                <w:sz w:val="13"/>
                <w:szCs w:val="13"/>
                <w:b w:val="1"/>
                <w:bCs w:val="1"/>
                <w:color w:val="auto"/>
                <w:w w:val="89"/>
              </w:rPr>
              <w:t>Through</w:t>
            </w:r>
            <w:r>
              <w:rPr>
                <w:rFonts w:ascii="Arial" w:cs="Arial" w:eastAsia="Arial" w:hAnsi="Arial"/>
                <w:sz w:val="20"/>
                <w:szCs w:val="20"/>
                <w:b w:val="1"/>
                <w:bCs w:val="1"/>
                <w:color w:val="auto"/>
                <w:w w:val="89"/>
                <w:vertAlign w:val="superscript"/>
              </w:rPr>
              <w:t>(2)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FX Effects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404"/>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3,037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2,307</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2,525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-409575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-135255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5440" w:space="720"/>
            <w:col w:w="5160"/>
          </w:cols>
          <w:pgMar w:left="240" w:top="459" w:right="339" w:bottom="1440" w:gutter="0" w:footer="0" w:header="0"/>
          <w:type w:val="continuous"/>
        </w:sectPr>
      </w:pPr>
    </w:p>
    <w:p>
      <w:pPr>
        <w:spacing w:after="0"/>
        <w:rPr>
          <w:sz w:val="20"/>
          <w:szCs w:val="20"/>
          <w:color w:val="auto"/>
        </w:rPr>
      </w:pPr>
      <w:r>
        <w:rPr>
          <w:rFonts w:ascii="Arial" w:cs="Arial" w:eastAsia="Arial" w:hAnsi="Arial"/>
          <w:sz w:val="15"/>
          <w:szCs w:val="15"/>
          <w:color w:val="auto"/>
        </w:rPr>
        <w:t>Changes in the reserve for excess and obsolete inventory during the nine months ended September 30, 2012 and 2011 were composed of the following:</w:t>
      </w:r>
    </w:p>
    <w:p>
      <w:pPr>
        <w:sectPr>
          <w:pgSz w:w="11900" w:h="16838" w:orient="portrait"/>
          <w:cols w:equalWidth="0" w:num="1">
            <w:col w:w="11320"/>
          </w:cols>
          <w:pgMar w:left="240" w:top="459"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Reserve for excess and obsolete inventory:</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Nine months Ended September 30, 2012</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Nine months Ended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9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34"/>
        </w:trPr>
        <w:tc>
          <w:tcPr>
            <w:tcW w:w="9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Beginning of</w:t>
            </w:r>
          </w:p>
        </w:tc>
        <w:tc>
          <w:tcPr>
            <w:tcW w:w="22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Costs and</w:t>
            </w:r>
          </w:p>
        </w:tc>
        <w:tc>
          <w:tcPr>
            <w:tcW w:w="160" w:type="dxa"/>
            <w:vAlign w:val="bottom"/>
          </w:tcPr>
          <w:p>
            <w:pPr>
              <w:spacing w:after="0"/>
              <w:rPr>
                <w:sz w:val="11"/>
                <w:szCs w:val="11"/>
                <w:color w:val="auto"/>
              </w:rPr>
            </w:pPr>
          </w:p>
        </w:tc>
        <w:tc>
          <w:tcPr>
            <w:tcW w:w="7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Sell</w:t>
            </w:r>
          </w:p>
        </w:tc>
        <w:tc>
          <w:tcPr>
            <w:tcW w:w="22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87"/>
              </w:rPr>
              <w:t>End of</w:t>
            </w:r>
          </w:p>
        </w:tc>
      </w:tr>
      <w:tr>
        <w:trPr>
          <w:trHeight w:val="176"/>
        </w:trPr>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Period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gridSpan w:val="2"/>
          </w:tcPr>
          <w:p>
            <w:pPr>
              <w:ind w:left="20"/>
              <w:spacing w:after="0" w:line="176" w:lineRule="exact"/>
              <w:rPr>
                <w:sz w:val="20"/>
                <w:szCs w:val="20"/>
                <w:color w:val="auto"/>
              </w:rPr>
            </w:pPr>
            <w:r>
              <w:rPr>
                <w:rFonts w:ascii="Arial" w:cs="Arial" w:eastAsia="Arial" w:hAnsi="Arial"/>
                <w:sz w:val="13"/>
                <w:szCs w:val="13"/>
                <w:b w:val="1"/>
                <w:bCs w:val="1"/>
                <w:color w:val="auto"/>
                <w:w w:val="85"/>
              </w:rPr>
              <w:t>Expenses</w:t>
            </w:r>
            <w:r>
              <w:rPr>
                <w:rFonts w:ascii="Arial" w:cs="Arial" w:eastAsia="Arial" w:hAnsi="Arial"/>
                <w:sz w:val="20"/>
                <w:szCs w:val="20"/>
                <w:b w:val="1"/>
                <w:bCs w:val="1"/>
                <w:color w:val="auto"/>
                <w:w w:val="85"/>
                <w:vertAlign w:val="superscript"/>
              </w:rPr>
              <w:t>(1)</w:t>
            </w:r>
          </w:p>
        </w:tc>
        <w:tc>
          <w:tcPr>
            <w:tcW w:w="460" w:type="dxa"/>
            <w:vAlign w:val="bottom"/>
          </w:tcPr>
          <w:p>
            <w:pPr>
              <w:spacing w:after="0"/>
              <w:rPr>
                <w:sz w:val="15"/>
                <w:szCs w:val="15"/>
                <w:color w:val="auto"/>
              </w:rPr>
            </w:pPr>
          </w:p>
        </w:tc>
        <w:tc>
          <w:tcPr>
            <w:tcW w:w="660" w:type="dxa"/>
            <w:vAlign w:val="bottom"/>
            <w:tcBorders>
              <w:bottom w:val="single" w:sz="8" w:color="auto"/>
            </w:tcBorders>
            <w:gridSpan w:val="2"/>
          </w:tcPr>
          <w:p>
            <w:pPr>
              <w:ind w:left="20"/>
              <w:spacing w:after="0" w:line="176" w:lineRule="exact"/>
              <w:rPr>
                <w:sz w:val="20"/>
                <w:szCs w:val="20"/>
                <w:color w:val="auto"/>
              </w:rPr>
            </w:pPr>
            <w:r>
              <w:rPr>
                <w:rFonts w:ascii="Arial" w:cs="Arial" w:eastAsia="Arial" w:hAnsi="Arial"/>
                <w:sz w:val="13"/>
                <w:szCs w:val="13"/>
                <w:b w:val="1"/>
                <w:bCs w:val="1"/>
                <w:color w:val="auto"/>
                <w:w w:val="89"/>
              </w:rPr>
              <w:t>Through</w:t>
            </w:r>
            <w:r>
              <w:rPr>
                <w:rFonts w:ascii="Arial" w:cs="Arial" w:eastAsia="Arial" w:hAnsi="Arial"/>
                <w:sz w:val="20"/>
                <w:szCs w:val="20"/>
                <w:b w:val="1"/>
                <w:bCs w:val="1"/>
                <w:color w:val="auto"/>
                <w:w w:val="89"/>
                <w:vertAlign w:val="superscript"/>
              </w:rPr>
              <w:t>(2)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FX Effects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404"/>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3,447</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1,891</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(1,124)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(1,907)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2,307</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2,135</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2,992</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(896)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(1,254)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-409575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-135255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400" w:space="720"/>
            <w:col w:w="5200"/>
          </w:cols>
          <w:pgMar w:left="240" w:top="459" w:right="339" w:bottom="1440" w:gutter="0" w:footer="0" w:header="0"/>
          <w:type w:val="continuous"/>
        </w:sectPr>
      </w:pPr>
    </w:p>
    <w:p>
      <w:pPr>
        <w:ind w:left="460" w:hanging="452"/>
        <w:spacing w:after="0" w:line="239"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additions charged to costs and expenses does not include inventory directly written-off that was scrapped during production totaling $0.02 million and $0.2 million for the three months ended September 30, 2012 and 2011, respectively, and $0.3 million and $0.6 million for the nine months ended September 30, 2012 and 2011, respectively. These amounts are production waste and are not included in management’s reserve for excess and obsolete inventory.</w:t>
      </w:r>
    </w:p>
    <w:p>
      <w:pPr>
        <w:ind w:left="460" w:right="100" w:hanging="452"/>
        <w:spacing w:after="0" w:line="233"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Inventory write-downs for excess and obsolescence are a normal part of our business and result primarily from product life cycle estimation variances.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purchase integrated circuits, components and finished goods from multiple sources. The total integrated circuit purchases from Samsung were greater than 10% of our total inventory purchases for the three and nine months ended September 30, 2011.</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2011, the amount purchased from this supplier was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2"/>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4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5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89"/>
              </w:rPr>
              <w:t>% of Total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1"/>
                <w:szCs w:val="11"/>
                <w:color w:val="auto"/>
              </w:rPr>
            </w:pPr>
          </w:p>
        </w:tc>
      </w:tr>
      <w:tr>
        <w:trPr>
          <w:trHeight w:val="149"/>
        </w:trPr>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Inventory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Inventory</w:t>
            </w:r>
          </w:p>
        </w:tc>
      </w:tr>
      <w:tr>
        <w:trPr>
          <w:trHeight w:val="161"/>
        </w:trPr>
        <w:tc>
          <w:tcPr>
            <w:tcW w:w="5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 (thousands)</w:t>
            </w:r>
          </w:p>
        </w:tc>
        <w:tc>
          <w:tcPr>
            <w:tcW w:w="6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Purchases</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Purchases</w:t>
            </w:r>
          </w:p>
        </w:tc>
        <w:tc>
          <w:tcPr>
            <w:tcW w:w="200" w:type="dxa"/>
            <w:vAlign w:val="bottom"/>
            <w:tcBorders>
              <w:bottom w:val="single" w:sz="8" w:color="CCEEFF"/>
            </w:tcBorders>
          </w:tcPr>
          <w:p>
            <w:pPr>
              <w:spacing w:after="0"/>
              <w:rPr>
                <w:sz w:val="14"/>
                <w:szCs w:val="14"/>
                <w:color w:val="auto"/>
              </w:rPr>
            </w:pPr>
          </w:p>
        </w:tc>
      </w:tr>
      <w:tr>
        <w:trPr>
          <w:trHeight w:val="210"/>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Samsung</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2011, the amount purchased from this supplier was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42"/>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5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89"/>
              </w:rPr>
              <w:t>% of Total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Inventory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Inventory</w:t>
            </w:r>
          </w:p>
        </w:tc>
      </w:tr>
      <w:tr>
        <w:trPr>
          <w:trHeight w:val="161"/>
        </w:trPr>
        <w:tc>
          <w:tcPr>
            <w:tcW w:w="54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 (thousands)</w:t>
            </w: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Purchases</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Purchases</w:t>
            </w:r>
          </w:p>
        </w:tc>
        <w:tc>
          <w:tcPr>
            <w:tcW w:w="200" w:type="dxa"/>
            <w:vAlign w:val="bottom"/>
            <w:tcBorders>
              <w:bottom w:val="single" w:sz="8" w:color="CCEEFF"/>
            </w:tcBorders>
          </w:tcPr>
          <w:p>
            <w:pPr>
              <w:spacing w:after="0"/>
              <w:rPr>
                <w:sz w:val="14"/>
                <w:szCs w:val="14"/>
                <w:color w:val="auto"/>
              </w:rPr>
            </w:pPr>
          </w:p>
        </w:tc>
      </w:tr>
      <w:tr>
        <w:trPr>
          <w:trHeight w:val="210"/>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Samsung</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this supplier on December 31, 2011 was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400" w:type="dxa"/>
            <w:vAlign w:val="bottom"/>
            <w:gridSpan w:val="3"/>
          </w:tcPr>
          <w:p>
            <w:pPr>
              <w:ind w:left="640"/>
              <w:spacing w:after="0"/>
              <w:rPr>
                <w:sz w:val="20"/>
                <w:szCs w:val="20"/>
                <w:color w:val="auto"/>
              </w:rPr>
            </w:pPr>
            <w:r>
              <w:rPr>
                <w:rFonts w:ascii="Arial" w:cs="Arial" w:eastAsia="Arial" w:hAnsi="Arial"/>
                <w:sz w:val="14"/>
                <w:szCs w:val="14"/>
                <w:b w:val="1"/>
                <w:bCs w:val="1"/>
                <w:color w:val="auto"/>
              </w:rPr>
              <w:t>September 30, 2012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Payable</w:t>
            </w:r>
          </w:p>
        </w:tc>
        <w:tc>
          <w:tcPr>
            <w:tcW w:w="880" w:type="dxa"/>
            <w:vAlign w:val="bottom"/>
            <w:gridSpan w:val="2"/>
          </w:tcPr>
          <w:p>
            <w:pPr>
              <w:ind w:left="780"/>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(thousands)</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Payable</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Samsung</w:t>
            </w:r>
          </w:p>
        </w:tc>
        <w:tc>
          <w:tcPr>
            <w:tcW w:w="7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7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purchase certain printed circuit board assemblies (“PCBAs”) from a related party vendor. The vendor is considered a related party for financial reporting purposes because the Senior Vice President of Manufacturing of Enson Assets Limited (“Enson”) owns 40% of this vendor. Our purchases from this vendor for the three and nine months ended September 30, 2012 totaled approximately $2.5 million and $6.0 million, or 4.3% and 3.6% of total inventory purchases, respectively. Our purchases from this vendor for the three and nine months ended September 30, 2011 totaled approximately $2.4 million and $6.3 million, or 3.1% and 2.9% of total inventory purchases, respectively. Payable amounts outstanding to this vendor were approximately $1.9 million and $1.9 million on September 30, 2012 and December 31, 2011, respectively. Our payment terms and pricing with this vendor are consistent with the terms offered by other vendors in the ordinary course of business. The accounting policies that we apply to our transactions with our related party are consistent with those applied in transactions with independent third parties. Corporate management routinely monitors purchases from our related party vendor to ensure these purchases remain consistent with our business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Under the accounting guidance, the unit of accounting for goodwill is at a level of reporting referred to as a “reporting unit.” A reporting unit is either (1) an operating segment or (2) one level below an operating segment — referred to as a component. During the fourth quarter 2010, as a result of us flattening our management structure, we merged our international component with our domestic component. We no longer have segment management of the international component and the financial results of our international component are not separate. In addition, these components have similar economic characteristics. As a result of these changes, our domestic and international components have been merged into our single operating segment.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goodwill balance on September 30, 2012 and the changes in the carrying amount of goodwill during the nine months ended September 30, 2012 were the following:</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 xml:space="preserve">Goodwill adjustment </w:t>
            </w:r>
            <w:r>
              <w:rPr>
                <w:rFonts w:ascii="Arial" w:cs="Arial" w:eastAsia="Arial" w:hAnsi="Arial"/>
                <w:sz w:val="11"/>
                <w:szCs w:val="11"/>
                <w:color w:val="auto"/>
              </w:rPr>
              <w:t>(1)</w:t>
            </w:r>
          </w:p>
        </w:tc>
        <w:tc>
          <w:tcPr>
            <w:tcW w:w="2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40" w:hanging="452"/>
        <w:spacing w:after="0" w:line="228"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The adjustment, which relates to international goodwill, was the result of fluctuations in the foreign currency exchange rates used to translate the balances into U.S. dollars.</w:t>
      </w:r>
    </w:p>
    <w:p>
      <w:pPr>
        <w:spacing w:after="0" w:line="15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on September 30, 2012 and December 31, 2011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September 30, 2012</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December 31, 2011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r>
              <w:rPr>
                <w:rFonts w:ascii="Arial" w:cs="Arial" w:eastAsia="Arial" w:hAnsi="Arial"/>
                <w:sz w:val="11"/>
                <w:szCs w:val="11"/>
                <w:color w:val="auto"/>
              </w:rPr>
              <w:t>(1)</w:t>
            </w: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Distribution rights (10 years)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(10 years)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Trademarks and trade names (10 years)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Developed and core technology (5-15 years)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Capitalized software development costs (1-2 years)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 (10-15 years)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21,190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26,367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carrying amount</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42,265</w:t>
            </w:r>
          </w:p>
        </w:tc>
        <w:tc>
          <w:tcPr>
            <w:tcW w:w="2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(11,731)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30,534</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44,079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(11,265)</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This table excludes fully amortized intangible assets of $10.7 million and $8.1 million on September 30, 2012 and December 31, 2011, respectively.</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for the three and nine months ended September 30, 2012 and 2011 is the following:</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20" w:type="dxa"/>
            <w:vAlign w:val="bottom"/>
            <w:vMerge w:val="restart"/>
          </w:tcPr>
          <w:p>
            <w:pPr>
              <w:jc w:val="right"/>
              <w:ind w:right="181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net at September 30, 2012, is the following:</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2012 (remaining 3 months)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2013</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2015</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Thereafter</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30,534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did not record any material impairment charges related to our intangible assets during the nine months ended September 30, 2012. Impairment charges are recorded in selling, general and administrative expenses as a component of amortization expense, except impairment charges related to capitalized software development costs which are recorded in cost of sales. Quoted prices for identical or similar patents, trademarks and trade names are unavailable. The fair value of intangible assets is based upon management’s judgment. Management believes that the net book value represents the fair value of our patents, trademarks and trade names. The fair value adjustments for intangible assets measured at fair value on a nonrecurring basis during the nine months ended September 30, 2012 were composed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Fair Value Measurement Using</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60" w:type="dxa"/>
            <w:vAlign w:val="bottom"/>
          </w:tcPr>
          <w:p>
            <w:pPr>
              <w:spacing w:after="0"/>
              <w:rPr>
                <w:sz w:val="12"/>
                <w:szCs w:val="12"/>
                <w:color w:val="auto"/>
              </w:rPr>
            </w:pPr>
          </w:p>
        </w:tc>
        <w:tc>
          <w:tcPr>
            <w:tcW w:w="17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180" w:type="dxa"/>
            <w:vAlign w:val="bottom"/>
          </w:tcPr>
          <w:p>
            <w:pPr>
              <w:spacing w:after="0"/>
              <w:rPr>
                <w:sz w:val="12"/>
                <w:szCs w:val="12"/>
                <w:color w:val="auto"/>
              </w:rPr>
            </w:pPr>
          </w:p>
        </w:tc>
        <w:tc>
          <w:tcPr>
            <w:tcW w:w="17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Arial" w:cs="Arial" w:eastAsia="Arial" w:hAnsi="Arial"/>
                <w:sz w:val="14"/>
                <w:szCs w:val="14"/>
                <w:b w:val="1"/>
                <w:bCs w:val="1"/>
                <w:color w:val="auto"/>
                <w:w w:val="78"/>
              </w:rPr>
              <w:t>Assets</w:t>
            </w:r>
          </w:p>
        </w:tc>
        <w:tc>
          <w:tcPr>
            <w:tcW w:w="660" w:type="dxa"/>
            <w:vAlign w:val="bottom"/>
          </w:tcPr>
          <w:p>
            <w:pPr>
              <w:spacing w:after="0"/>
              <w:rPr>
                <w:sz w:val="11"/>
                <w:szCs w:val="11"/>
                <w:color w:val="auto"/>
              </w:rPr>
            </w:pPr>
          </w:p>
        </w:tc>
        <w:tc>
          <w:tcPr>
            <w:tcW w:w="1740" w:type="dxa"/>
            <w:vAlign w:val="bottom"/>
            <w:gridSpan w:val="3"/>
          </w:tcPr>
          <w:p>
            <w:pPr>
              <w:jc w:val="center"/>
              <w:ind w:right="660"/>
              <w:spacing w:after="0" w:line="135" w:lineRule="exact"/>
              <w:rPr>
                <w:sz w:val="20"/>
                <w:szCs w:val="20"/>
                <w:color w:val="auto"/>
              </w:rPr>
            </w:pPr>
            <w:r>
              <w:rPr>
                <w:rFonts w:ascii="Arial" w:cs="Arial" w:eastAsia="Arial" w:hAnsi="Arial"/>
                <w:sz w:val="14"/>
                <w:szCs w:val="14"/>
                <w:b w:val="1"/>
                <w:bCs w:val="1"/>
                <w:color w:val="auto"/>
                <w:w w:val="88"/>
              </w:rPr>
              <w:t>Observable Inputs</w:t>
            </w:r>
          </w:p>
        </w:tc>
        <w:tc>
          <w:tcPr>
            <w:tcW w:w="1880" w:type="dxa"/>
            <w:vAlign w:val="bottom"/>
            <w:gridSpan w:val="3"/>
          </w:tcPr>
          <w:p>
            <w:pPr>
              <w:jc w:val="center"/>
              <w:ind w:right="680"/>
              <w:spacing w:after="0" w:line="135" w:lineRule="exact"/>
              <w:rPr>
                <w:sz w:val="20"/>
                <w:szCs w:val="20"/>
                <w:color w:val="auto"/>
              </w:rPr>
            </w:pPr>
            <w:r>
              <w:rPr>
                <w:rFonts w:ascii="Arial" w:cs="Arial" w:eastAsia="Arial" w:hAnsi="Arial"/>
                <w:sz w:val="14"/>
                <w:szCs w:val="14"/>
                <w:b w:val="1"/>
                <w:bCs w:val="1"/>
                <w:color w:val="auto"/>
                <w:w w:val="86"/>
              </w:rPr>
              <w:t>Unobservable Inputs</w:t>
            </w:r>
          </w:p>
        </w:tc>
        <w:tc>
          <w:tcPr>
            <w:tcW w:w="180" w:type="dxa"/>
            <w:vAlign w:val="bottom"/>
          </w:tcPr>
          <w:p>
            <w:pPr>
              <w:spacing w:after="0"/>
              <w:rPr>
                <w:sz w:val="11"/>
                <w:szCs w:val="11"/>
                <w:color w:val="auto"/>
              </w:rPr>
            </w:pPr>
          </w:p>
        </w:tc>
        <w:tc>
          <w:tcPr>
            <w:tcW w:w="760" w:type="dxa"/>
            <w:vAlign w:val="bottom"/>
            <w:gridSpan w:val="2"/>
          </w:tcPr>
          <w:p>
            <w:pPr>
              <w:jc w:val="right"/>
              <w:ind w:right="29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2"/>
                <w:szCs w:val="12"/>
                <w:color w:val="auto"/>
              </w:rPr>
            </w:pPr>
          </w:p>
        </w:tc>
        <w:tc>
          <w:tcPr>
            <w:tcW w:w="1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2"/>
                <w:szCs w:val="12"/>
                <w:color w:val="auto"/>
              </w:rPr>
            </w:pPr>
          </w:p>
        </w:tc>
        <w:tc>
          <w:tcPr>
            <w:tcW w:w="88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87"/>
              </w:rPr>
              <w:t>(Level 1)</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7"/>
              </w:rPr>
              <w:t>(Level 2)</w:t>
            </w:r>
          </w:p>
        </w:tc>
        <w:tc>
          <w:tcPr>
            <w:tcW w:w="180" w:type="dxa"/>
            <w:vAlign w:val="bottom"/>
          </w:tcPr>
          <w:p>
            <w:pPr>
              <w:spacing w:after="0"/>
              <w:rPr>
                <w:sz w:val="12"/>
                <w:szCs w:val="12"/>
                <w:color w:val="auto"/>
              </w:rPr>
            </w:pPr>
          </w:p>
        </w:tc>
        <w:tc>
          <w:tcPr>
            <w:tcW w:w="170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7"/>
              </w:rPr>
              <w:t>(Level 3)</w:t>
            </w: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1"/>
              </w:rPr>
              <w:t>Gains (Losses)</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Patents, trademarks and trade names</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6,034</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6,034</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disposed of 13 patents with an immaterial aggregate carrying amount during the nine months ended September 30, 2012. We disposed of five patents and 11 trademarks with an immaterial aggregate carrying amount during the nine months ended September 30, 2011.</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 xml:space="preserve">See Note 2 under the captions </w:t>
      </w:r>
      <w:r>
        <w:rPr>
          <w:rFonts w:ascii="Arial" w:cs="Arial" w:eastAsia="Arial" w:hAnsi="Arial"/>
          <w:sz w:val="16"/>
          <w:szCs w:val="16"/>
          <w:i w:val="1"/>
          <w:iCs w:val="1"/>
          <w:color w:val="auto"/>
        </w:rPr>
        <w:t>Long-Lived Assets and Intangible Assets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Software Development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Fair-Value Measurements</w:t>
      </w:r>
      <w:r>
        <w:rPr>
          <w:rFonts w:ascii="Arial" w:cs="Arial" w:eastAsia="Arial" w:hAnsi="Arial"/>
          <w:sz w:val="16"/>
          <w:szCs w:val="16"/>
          <w:color w:val="auto"/>
        </w:rPr>
        <w:t xml:space="preserve"> in our Annual Report on Form 10-K for further information regarding our accounting principles and valuation methodology utilized.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Payable and Line of Credit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line of credit on September 30, 2012 and December 31, 2011 were composed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Amount Outstanding</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2080" w:type="dxa"/>
            <w:vAlign w:val="bottom"/>
            <w:gridSpan w:val="3"/>
          </w:tcPr>
          <w:p>
            <w:pPr>
              <w:ind w:left="980"/>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 Bank Term Loan Facility</w:t>
            </w:r>
            <w:r>
              <w:rPr>
                <w:rFonts w:ascii="Arial" w:cs="Arial" w:eastAsia="Arial" w:hAnsi="Arial"/>
                <w:sz w:val="11"/>
                <w:szCs w:val="11"/>
                <w:color w:val="auto"/>
              </w:rPr>
              <w:t>(1)</w:t>
            </w:r>
          </w:p>
        </w:tc>
        <w:tc>
          <w:tcPr>
            <w:tcW w:w="1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9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 xml:space="preserve">U.S. Bank Revolving Credit Line </w:t>
            </w:r>
            <w:r>
              <w:rPr>
                <w:rFonts w:ascii="Arial" w:cs="Arial" w:eastAsia="Arial" w:hAnsi="Arial"/>
                <w:sz w:val="11"/>
                <w:szCs w:val="11"/>
                <w:color w:val="auto"/>
              </w:rPr>
              <w:t>(2)</w:t>
            </w:r>
          </w:p>
        </w:tc>
        <w:tc>
          <w:tcPr>
            <w:tcW w:w="14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8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00" w:hanging="452"/>
        <w:spacing w:after="0" w:line="267" w:lineRule="auto"/>
        <w:tabs>
          <w:tab w:leader="none" w:pos="46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Under the U.S. Bank term loan, we may elect to pay interest based on the bank’s prime rate or LIBOR plus a fixed margin of 1.5%. The applicable LIBOR (1, 3, 6, or 12-month LIBOR) corresponds with the loan period we select. On September 30, 2012, the 1-month LIBOR plus the fixed margin was approximately 1.7% and the bank’s prime rate was 3.25%. If a LIBOR rate loan is prepaid prior to the completion of the loan period, the Company must pay the bank the difference between the interest the bank would have earned had prepayment not occurred and the interest the bank actually earned.</w:t>
      </w:r>
    </w:p>
    <w:p>
      <w:pPr>
        <w:ind w:left="460" w:right="100" w:hanging="452"/>
        <w:spacing w:after="0" w:line="275" w:lineRule="auto"/>
        <w:tabs>
          <w:tab w:leader="none" w:pos="46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Under the U.S. Bank secured revolving credit line, we may elect to pay interest based on the bank’s prime rate or LIBOR plus a fixed margin of 1.8%. The applicable LIBOR (1, 3, 6, or 12-month LIBOR) corresponds with the loan period we select. At September 30, 2012, the 1-month LIBOR plus the fixed margin was approximately 2.0%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Our total interest expense on borrowings during each of the three months ended September 30, 2012 and 2011 was $0.1 million. Our total interest expense on borrowings during each of the nine months ended September 30, 2012 and 2011 was $0.2 million and $0.3 million, respectively.</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October 2, 2012, we entered into an Amended and Restated Credit Agreement (“Amended Credit Agreement”) with U.S. Bank National Association. Under the Amended Credit Agreement, the existing secured revolving credit line (“Credit Line”) was increased from $20.0 million to $55.0 million and the expiration date was extended from November 1, 2012 to November 1, 2014. The Amended Credit Agreement requires that the Credit Line be used to pay off the remaining outstanding balance of the existing term loan with U.S. Bank National Association. The Credit Line may be used for working capital and other general corporate purposes including acquisitions, share repurchases and capital expenditures.</w:t>
      </w:r>
    </w:p>
    <w:p>
      <w:pPr>
        <w:spacing w:after="0" w:line="1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All obligations under the Credit Line are secured by substantially all of our U.S. personal property and tangible and intangible assets as well as 65% of our ownership interest in Enson, our wholly-owned subsidiary which controls our manufacturing factories in the People’s Republic of China (“PRC”).</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Under the Amended Credit Agreement, we may elect to pay interest on the Credit Line based on LIBOR plus an applicable margin (varying from 1.25% to</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1.75%) or base rate (based on the prime rate of U.S. Bank National Association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14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$2.6 million and $2.0 million for the three months ended September 30, 2012 and 2011, respectively. Our effective tax rate was 27.5% and 21.8% during the three months ended September 30, 2012 and 2011, respectively. The increase in our effective tax rate is due to a shift of income from lower tax rate jurisdictions to higher tax rate jurisdictions.</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recorded income tax expense of $4.1 million and $4.3 million for the nine months ended September 30, 2012 and 2011, respectively. Our effective tax rate was 22.9% and 22.2% during the nine months ended September 30, 2012 and 2011, respectively.</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September 30, 2012, we had gross unrecognized tax benefits of approximately $5.0 million, including interest and penalties, of which approximately $4.5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1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$0.1 million on September 30, 2012 and December 31, 2011 are included in our unrecognized tax benefits.</w:t>
      </w:r>
    </w:p>
    <w:p>
      <w:pPr>
        <w:spacing w:after="0" w:line="13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September 30, 2012, the open statutes of limitations in our significant tax jurisdictions are as follows: federal 2008 through 2011, state 2007 through 2011, and non-U.S. 2005 through 2011. On September 30, 2012, our gross unrecognized tax benefits of $5.0 million, which included $0.1 million of interest, are classified as long term because we do not anticipate the payment of cash related to those unrecognized tax benefits within one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further information regarding our accounting principles.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September 30, 2012 and December 31,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September 30, 2012</w:t>
            </w:r>
          </w:p>
        </w:tc>
        <w:tc>
          <w:tcPr>
            <w:tcW w:w="2120" w:type="dxa"/>
            <w:vAlign w:val="bottom"/>
            <w:gridSpan w:val="4"/>
          </w:tcPr>
          <w:p>
            <w:pPr>
              <w:ind w:left="920"/>
              <w:spacing w:after="0"/>
              <w:rPr>
                <w:sz w:val="20"/>
                <w:szCs w:val="20"/>
                <w:color w:val="auto"/>
              </w:rPr>
            </w:pPr>
            <w:r>
              <w:rPr>
                <w:rFonts w:ascii="Arial" w:cs="Arial" w:eastAsia="Arial" w:hAnsi="Arial"/>
                <w:sz w:val="14"/>
                <w:szCs w:val="14"/>
                <w:b w:val="1"/>
                <w:bCs w:val="1"/>
                <w:color w:val="auto"/>
                <w:w w:val="93"/>
              </w:rPr>
              <w:t>December 31, 2011</w:t>
            </w: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19,719</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Accrued salary/wages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5,129</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vacation/holiday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Accrued bonus</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2,918</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Accrued medical insurance claims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compensation</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color w:val="auto"/>
              </w:rPr>
              <w:t>Total accrued compensation</w:t>
            </w:r>
          </w:p>
        </w:tc>
        <w:tc>
          <w:tcPr>
            <w:tcW w:w="380" w:type="dxa"/>
            <w:vAlign w:val="bottom"/>
            <w:gridSpan w:val="2"/>
          </w:tcPr>
          <w:p>
            <w:pPr>
              <w:jc w:val="right"/>
              <w:ind w:right="20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31,343</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29,204</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80" w:hanging="452"/>
        <w:spacing w:after="0" w:line="283" w:lineRule="auto"/>
        <w:tabs>
          <w:tab w:leader="none" w:pos="4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Effective January 1, 2008, the Chinese Labor Contract Law was enacted in the PRC. This law mandated that PRC employers remit the applicable social insurance payments to their local government. Social insurance is composed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2012 and December 31, 2011.</w:t>
      </w:r>
    </w:p>
    <w:p>
      <w:pPr>
        <w:spacing w:after="0" w:line="2" w:lineRule="exact"/>
        <w:rPr>
          <w:rFonts w:ascii="Arial" w:cs="Arial" w:eastAsia="Arial" w:hAnsi="Arial"/>
          <w:sz w:val="19"/>
          <w:szCs w:val="19"/>
          <w:color w:val="auto"/>
          <w:vertAlign w:val="superscript"/>
        </w:rPr>
      </w:pPr>
    </w:p>
    <w:p>
      <w:pPr>
        <w:ind w:left="460" w:hanging="452"/>
        <w:spacing w:after="0" w:line="239"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Accrued bonus contains an accrual for an extra month of salary (“13</w:t>
      </w:r>
      <w:r>
        <w:rPr>
          <w:rFonts w:ascii="Arial" w:cs="Arial" w:eastAsia="Arial" w:hAnsi="Arial"/>
          <w:sz w:val="11"/>
          <w:szCs w:val="11"/>
          <w:color w:val="auto"/>
        </w:rPr>
        <w:t>th</w:t>
      </w:r>
      <w:r>
        <w:rPr>
          <w:rFonts w:ascii="Arial" w:cs="Arial" w:eastAsia="Arial" w:hAnsi="Arial"/>
          <w:sz w:val="18"/>
          <w:szCs w:val="18"/>
          <w:color w:val="auto"/>
        </w:rPr>
        <w:t xml:space="preserve"> month salary”) to be paid to employees in certain geographies where it is the customary business practice. This 13</w:t>
      </w:r>
      <w:r>
        <w:rPr>
          <w:rFonts w:ascii="Arial" w:cs="Arial" w:eastAsia="Arial" w:hAnsi="Arial"/>
          <w:sz w:val="11"/>
          <w:szCs w:val="11"/>
          <w:color w:val="auto"/>
        </w:rPr>
        <w:t>th</w:t>
      </w:r>
      <w:r>
        <w:rPr>
          <w:rFonts w:ascii="Arial" w:cs="Arial" w:eastAsia="Arial" w:hAnsi="Arial"/>
          <w:sz w:val="18"/>
          <w:szCs w:val="18"/>
          <w:color w:val="auto"/>
        </w:rPr>
        <w:t xml:space="preserve"> month salary is paid to these employees if they remain employed with us through December 31 of each year. The total accrued for the 13</w:t>
      </w:r>
      <w:r>
        <w:rPr>
          <w:rFonts w:ascii="Arial" w:cs="Arial" w:eastAsia="Arial" w:hAnsi="Arial"/>
          <w:sz w:val="11"/>
          <w:szCs w:val="11"/>
          <w:color w:val="auto"/>
        </w:rPr>
        <w:t>th</w:t>
      </w:r>
      <w:r>
        <w:rPr>
          <w:rFonts w:ascii="Arial" w:cs="Arial" w:eastAsia="Arial" w:hAnsi="Arial"/>
          <w:sz w:val="18"/>
          <w:szCs w:val="18"/>
          <w:color w:val="auto"/>
        </w:rPr>
        <w:t xml:space="preserve"> month salary is $0.4 million and $0.4 million on September 30, 2012 and December 31, 2011, respectively. The remaining accrued bonus for 2012 is the estimated amount that will be paid to non-executive and executive level employees. Executive management was not paid bonuses related to the year ended December 31, 2011.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September 30,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60" w:type="dxa"/>
            <w:vAlign w:val="bottom"/>
            <w:gridSpan w:val="3"/>
          </w:tcPr>
          <w:p>
            <w:pPr>
              <w:ind w:left="124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 xml:space="preserve">Amount due to CG International Holdings Limited </w:t>
            </w:r>
            <w:r>
              <w:rPr>
                <w:rFonts w:ascii="Arial" w:cs="Arial" w:eastAsia="Arial" w:hAnsi="Arial"/>
                <w:sz w:val="11"/>
                <w:szCs w:val="11"/>
                <w:color w:val="auto"/>
              </w:rPr>
              <w:t>(1)</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Duties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Freight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Professional fees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1"/>
                <w:szCs w:val="11"/>
                <w:color w:val="auto"/>
              </w:rPr>
              <w:t>(3)</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Sales taxes and VAT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1"/>
                <w:szCs w:val="11"/>
                <w:color w:val="auto"/>
              </w:rPr>
              <w:t>(2)</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Third-party commissions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142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60" w:hanging="452"/>
        <w:spacing w:after="0" w:line="23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amount due to CG International Holdings Limited is related to the $5.0 million holdback that was originally recorded as of the acquisition date. See Note 21 to the consolidated financial statements included in our Annual Report on Form 10-K for the year ended December 31, 2011 for further information regarding our acquisition of Enson.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property, plant and equipment accrual balance relates to amounts capitalized within property, plant, and equipment, net.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directors or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liability for product warranty claim costs are presented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Nine months Ended September 30,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Accruals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(Reductions) for</w:t>
            </w: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Settlements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20" w:type="dxa"/>
            <w:vAlign w:val="bottom"/>
          </w:tcPr>
          <w:p>
            <w:pPr>
              <w:spacing w:after="0"/>
              <w:rPr>
                <w:sz w:val="12"/>
                <w:szCs w:val="12"/>
                <w:color w:val="auto"/>
              </w:rPr>
            </w:pP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1"/>
              </w:rPr>
              <w:t>Warranties</w:t>
            </w: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(in Cash or in</w:t>
            </w:r>
          </w:p>
        </w:tc>
        <w:tc>
          <w:tcPr>
            <w:tcW w:w="3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49"/>
        </w:trPr>
        <w:tc>
          <w:tcPr>
            <w:tcW w:w="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7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Issued During</w:t>
            </w: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Kind) During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the Period</w:t>
            </w:r>
          </w:p>
        </w:tc>
        <w:tc>
          <w:tcPr>
            <w:tcW w:w="1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the Period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201"/>
        </w:trPr>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7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440"/>
              <w:spacing w:after="0" w:line="201"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r>
      <w:tr>
        <w:trPr>
          <w:trHeight w:val="222"/>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-281305</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500"/>
            <w:col w:w="5460"/>
          </w:cols>
          <w:pgMar w:left="240" w:top="45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July 15, 2011, we filed a lawsuit against Logitech, Inc., Logitech International S.A. and Logitech Europe S.A. in the United States District Court, Central District of California (Universal Electronics Inc. v. Logitech, Inc., Logitech International S.A. and Logitech Europe S.A., SACV 11-1056-JVS(ANx)) alleging that the Logitech companies were infringing seventeen of our patents related to remote control technology. We alleged that this complaint related to multiple Logitech remote control products and were seeking monetary relief for the infringement, including enhanced damages due to the willfulness of the Logitech companies’ actions, injunctive relief to enjoin the Logitech companies from further infringing, including contributory infringement and/or inducing infringement, and attorney’s fees. In its answer, filed on November 3, 2011, the Logitech companies generally denied all of our allegations of infringement and counterclaimed that we were infringing five of their patents. On November 24, 2011, we answered the Logitech companies’ counterclaims, generally denying all of their allegations of infringement. On September 26, 2012, the Logitech companies and the Company entered into a long-term, confidential Settlement and License Agreement with an effective date of July 1, 2012 (the “Agreement”). During the term of the Agreement, the Logitech companies and the Company dismissed all lawsuits and, among other things, the Logitech companies will pay royalties to the Company to license the technologies covered by our patents in this suit. Additionally, the Logitech companies agreed to pay the Company $2.0 million for past royalties for the period covering July 1, 2010 through June 30, 2012. Due to the historical and ongoing relationship with the Logitech companies, this amount is included in net sales for the three- and nine-month periods ended September 30, 2012.</w:t>
      </w:r>
    </w:p>
    <w:p>
      <w:pPr>
        <w:spacing w:after="0" w:line="340"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denied infringing our patents. This matter is still in the early stages, with discovery just beginning.</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or results of operations. Moreover, we believe that our products do not infringe any third parties’ patents or other intellectual property rights.</w:t>
      </w:r>
    </w:p>
    <w:p>
      <w:pPr>
        <w:spacing w:after="0" w:line="14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On September 30, 2012 and December 31, 2011, the amounts deferred under the plan were immaterial to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subsidiary in India maintains a defined benefit pension plan (“India Plan”) for local employees, which is consistent with local statutes and practices. The pension plan was adequately funded on September 30, 2012 and December 31, 2011 based on its latest actuarial report. The India Plan has an independent external manager that advises us of the appropriate funding contribution requirements to which we comply. At September 30, 2012, approximately 41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September 30, 2012 and December 31, 2011 for the India Plan is not material. During the nine months ended September 30, 2012 and 2011, the net periodic benefit costs were also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the nine months ended September 30, 2012 and 2011, we repurchased 37,267 and 441,071 shares of our common stock at a cost of $0.6 million and $9.5 million, respectively. Repurchased shares are recorded as shares held in treasury at cost. We generally hold these shares for future use as our management and Board of Directors deem appropriate, including compensating our outside directors. During the nine months ended September 30, 2012 and 2011, we issued 30,000 and 22,500 shares, respectively, to outside directors for services performed (see Note 13).</w:t>
      </w:r>
    </w:p>
    <w:p>
      <w:pPr>
        <w:spacing w:after="0" w:line="11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On February 11, 2010, our Board of Directors authorized management to repurchase up to 1,000,000 shares of our issued and outstanding common stock. As of September 30, 2012, we have repurchased 967,357 shares of our common stock under this authorization, leaving 32,643 shares available for repurchase.</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On October 26, 2011, our Board of Directors authorized management to repurchase an additional 1,000,000 shares of our issued and outstanding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we have not repurchased any shares under the Board authorization approved on October 26,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and Foreign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net sales to external customers by geographic area for the three and nine months ended September 30, 2012 and 2011 were the following:</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$ 48, 985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37,246</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$123,239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People’s Republic of China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21,300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30,290</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56,060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Argentina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Australia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Brazil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10,800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4,665</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8,777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France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Germany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1,635</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5,451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Israel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3,940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Italy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Japan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29,288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Korea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1,296</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8,423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Malaysia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3 ,157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9,588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Netherlands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Portugal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Singapore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1,027</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10,913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South Africa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3,091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Spain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2,735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Taiwan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8,248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Thailand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2,213</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14,179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United Kingdom</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18,843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88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86,281</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222,068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net sales</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124,871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123,527</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345,307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350,985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Specific identification of the customer billing location was the basis used for attributing revenues from external customers to individual countries.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is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760" w:type="dxa"/>
            <w:vAlign w:val="bottom"/>
            <w:gridSpan w:val="3"/>
          </w:tcPr>
          <w:p>
            <w:pPr>
              <w:ind w:left="294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Long-lived tangible assets:</w:t>
            </w:r>
          </w:p>
        </w:tc>
        <w:tc>
          <w:tcPr>
            <w:tcW w:w="2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312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4,011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People’s Republic of China</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All other countries</w:t>
            </w: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40" w:type="dxa"/>
            <w:vAlign w:val="bottom"/>
            <w:vMerge w:val="restart"/>
          </w:tcPr>
          <w:p>
            <w:pPr>
              <w:jc w:val="right"/>
              <w:ind w:right="1737"/>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three and nine months ended September 30, 2012 and 2011 is the following:</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8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Stock-based compensation expense before income taxes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1,195</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Selling, general and administrative expense includes pre-tax stock-based compensation related to stock option awards granted to outside directors of $0.01 million and $0 during the three months ended September 30, 2012 and 2011, respectively. During the nine months ended September 30, 2012 and 2011, pre-tax stock-based compensation related to options granted to directors was $0.04 million and $0.1 million, respectively.</w:t>
      </w:r>
    </w:p>
    <w:p>
      <w:pPr>
        <w:spacing w:after="0" w:line="10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Selling, general and administrative expense also includes stock-based compensation related to restricted stock awards granted to outside directors of $0.1 million and $0.2 million during the three months ended September 30, 2012 and 2011, respectively. During the nine months ended September 30, 2012 and 2011, stock-based compensation related to restricted stock awards granted to outside directors was $0.5 million and $0.4 million, respectively.</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income tax benefit from the recognition of stock-based compensation during the three months ended September 30, 2012 and 2011 was $0.3 million and $0.4 million, respectively. The income tax benefit from the recognition of stock-based compensation during the nine months ended September 30, 2012 and 2011 was $1.1 million and $1.1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During the nine months ended September 30, 2012, the Compensation Committee and Board of Directors granted 153,200 stock options to employees with an aggregate grant date fair value of $1.5 million under various stock incentive plans. The stock options granted consisted of the following:</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5"/>
                <w:szCs w:val="15"/>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4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Date</w:t>
            </w:r>
          </w:p>
        </w:tc>
        <w:tc>
          <w:tcPr>
            <w:tcW w:w="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20" w:type="dxa"/>
            <w:vAlign w:val="bottom"/>
            <w:gridSpan w:val="2"/>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Underlying</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w w:val="93"/>
              </w:rPr>
              <w:t>Fair</w:t>
            </w:r>
          </w:p>
        </w:tc>
        <w:tc>
          <w:tcPr>
            <w:tcW w:w="4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
              <w:spacing w:after="0" w:line="129" w:lineRule="exact"/>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2"/>
                <w:szCs w:val="12"/>
                <w:color w:val="auto"/>
              </w:rPr>
            </w:pPr>
          </w:p>
        </w:tc>
        <w:tc>
          <w:tcPr>
            <w:tcW w:w="3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Vesting 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February 8, 2012</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148,200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1,430</w:t>
            </w:r>
          </w:p>
        </w:tc>
        <w:tc>
          <w:tcPr>
            <w:tcW w:w="420" w:type="dxa"/>
            <w:vAlign w:val="bottom"/>
            <w:shd w:val="clear" w:color="auto" w:fill="CCEEFF"/>
          </w:tcPr>
          <w:p>
            <w:pPr>
              <w:spacing w:after="0"/>
              <w:rPr>
                <w:sz w:val="17"/>
                <w:szCs w:val="17"/>
                <w:color w:val="auto"/>
              </w:rPr>
            </w:pPr>
          </w:p>
        </w:tc>
        <w:tc>
          <w:tcPr>
            <w:tcW w:w="3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3-Year Vesting Period (8.33% each quarter)</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August 6, 2012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87"/>
              </w:rPr>
              <w:t>4-Year Vesting Period (25% each year)</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153,200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1,466</w:t>
            </w:r>
          </w:p>
        </w:tc>
        <w:tc>
          <w:tcPr>
            <w:tcW w:w="4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nine months ended September 30, 2012, we recognized $0.3 million of pre-tax stock-based compensation expense related to our 2012 stock option grants.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we utilized in the Black-Scholes option pricing model and the resulting weighted average fair values of stock option grants were the following:</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52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520" w:type="dxa"/>
            <w:vAlign w:val="bottom"/>
          </w:tcPr>
          <w:p>
            <w:pPr>
              <w:spacing w:after="0"/>
              <w:rPr>
                <w:sz w:val="14"/>
                <w:szCs w:val="14"/>
                <w:color w:val="auto"/>
              </w:rPr>
            </w:pPr>
          </w:p>
        </w:tc>
        <w:tc>
          <w:tcPr>
            <w:tcW w:w="12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5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1"/>
                <w:szCs w:val="11"/>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7.17</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$ 9.57</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$13.74</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18"/>
                <w:szCs w:val="18"/>
                <w:color w:val="auto"/>
              </w:rPr>
            </w:pPr>
          </w:p>
        </w:tc>
        <w:tc>
          <w:tcPr>
            <w:tcW w:w="3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0.86%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54.44%</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55.22%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52.25%</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5.34</w:t>
            </w:r>
          </w:p>
        </w:tc>
        <w:tc>
          <w:tcPr>
            <w:tcW w:w="40" w:type="dxa"/>
            <w:vAlign w:val="bottom"/>
          </w:tcPr>
          <w:p>
            <w:pPr>
              <w:spacing w:after="0"/>
              <w:rPr>
                <w:sz w:val="19"/>
                <w:szCs w:val="19"/>
                <w:color w:val="auto"/>
              </w:rPr>
            </w:pPr>
          </w:p>
        </w:tc>
        <w:tc>
          <w:tcPr>
            <w:tcW w:w="3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5.15</w:t>
            </w:r>
          </w:p>
        </w:tc>
        <w:tc>
          <w:tcPr>
            <w:tcW w:w="500" w:type="dxa"/>
            <w:vAlign w:val="bottom"/>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2380" w:firstLine="8"/>
        <w:spacing w:after="0" w:line="403" w:lineRule="auto"/>
        <w:tabs>
          <w:tab w:leader="none" w:pos="446"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 Stock option activity during the nine months ended September 30, 2012 was the following:</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w:t>
            </w: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(thousands)</w:t>
            </w:r>
          </w:p>
        </w:tc>
        <w:tc>
          <w:tcPr>
            <w:tcW w:w="120" w:type="dxa"/>
            <w:vAlign w:val="bottom"/>
          </w:tcPr>
          <w:p>
            <w:pPr>
              <w:spacing w:after="0"/>
              <w:rPr>
                <w:sz w:val="14"/>
                <w:szCs w:val="14"/>
                <w:color w:val="auto"/>
              </w:rPr>
            </w:pPr>
          </w:p>
        </w:tc>
        <w:tc>
          <w:tcPr>
            <w:tcW w:w="10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on December 31,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19.92</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21.51</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September 30, 2012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on September 30, 2012</w:t>
            </w: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19.82</w:t>
            </w:r>
          </w:p>
        </w:tc>
        <w:tc>
          <w:tcPr>
            <w:tcW w:w="580" w:type="dxa"/>
            <w:vAlign w:val="bottom"/>
          </w:tcPr>
          <w:p>
            <w:pPr>
              <w:spacing w:after="0" w:line="20" w:lineRule="exact"/>
              <w:rPr>
                <w:sz w:val="1"/>
                <w:szCs w:val="1"/>
                <w:color w:val="auto"/>
              </w:rPr>
            </w:pP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4.84</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1,503</w:t>
            </w:r>
          </w:p>
        </w:tc>
        <w:tc>
          <w:tcPr>
            <w:tcW w:w="6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September 30,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aggregate intrinsic value in the table above represents the total pre-tax value that option holders would have received had all option holders exercised their options on September 30, 2012. The aggregate intrinsic value is the difference between the closing price of Universal Electronics Inc.’s common stock on the last trading day of the third quarter of 2012 and the option exercise price, multiplied by the number of in-the-money options. This amount will change based on the fair market value of our stock. The total intrinsic value of options exercised for the three months ended September 30, 2012 and 2011, was $0.04 million and $0.04 million, respectively. The total intrinsic value of options exercised for the nine months ended September 30, 2012 and 2011, was $0.3 million and $0.8 million, respectively.</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September 30, 2012, there was $2.5 million of unrecognized pre-tax stock-based compensation expense related to non-vested stock options which we expect to recognize over a weighted-average period of 1.9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During the nine months ended September 30, 2012, the Compensation Committee and Board of Directors granted 174,890 restricted stock awards to employees with an aggregate grant date fair value of $2.6 million under various stock incentive plans. The restricted stock awards consisted of the following:</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5"/>
                <w:szCs w:val="15"/>
                <w:color w:val="auto"/>
              </w:rPr>
            </w:pPr>
          </w:p>
        </w:tc>
        <w:tc>
          <w:tcPr>
            <w:tcW w:w="9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Grant</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Date</w:t>
            </w: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20" w:type="dxa"/>
            <w:vAlign w:val="bottom"/>
            <w:gridSpan w:val="2"/>
            <w:vMerge w:val="continue"/>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rPr>
              <w:t>Fair</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Value</w:t>
            </w:r>
          </w:p>
        </w:tc>
        <w:tc>
          <w:tcPr>
            <w:tcW w:w="3920" w:type="dxa"/>
            <w:vAlign w:val="bottom"/>
          </w:tcPr>
          <w:p>
            <w:pPr>
              <w:jc w:val="right"/>
              <w:ind w:right="1456"/>
              <w:spacing w:after="0" w:line="129" w:lineRule="exact"/>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February 8, 2012</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71,300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1,432</w:t>
            </w:r>
          </w:p>
        </w:tc>
        <w:tc>
          <w:tcPr>
            <w:tcW w:w="400" w:type="dxa"/>
            <w:vAlign w:val="bottom"/>
            <w:shd w:val="clear" w:color="auto" w:fill="CCEEFF"/>
          </w:tcPr>
          <w:p>
            <w:pPr>
              <w:spacing w:after="0"/>
              <w:rPr>
                <w:sz w:val="17"/>
                <w:szCs w:val="17"/>
                <w:color w:val="auto"/>
              </w:rPr>
            </w:pPr>
          </w:p>
        </w:tc>
        <w:tc>
          <w:tcPr>
            <w:tcW w:w="3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3-Year Vesting Period (8.33% each quarter)</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August 2, 2012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1,100</w:t>
            </w:r>
          </w:p>
        </w:tc>
        <w:tc>
          <w:tcPr>
            <w:tcW w:w="3920" w:type="dxa"/>
            <w:vAlign w:val="bottom"/>
          </w:tcPr>
          <w:p>
            <w:pPr>
              <w:jc w:val="right"/>
              <w:spacing w:after="0"/>
              <w:rPr>
                <w:sz w:val="20"/>
                <w:szCs w:val="20"/>
                <w:color w:val="auto"/>
              </w:rPr>
            </w:pPr>
            <w:r>
              <w:rPr>
                <w:rFonts w:ascii="Arial" w:cs="Arial" w:eastAsia="Arial" w:hAnsi="Arial"/>
                <w:sz w:val="18"/>
                <w:szCs w:val="18"/>
                <w:color w:val="auto"/>
              </w:rPr>
              <w:t>3-Year Vesting Period (33.3% each year)</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4, 2012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3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3-Year Vesting Period (33.3% each year)</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September 10, 2012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3920" w:type="dxa"/>
            <w:vAlign w:val="bottom"/>
          </w:tcPr>
          <w:p>
            <w:pPr>
              <w:jc w:val="right"/>
              <w:spacing w:after="0"/>
              <w:rPr>
                <w:sz w:val="20"/>
                <w:szCs w:val="20"/>
                <w:color w:val="auto"/>
              </w:rPr>
            </w:pPr>
            <w:r>
              <w:rPr>
                <w:rFonts w:ascii="Arial" w:cs="Arial" w:eastAsia="Arial" w:hAnsi="Arial"/>
                <w:sz w:val="18"/>
                <w:szCs w:val="18"/>
                <w:color w:val="auto"/>
              </w:rPr>
              <w:t>3-Year Vesting Period (33.3% each year)</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174,890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2,575</w:t>
            </w:r>
          </w:p>
        </w:tc>
        <w:tc>
          <w:tcPr>
            <w:tcW w:w="3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addition to the grants to employees, 30,000 shares of restricted stock with a grant date fair value of $0.4 million were granted to our outside directors on July 1, 2012 as a part of their annual compensation package. These shares are subject to a one-year vesting period (25% each quarter).</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nine months ended September 30, 2012, we recognized $0.5 million of pre-tax stock-based compensation expense related to our 2012 restricted stock award grants.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Non-vested restricted stock award activity during the nine months ended September 30, 2012 (including restricted stock issued to directors as described in Note 11) was the following:</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Granted</w:t>
            </w:r>
          </w:p>
        </w:tc>
        <w:tc>
          <w:tcPr>
            <w:tcW w:w="110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80" w:type="dxa"/>
            <w:vAlign w:val="bottom"/>
            <w:gridSpan w:val="3"/>
          </w:tcPr>
          <w:p>
            <w:pPr>
              <w:jc w:val="center"/>
              <w:ind w:left="1519"/>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on December 31, 2011</w:t>
            </w:r>
          </w:p>
        </w:tc>
        <w:tc>
          <w:tcPr>
            <w:tcW w:w="20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20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Non-vested on September 30, 2012</w:t>
            </w:r>
          </w:p>
        </w:tc>
        <w:tc>
          <w:tcPr>
            <w:tcW w:w="20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At September 30, 2012, we expect to recognize $5.0 million of unrecognized pre-tax stock-based compensation expense related to non-vested restricted stock awards over a weighted-average period of 2.0 years.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(Expense),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for the three and nine months ended September 30, 2012 and 2011 are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gain (loss) on foreign currency exchange contracts</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gain (loss) on foreign currency exchange transactions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(1,008)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This represents the losses incurred on foreign currency hedging derivatives (see Note 16 for further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the computation of diluted earnings per common share for the three months ended September 30, 2012 and 2011, we have excluded 1,215,475 and 631,000 stock options, respectively, with exercise prices greater than the average market price of the underlying common stock, because their inclusion would have been anti-dilutive. Furthermore, for the three months ended September 30, 2012 and 2011, we have excluded 212,744 and 225,416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computation of diluted earnings per common share for the nine months ended September 30, 2012 and 2011, we have excluded 1,050,158 and 498,040 stock options, respectively, with exercise prices greater than the average market price of the underlying common stock, because their inclusion would have been anti-dilutive. Furthermore, for the nine months ended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September 30, 2012 and 2011, we have excluded 178,773 and 89,690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nine months ended September 30, 2012 and 2011 are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100" w:type="dxa"/>
            <w:vAlign w:val="bottom"/>
          </w:tcPr>
          <w:p>
            <w:pPr>
              <w:spacing w:after="0"/>
              <w:rPr>
                <w:sz w:val="14"/>
                <w:szCs w:val="14"/>
                <w:color w:val="auto"/>
              </w:rPr>
            </w:pPr>
          </w:p>
        </w:tc>
        <w:tc>
          <w:tcPr>
            <w:tcW w:w="154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jc w:val="center"/>
              <w:ind w:right="292"/>
              <w:spacing w:after="0" w:line="196" w:lineRule="exact"/>
              <w:rPr>
                <w:sz w:val="20"/>
                <w:szCs w:val="20"/>
                <w:color w:val="auto"/>
              </w:rPr>
            </w:pPr>
            <w:r>
              <w:rPr>
                <w:rFonts w:ascii="Arial" w:cs="Arial" w:eastAsia="Arial" w:hAnsi="Arial"/>
                <w:sz w:val="18"/>
                <w:szCs w:val="18"/>
                <w:b w:val="1"/>
                <w:bCs w:val="1"/>
                <w:color w:val="auto"/>
                <w:w w:val="96"/>
              </w:rPr>
              <w:t>BASIC</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6,850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13,635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14,984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14,887</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14,931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shd w:val="clear" w:color="auto" w:fill="CCEEFF"/>
          </w:tcPr>
          <w:p>
            <w:pPr>
              <w:jc w:val="center"/>
              <w:ind w:right="312"/>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6,850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13,635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14,887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15,099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15,147</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15,087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Argentine Peso, Brazilian Real, British Pound, Chinese Yuan Renminbi, Euro, Hong Kong dollar, Indian Rupee, and Singapore dollar. We periodically enter into foreign currency exchange contracts with terms normally lasting less than nine months to protect against the adverse effects that exchange rate fluctuations may have on our foreign currency 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2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07"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 xml:space="preserve">We have determined that the fair value of our derivatives is derived from level 2 inputs in the fair value hierarchy. See Note 2 under the captions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and </w:t>
      </w:r>
      <w:r>
        <w:rPr>
          <w:rFonts w:ascii="Arial" w:cs="Arial" w:eastAsia="Arial" w:hAnsi="Arial"/>
          <w:sz w:val="15"/>
          <w:szCs w:val="15"/>
          <w:i w:val="1"/>
          <w:iCs w:val="1"/>
          <w:color w:val="auto"/>
        </w:rPr>
        <w:t xml:space="preserve">Fair-Value Measurements </w:t>
      </w:r>
      <w:r>
        <w:rPr>
          <w:rFonts w:ascii="Arial" w:cs="Arial" w:eastAsia="Arial" w:hAnsi="Arial"/>
          <w:sz w:val="15"/>
          <w:szCs w:val="15"/>
          <w:color w:val="auto"/>
        </w:rPr>
        <w:t>in our Annual Report on Form 10-K for further information concerning the accounting principles and valuation methodology utilized.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financial assets that were accounted for at fair value on a recurring basis on September 30,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Quoted Prices</w:t>
            </w:r>
          </w:p>
        </w:tc>
        <w:tc>
          <w:tcPr>
            <w:tcW w:w="2160" w:type="dxa"/>
            <w:vAlign w:val="bottom"/>
            <w:gridSpan w:val="4"/>
          </w:tcPr>
          <w:p>
            <w:pPr>
              <w:ind w:left="220"/>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79"/>
              </w:rPr>
              <w:t>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0"/>
              </w:rPr>
              <w:t>Active</w:t>
            </w:r>
          </w:p>
        </w:tc>
        <w:tc>
          <w:tcPr>
            <w:tcW w:w="80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4"/>
              </w:rPr>
              <w:t>Markets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80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34"/>
        </w:trPr>
        <w:tc>
          <w:tcPr>
            <w:tcW w:w="45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87"/>
              <w:spacing w:after="0" w:line="135" w:lineRule="exact"/>
              <w:rPr>
                <w:sz w:val="20"/>
                <w:szCs w:val="20"/>
                <w:color w:val="auto"/>
              </w:rPr>
            </w:pPr>
            <w:r>
              <w:rPr>
                <w:rFonts w:ascii="Arial" w:cs="Arial" w:eastAsia="Arial" w:hAnsi="Arial"/>
                <w:sz w:val="14"/>
                <w:szCs w:val="14"/>
                <w:b w:val="1"/>
                <w:bCs w:val="1"/>
                <w:color w:val="auto"/>
                <w:w w:val="78"/>
              </w:rPr>
              <w:t>Assets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 2012</w:t>
            </w:r>
          </w:p>
        </w:tc>
        <w:tc>
          <w:tcPr>
            <w:tcW w:w="140" w:type="dxa"/>
            <w:vAlign w:val="bottom"/>
          </w:tcPr>
          <w:p>
            <w:pPr>
              <w:spacing w:after="0"/>
              <w:rPr>
                <w:sz w:val="12"/>
                <w:szCs w:val="12"/>
                <w:color w:val="auto"/>
              </w:rPr>
            </w:pPr>
          </w:p>
        </w:tc>
        <w:tc>
          <w:tcPr>
            <w:tcW w:w="72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87"/>
              </w:rPr>
              <w:t>(Level 1)</w:t>
            </w:r>
          </w:p>
        </w:tc>
        <w:tc>
          <w:tcPr>
            <w:tcW w:w="800" w:type="dxa"/>
            <w:vAlign w:val="bottom"/>
          </w:tcPr>
          <w:p>
            <w:pPr>
              <w:spacing w:after="0"/>
              <w:rPr>
                <w:sz w:val="12"/>
                <w:szCs w:val="12"/>
                <w:color w:val="auto"/>
              </w:rPr>
            </w:pPr>
          </w:p>
        </w:tc>
        <w:tc>
          <w:tcPr>
            <w:tcW w:w="136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Foreign currency exchange futures contracts</w:t>
            </w:r>
          </w:p>
        </w:tc>
        <w:tc>
          <w:tcPr>
            <w:tcW w:w="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77"/>
              </w:rPr>
              <w:t>(55)</w:t>
            </w:r>
          </w:p>
        </w:tc>
        <w:tc>
          <w:tcPr>
            <w:tcW w:w="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70"/>
              </w:rPr>
              <w:t>(55)</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held foreign currency exchange contracts which resulted in a net pre-tax gain of $0.1 million for the three months ended September 30, 2012 and a net pre-tax loss of $0.6 million for the three months ended September 30, 2011. For the nine months ended September 30, 2012 and 2011, we had a net pre-tax loss of $0.1 million and a net pre-tax loss of $0.1 million,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held one USD/Euro futures contract with a notional value of $6.0 million and a forward rate of $1.2972 USD/Euro at September 30, 2012. We held the Euro position on this contract, which settled on October 19, 2012. The loss on this contract as of September 30, 2012 was $55 thousand and is included in other accrued expenses. This contract was settled at a gain of $236 thousand resulting in a gain of $291 thousand in October 2012.</w:t>
      </w:r>
    </w:p>
    <w:p>
      <w:pPr>
        <w:spacing w:after="0" w:line="107"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We held one USD/Chinese Yuan Renminbi futures contract with a notional value of $10.0 million and a forward rate of CNY6.353 CNY/USD at December 31, 2011. We held the USD position on this contract, which settled on January 13, 2012. The gain on this contract as of December 31, 2011 was $46 thousand and is included in prepaid expenses and other current assets. This contract was settled at a gain of $59 thousand resulting in a gain of $13 thousand in January 2012.</w:t>
      </w:r>
    </w:p>
    <w:p>
      <w:pPr>
        <w:spacing w:after="0" w:line="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held one USD/Euro futures contract with a notional value of $6.5 million and a forward rate of $1.3091 USD/Euro at December 31, 2011. We held the Euro position on this contract, which settled on January 20, 2012. The loss on this contract as of December 31, 2011 was $67 thousand and is included in other accrued expenses. This contract was settled at a loss of $125 thousand resulting in a loss of $58 thousand in January 2012.</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following discussion should be read in conjunction with the Consolidated Financial Statements and the related notes that appear elsewhere in this document.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develop and manufacture a broad line of pre-programmed universal wireless control products, and audio-video accessories that are marketed to enhance home entertainment systems. Our customers operate in the consumer electronics market and include OEMs, subscription broadcasters, international retailers, custom installers,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cable converters, CD players, audio components and satellite receivers, as well as most other infrared remote controlled devices worldwide.</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697,100 individual device functions and over 4,800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operate as one business segment. We have 24 international subsidiaries located in Argentina, Cayman Islands, France, Germany, Hong Kong (6), India, Italy, the Netherlands, Singapore, Spain, Brazil, British Virgin Islands (3), People’s Republic of China (4) and the United Kingdom.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nine months ended September 30, 2012:</w:t>
      </w:r>
    </w:p>
    <w:p>
      <w:pPr>
        <w:spacing w:after="0" w:line="90" w:lineRule="exact"/>
        <w:rPr>
          <w:sz w:val="20"/>
          <w:szCs w:val="20"/>
          <w:color w:val="auto"/>
        </w:rPr>
      </w:pPr>
    </w:p>
    <w:p>
      <w:pPr>
        <w:ind w:left="900" w:right="5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net sales decreased 1.6% from $351.0 million for the nine months ended September 30, 2011 to $345.3 million for the nine months ended September 30, 2012.</w:t>
      </w:r>
    </w:p>
    <w:p>
      <w:pPr>
        <w:spacing w:after="0" w:line="50"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operating income during the first nine months of 2012 decreased 9.8% to $18.3 million from $20.3 million during the first nine months of 2011. Our operating margin percentage decreased from 5.9% in the first nine months of 2011 to 5.2% in the first nine months of 2012. Our gross margin percentage improved from 27.6% during the nine months ended September, 30 2011 to 28.3% during the same period in 2012. This improvement was due primarily to the fact that more units were produced internally versus by third party manufacturers in 2012 compared to 2011. In addition, in the third quarter of 2012 we received a lump sum payment in connection with entering into a long-term, confidential Settlement and License Agreement with Logitech. This lump-sum payment was recognized as revenue in the third quarter of 2012 (see Note 10 of the Notes to the Consolidated Financial Statements). Operating expenses, as a percent of sales, increased from 21.7% in the first nine months of 2011 to 23.1% in the first nine months of 2012 primarily due to increased third party legal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2012 include the following:</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share with existing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utilization of Enson’s factories by becoming less dependent on third party contract manufacturers;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more operations, logistics, quality, program management, engineering, sales, and marketing personnel in the Asia region;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nine months ended September 30, 2012 to the items that we disclosed as our critical accounting policies and estimates in Item 7, “Management’s Discussion and Analysis of Financial Condition and Results of Operations” contained in our Annual Report on Form 10-K for our fiscal year ended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See Note 1 contained in the “Notes to the Consolidated Financial Statements” for a discussion of new and recently adopted accounting pronouncements.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nine months ended September 30, 2012 and 2011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3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w w:val="96"/>
              </w:rPr>
              <w:t>Three Months Ended September 30,</w:t>
            </w:r>
          </w:p>
        </w:tc>
        <w:tc>
          <w:tcPr>
            <w:tcW w:w="268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9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7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9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40" w:type="dxa"/>
            <w:vAlign w:val="bottom"/>
            <w:gridSpan w:val="2"/>
          </w:tcPr>
          <w:p>
            <w:pPr>
              <w:jc w:val="right"/>
              <w:ind w:right="920"/>
              <w:spacing w:after="0"/>
              <w:rPr>
                <w:sz w:val="20"/>
                <w:szCs w:val="20"/>
                <w:color w:val="auto"/>
              </w:rPr>
            </w:pPr>
            <w:r>
              <w:rPr>
                <w:rFonts w:ascii="Arial" w:cs="Arial" w:eastAsia="Arial" w:hAnsi="Arial"/>
                <w:sz w:val="18"/>
                <w:szCs w:val="18"/>
                <w:color w:val="auto"/>
              </w:rPr>
              <w:t>2.8</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9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9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7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9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9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7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9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(0.0)</w:t>
            </w: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(0.1)</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(0.3)</w:t>
            </w: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1"/>
        </w:trPr>
        <w:tc>
          <w:tcPr>
            <w:tcW w:w="542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9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7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9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w:t>
            </w: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5.5%</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3.9%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2012 versus Three Months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September 30, 2012 and 2011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9"/>
              </w:rPr>
              <w:t>2012</w:t>
            </w:r>
          </w:p>
        </w:tc>
        <w:tc>
          <w:tcPr>
            <w:tcW w:w="5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(millions)</w:t>
            </w:r>
          </w:p>
        </w:tc>
        <w:tc>
          <w:tcPr>
            <w:tcW w:w="44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58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(millions)</w:t>
            </w:r>
          </w:p>
        </w:tc>
        <w:tc>
          <w:tcPr>
            <w:tcW w:w="46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40"/>
              <w:spacing w:after="0"/>
              <w:rPr>
                <w:sz w:val="20"/>
                <w:szCs w:val="20"/>
                <w:color w:val="auto"/>
              </w:rPr>
            </w:pPr>
            <w:r>
              <w:rPr>
                <w:rFonts w:ascii="Arial" w:cs="Arial" w:eastAsia="Arial" w:hAnsi="Arial"/>
                <w:sz w:val="18"/>
                <w:szCs w:val="18"/>
                <w:color w:val="auto"/>
              </w:rPr>
              <w:t>Business</w:t>
            </w:r>
          </w:p>
        </w:tc>
        <w:tc>
          <w:tcPr>
            <w:tcW w:w="3880" w:type="dxa"/>
            <w:vAlign w:val="bottom"/>
            <w:gridSpan w:val="2"/>
          </w:tcPr>
          <w:p>
            <w:pPr>
              <w:ind w:left="37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00" w:type="dxa"/>
            <w:vAlign w:val="bottom"/>
            <w:vMerge w:val="continue"/>
          </w:tcPr>
          <w:p>
            <w:pPr>
              <w:spacing w:after="0"/>
              <w:rPr>
                <w:sz w:val="19"/>
                <w:szCs w:val="19"/>
                <w:color w:val="auto"/>
              </w:rPr>
            </w:pPr>
          </w:p>
        </w:tc>
        <w:tc>
          <w:tcPr>
            <w:tcW w:w="3880" w:type="dxa"/>
            <w:vAlign w:val="bottom"/>
            <w:gridSpan w:val="2"/>
          </w:tcPr>
          <w:p>
            <w:pPr>
              <w:ind w:left="37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124.9</w:t>
            </w:r>
          </w:p>
        </w:tc>
        <w:tc>
          <w:tcPr>
            <w:tcW w:w="40" w:type="dxa"/>
            <w:vAlign w:val="bottom"/>
          </w:tcPr>
          <w:p>
            <w:pPr>
              <w:spacing w:after="0"/>
              <w:rPr>
                <w:sz w:val="19"/>
                <w:szCs w:val="19"/>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780" w:type="dxa"/>
            <w:vAlign w:val="bottom"/>
            <w:vMerge w:val="restart"/>
          </w:tcPr>
          <w:p>
            <w:pPr>
              <w:jc w:val="right"/>
              <w:ind w:right="1292"/>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Net sales for the third quarter of 2012 were $124.9 million, an increase of 1.1% compared to $123.5 million for the third quarter of 2011. Net income for the third quarter of 2012 was $6.9 million or $0.45 per diluted share compared to $7.1 million or $0.47 per diluted share for the third quarter of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90% of net sales in the third quarter of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90% in the third quarter of 2011. Net sales in our Business lines for the three months ended September 30, 2012 increased by approximately 0.5% to $111.9 million from $111.3 million in the third quarter of 2011. The prolonged sluggish global economy has had an adverse effect on television sales, which, in turn, directly affects our sales to consumer electronics companies. Offsetting the decrease in sales to consumer electronics companies is an increase in net sales within subscription broadcasting. Net sales in subscription broadcasting have remained strong in North America and have grown significantly, on a percentage basis, in Latin America, specifically Brazil.</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Net sales in our Consumer lines </w:t>
      </w:r>
      <w:r>
        <w:rPr>
          <w:rFonts w:ascii="Arial" w:cs="Arial" w:eastAsia="Arial" w:hAnsi="Arial"/>
          <w:sz w:val="18"/>
          <w:szCs w:val="18"/>
          <w:color w:val="auto"/>
        </w:rPr>
        <w:t>(</w:t>
      </w:r>
      <w:r>
        <w:rPr>
          <w:rFonts w:ascii="Arial" w:cs="Arial" w:eastAsia="Arial" w:hAnsi="Arial"/>
          <w:sz w:val="18"/>
          <w:szCs w:val="18"/>
          <w:i w:val="1"/>
          <w:iCs w:val="1"/>
          <w:color w:val="auto"/>
        </w:rPr>
        <w:t>One For All</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retail, private label, custom installers, and direct import) were approximately 10% of net sales for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2012 compared to approximately 10% for the third quarter of 2011. Net sales in our Consumer lines for the third quarter of 2012 increased by 7% to $13.0 million from $12.2 million during the same period in 2011. International retail sales increased from $11.1 million in the third quarter of 2011 to $11.8 million during the third quarter of 2012 due primarily to increased sales in Latin America. In addition, North American retail sales increased from $0.9 million to $1.2 million.</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third quarter of 2012 was $36.4 million compared to $34.2 million for the third quarter of 2011. Gross profit as a percent of sales increased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29.2% during the third quarter of 2012 from 27.7 % during the third quarter of 2011. This improvement is due primarily to the long-term, confidential Settlement and License Agreement with Logitech which resulted in a lump-sum payment that was recognized as revenue in the third quarter of 2012 (see Note 10 of the Notes to the Consolidated Financial Statements).</w:t>
      </w:r>
    </w:p>
    <w:p>
      <w:pPr>
        <w:spacing w:after="0" w:line="143"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increased 23.1% from $2.9 million during the third quarter of 2011 to $3.5 million during the third quarter of 2012.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is due to additional resources dedicated to general research &amp; development activities in an effort to continue to develop new products and technologies.</w:t>
      </w:r>
    </w:p>
    <w:p>
      <w:pPr>
        <w:spacing w:after="0" w:line="6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increased 7.0% from $21.9 million during the third quarter of 2011 to $23.4 million during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2012. The weakening of the Euro and Brazilian Real compared to the U.S. Dollar had a favorable effect of $1.0 million on SG&amp;A expenses. Offsetting the favorable currency effect was an increase in bonus expense as well as third party legal expenses due to litigation related to protecting our intellectual property.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was $24 thousand during the third quarter of 2012 compared to $56 thousand during the third quarter of 2011.</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Net other expense </w:t>
      </w:r>
      <w:r>
        <w:rPr>
          <w:rFonts w:ascii="Arial" w:cs="Arial" w:eastAsia="Arial" w:hAnsi="Arial"/>
          <w:sz w:val="18"/>
          <w:szCs w:val="18"/>
          <w:color w:val="auto"/>
        </w:rPr>
        <w:t>was $0.1 million during the third quarter of 2012 compared to net other expense of $0.4 million during the third quarter of 2011,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lower amount of foreign currency losses.</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was $2.6 million during the third quarter of 2012 compared to $2.0 million during the third quarter of 2011. Our effective tax rate was 27.5%</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third quarter of 2012 compared to 21.8% for the third quarter of 2011. The increase in our effective tax rate is due to a shift of income from lower tax rate jurisdictions to higher tax rate jurisdictions.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2012 versus Nine months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nine months ended September 30, 2012 and 2011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4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4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40"/>
              <w:spacing w:after="0"/>
              <w:rPr>
                <w:sz w:val="20"/>
                <w:szCs w:val="20"/>
                <w:color w:val="auto"/>
              </w:rPr>
            </w:pPr>
            <w:r>
              <w:rPr>
                <w:rFonts w:ascii="Arial" w:cs="Arial" w:eastAsia="Arial" w:hAnsi="Arial"/>
                <w:sz w:val="18"/>
                <w:szCs w:val="18"/>
                <w:color w:val="auto"/>
              </w:rPr>
              <w:t>Business</w:t>
            </w:r>
          </w:p>
        </w:tc>
        <w:tc>
          <w:tcPr>
            <w:tcW w:w="3880" w:type="dxa"/>
            <w:vAlign w:val="bottom"/>
            <w:gridSpan w:val="2"/>
          </w:tcPr>
          <w:p>
            <w:pPr>
              <w:ind w:left="37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308.1</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317.7</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00" w:type="dxa"/>
            <w:vAlign w:val="bottom"/>
            <w:vMerge w:val="continue"/>
          </w:tcPr>
          <w:p>
            <w:pPr>
              <w:spacing w:after="0"/>
              <w:rPr>
                <w:sz w:val="19"/>
                <w:szCs w:val="19"/>
                <w:color w:val="auto"/>
              </w:rPr>
            </w:pPr>
          </w:p>
        </w:tc>
        <w:tc>
          <w:tcPr>
            <w:tcW w:w="3880" w:type="dxa"/>
            <w:vAlign w:val="bottom"/>
            <w:gridSpan w:val="2"/>
          </w:tcPr>
          <w:p>
            <w:pPr>
              <w:ind w:left="37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345.3</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780" w:type="dxa"/>
            <w:vAlign w:val="bottom"/>
            <w:vMerge w:val="restart"/>
          </w:tcPr>
          <w:p>
            <w:pPr>
              <w:jc w:val="right"/>
              <w:ind w:right="1292"/>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sales during the nine months ended September 30, 2012 were $345.3 million, a decrease of 1.6% compared to $351.0 million during the nine months ended September 30, 2011. Net income during the nine months ended September 30, 2012 was $13.6 million or $0.90 per diluted share compared to $15.0 million or $0.98 per diluted share for the nine months ended September 30,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89% of net sales during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2012 compared to approximately 91% during the nine months ended September 30, 2011. Net sales in our Business lines during the nine months ended September 30, 2012 decreased by approximately 3% to $308.1 million from $317.7 million during the nine months ended September 30, 2011. The prolonged sluggish global economy has had an adverse effect on television sales, which, in turn, directly affects our sales to consumer electronics companies. Partially offsetting the decrease in sales to consumer electronics companies is an increase in net sales within subscription broadcasting. Net sales in subscription broadcasting have remained strong in North America and have grown significantly, on a percentage basis, in Latin America, specifically Brazil.</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Net sales in our Consumer lines </w:t>
      </w:r>
      <w:r>
        <w:rPr>
          <w:rFonts w:ascii="Arial" w:cs="Arial" w:eastAsia="Arial" w:hAnsi="Arial"/>
          <w:sz w:val="16"/>
          <w:szCs w:val="16"/>
          <w:color w:val="auto"/>
        </w:rPr>
        <w:t>(</w:t>
      </w:r>
      <w:r>
        <w:rPr>
          <w:rFonts w:ascii="Arial" w:cs="Arial" w:eastAsia="Arial" w:hAnsi="Arial"/>
          <w:sz w:val="16"/>
          <w:szCs w:val="16"/>
          <w:i w:val="1"/>
          <w:iCs w:val="1"/>
          <w:color w:val="auto"/>
        </w:rPr>
        <w:t>One For All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retail, private label, custom installers, and direct import) were approximately 11% of net sales during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2012 compared to approximately 9% during the nine months ended September 30, 2011. Net sales in our Consumer lines during the nine months ended September 30, 2012 increased by 12% to $37.2 million from $33.3 million during the same period in 2011. International retail sales increased from $30.2 million during the nine months ended September 30, 2011 to $33.6 million during the same period of time in 2012 due primarily to increased sales in Latin America. In addition, North American retail sales increased $0.9 million, from $2.6 million to $3.5 million.</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during the nine months ended September 30, 2012 was $97.7 million compared to $96.7 million during the nine months ended September 30, 2011.</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as a percent of sales increased to 28.3% during the nine months ended September 30, 2012 from 27.6% during the nine months ended September 30, 2011. This improvement is due primarily to the fact that more units were produced internally versus by third party manufacturers in 2012 compared to 2011. The nine months ended September 2012 was also positively affected by a licensing agreement entered into with a certain customer in the gaming industry as well as the long-term, confidential Settlement and License Agreement entered into with Logitech. Compared to the third quarter of 2011, this favorability was partially offset by pricing pressure from customers.</w:t>
      </w:r>
    </w:p>
    <w:p>
      <w:pPr>
        <w:spacing w:after="0" w:line="12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increased 12.2% from $9.3 million during the nine months ended September 30, 2011 to $10.4 million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2012. The increase is primarily due to additional labor dedicated to general research &amp; development activities in an effort to continue to develop new products and technologies.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increased 2.8% from $67.1 million during the nine months ended September 30, 2011 to $69.0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2012. Legal expenses increased by $1.3 million as a result of litigation costs related to protecting our intellectual property. Employee bonus expense increased by $2.5 million. Partially offsetting these increases was a $2.2 million favorable currency effect due to the Euro and Brazilian Real weakening compared to the U.S. Dollar.</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was $0.1 million during the nine months ended September 30, 2012 compared to $0.2 million during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2011.</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 xml:space="preserve">Net other expense </w:t>
      </w:r>
      <w:r>
        <w:rPr>
          <w:rFonts w:ascii="Arial" w:cs="Arial" w:eastAsia="Arial" w:hAnsi="Arial"/>
          <w:sz w:val="18"/>
          <w:szCs w:val="18"/>
          <w:color w:val="auto"/>
        </w:rPr>
        <w:t>was $0.5 million during the nine months ended September 30, 2012 compared to net other expense of $0.8 million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2011, which was driven by a lower amount of foreign currency losses.</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was $4.1 million during the nine months ended September 30, 2012 compared to $4.3 million during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2011. Our effective tax rate was 22.9% for the nine months ended September 30, 2012 compared to 22.2% the nine months ended September 30, 2011.</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Increase/(Decrease)</w:t>
            </w:r>
          </w:p>
        </w:tc>
        <w:tc>
          <w:tcPr>
            <w:tcW w:w="4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2"/>
              </w:rPr>
              <w:t>Nine months ended</w:t>
            </w:r>
          </w:p>
        </w:tc>
      </w:tr>
      <w:tr>
        <w:trPr>
          <w:trHeight w:val="161"/>
        </w:trPr>
        <w:tc>
          <w:tcPr>
            <w:tcW w:w="4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4"/>
                <w:szCs w:val="14"/>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in cash</w:t>
            </w:r>
          </w:p>
        </w:tc>
        <w:tc>
          <w:tcPr>
            <w:tcW w:w="4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27,644</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(7,327)</w:t>
            </w:r>
          </w:p>
        </w:tc>
        <w:tc>
          <w:tcPr>
            <w:tcW w:w="1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3,627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(10,954)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(8,745)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15,564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(24,309)</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(940)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r>
      <w:tr>
        <w:trPr>
          <w:trHeight w:val="365"/>
        </w:trPr>
        <w:tc>
          <w:tcPr>
            <w:tcW w:w="4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24"/>
                <w:szCs w:val="2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u w:val="single" w:color="auto"/>
                <w:color w:val="auto"/>
                <w:w w:val="84"/>
              </w:rPr>
              <w:t>September</w:t>
            </w:r>
            <w:r>
              <w:rPr>
                <w:rFonts w:ascii="Arial" w:cs="Arial" w:eastAsia="Arial" w:hAnsi="Arial"/>
                <w:sz w:val="14"/>
                <w:szCs w:val="14"/>
                <w:b w:val="1"/>
                <w:bCs w:val="1"/>
                <w:color w:val="auto"/>
                <w:w w:val="84"/>
              </w:rPr>
              <w:t xml:space="preserve"> 30, 2012</w:t>
            </w: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u w:val="single" w:color="auto"/>
                <w:color w:val="auto"/>
                <w:w w:val="85"/>
              </w:rPr>
              <w:t>December</w:t>
            </w:r>
            <w:r>
              <w:rPr>
                <w:rFonts w:ascii="Arial" w:cs="Arial" w:eastAsia="Arial" w:hAnsi="Arial"/>
                <w:sz w:val="14"/>
                <w:szCs w:val="14"/>
                <w:b w:val="1"/>
                <w:bCs w:val="1"/>
                <w:color w:val="auto"/>
                <w:w w:val="85"/>
              </w:rPr>
              <w:t xml:space="preserve"> 31, 2011</w:t>
            </w:r>
          </w:p>
        </w:tc>
        <w:tc>
          <w:tcPr>
            <w:tcW w:w="100" w:type="dxa"/>
            <w:vAlign w:val="bottom"/>
          </w:tcPr>
          <w:p>
            <w:pPr>
              <w:spacing w:after="0"/>
              <w:rPr>
                <w:sz w:val="24"/>
                <w:szCs w:val="24"/>
                <w:color w:val="auto"/>
              </w:rPr>
            </w:pPr>
          </w:p>
        </w:tc>
      </w:tr>
      <w:tr>
        <w:trPr>
          <w:trHeight w:val="228"/>
        </w:trPr>
        <w:tc>
          <w:tcPr>
            <w:tcW w:w="4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41,216</w:t>
            </w:r>
          </w:p>
        </w:tc>
        <w:tc>
          <w:tcPr>
            <w:tcW w:w="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11,844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29,372</w:t>
            </w: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25,002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84,761</w:t>
            </w:r>
          </w:p>
        </w:tc>
      </w:tr>
    </w:tbl>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increased by $15.8 million from $11.8 million during the nine months ended September 30, 2011 to $27.6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nine months ended September 30, 2012. The improvement in cash provided by operating activities is due primarily to a conscious effort to lower our inventory levels in 2012 as evidenced by inventories decreasing by $15.8 million for the nine months ended September 30, 2012 compared to an increase in inventories of $22.2 million in the first nine months of 2011. Partially offsetting this improvement is a decrease in accounts payable and accrued expenses of $8.3 million for the nine months ended September 30, 2012 compared to an increase of $2.5 million for the nine months ended September 30, 2011. In addition, accounts receivable increased by $10.9 million for the nine months ended September 30, 2012 compared to an increase of $2.8 million for the nine months ended September 30, 2011 due to a higher percentage of our sales occurring during the last two months of the quarter ending September 30, 2012.</w:t>
      </w:r>
    </w:p>
    <w:p>
      <w:pPr>
        <w:spacing w:after="0" w:line="11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Net cash used for investing activities </w:t>
      </w:r>
      <w:r>
        <w:rPr>
          <w:rFonts w:ascii="Arial" w:cs="Arial" w:eastAsia="Arial" w:hAnsi="Arial"/>
          <w:sz w:val="16"/>
          <w:szCs w:val="16"/>
          <w:color w:val="auto"/>
        </w:rPr>
        <w:t>decreased by $3.6 million from $11.0 million during the nine months ended September 30, 2011 to $7.3 million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2012. Cash outflows to purchase property, plant and equipment were $10.1 million for the nine months ended September 30, 2011 compared to cash outflows of $6.5 million recorded during the nine months ended September 30, 2012. The decrease in property, plant and equipment purchases is due to the completion of the capacity expansion at the Yang Zhou factory during 2011.</w:t>
      </w:r>
    </w:p>
    <w:p>
      <w:pPr>
        <w:spacing w:after="0" w:line="11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decreased by $15.6 million from cash outflows of $24.3 million during the nine months ended September 30, 2011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outflows of $8.7 million during the nine months ended September 30, 2012. The decrease in cash used for financing activities was driven in part by a decrease in net debt payments as we reduced our debt balance by $16.6 million during the first nine months of 2011 compared to a reduction of $9.6 million during the first nine months of 2012. In addition, treasury stock repurchases decreased by $8.9 million during the nine months ended September 30, 2012 compared to the same period in 2011.</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nine months ended September 30, 2012, we repurchased 37,267 shares of our common stock for $0.6 million compared to our repurchase of 441,071 shares of our common stock for $9.5 million during the nine months ended September 30, 2011.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February 11, 2010, our Board of Directors authorized management to continue repurchasing up to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September 30, 2012, we have repurchased 967,357 shares of our common stock under this authorization, leaving 32,643 shares available for repurchase.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On October 26, 2011, our Board of Directors authorized management to repurchase an additional 1,000,000 shares of our issued and outstanding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not repurchased any shares under the Board authorization approved on October 26, 2011 as of September 30,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September 30, 2012, our contractual obligations were $92.3 million compared to $63.4 million reported in our Annual Report on Form 10-K as of December 31, 2011. The following table summarizes our contractual obligations on September 30, 2012 and the effect these obligations are expected to have on our liquidity and cash flow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1-3</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4-5</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line="129"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1 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Years</w:t>
            </w:r>
          </w:p>
        </w:tc>
        <w:tc>
          <w:tcPr>
            <w:tcW w:w="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2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lease obligations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13,742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1"/>
                <w:szCs w:val="11"/>
                <w:color w:val="auto"/>
              </w:rPr>
              <w:t>(1)</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78,448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7,048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31,875</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39,525</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92,288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9,276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35,952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42,592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Purchase obligations include contractual payments to purchase tooling assets and inventory.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We believe our current cash balances and anticipated cash flow to be generated from operations will be sufficient to cover cash outlays expected for at least the next twelve months; however, because our cash is located in various jurisdictions throughout the world, we may need to borrow from our line of credit until we are able to transfer cash among our various entities.</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able to supplement this near-term liquidity, if necessary, with our revolving credit line facility. Our liquidity is subject to various risks including the risks discussed under “Item 3. Quantitative and Qualitative Disclosures about Market Risk”.</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156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8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41,216</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29,372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resources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At September 30, 2012, we had approximately $7.7 million, $5.8 million, $21.9 million, $0.6 million and $5.2 million of cash and cash equivalents in the United States, Europe, Asia, Cayman Islands, and South America, respectively. On December 31, 2011, we had approximately $4.1 million, $7.6 million, $16.5 million, $0.1 million, and $1.1 million of cash and cash equivalents in the United States, Europe, Asia, Cayman Islands and South America, respectively. We attempt to mitigate our exposure to liquidity, credit and other relevant risks by placing our cash and cash equivalents with financial institutions we believe are high quality.</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At September 30, 2012, we had an outstanding balance of $4.8 million under our U.S. Bank National Association (“U.S. Bank”) 1-year term loan facility and $2.0 million under our U.S. Bank revolving credit line.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 2012, we entered into an Amended and Restated Credit Agreement (“Amended Credit Agreement”) with U.S. Bank. Under the Amended Credit Agreement, the existing secured revolving credit line (“Credit Line”) was increased from $20.0 million to $55.0 million and the expiration date was extended from November 1, 2012 to November 1, 2014. The Amended Credit Agreement requires that the Credit Line be used to pay off the remaining outstanding balance of the existing term loan with U.S. Bank National Association. The Credit Line may be used for working capital and other general corporate purposes including acquisitions, share repurchases and capital expenditures.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Under the Amended Credit Agreement, we may elect to pay interest on the Credit Line based on LIBOR plus an applicable margin (varying from 1.25% to</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1.75%) or base rate (based on the prime rate of U.S. Bank National Association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14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2011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of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and interactive TV industries not materializing or growing as we believed; our inability to add profitable complementary products which are accepted by the marketplace; the need to repatriate our cash resulting in higher than expected costs to use funds; our inability to attract and retain quality workforce at adequate levels in all regions of the world, and particularly Asia; our inability to continue to maintain our operating costs at acceptable levels through our cost containment efforts; our inability to realize tax benefits from various tax projects initiated from time to time; our inability to continue selling our products or licensing our technologies at higher or profitable margins; our inability to obtain orders or maintain our order volume with new and existing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are exposed to interest rate risk related to our debt. At September 30, 2012, we had total debt of $6.8 million.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nine months ended September 30, 2012.</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At September 30, 2012, we had wholly-owned subsidiaries in Argentina, Brazil, Cayman Islands, France, Germany, Hong Kong, India, Italy, the Netherlands, People’s Republic of China,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nine months ended September 30, 2012 were the Argentine Peso, Brazilian Real, British Pound, Chinese Yuan Renminbi, Euro, Hong Kong dollar, Indian Rupee, and Singapore dollar.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September 30, 2012, we believe that movements in foreign currency rates may have a material effect on our financial position. We estimate that if the exchange rates for the Euro, British Pound, Chinese Yuan Renminbi, Indian Rupee, and Singapore dollar relative to the U.S. dollar fluctuate 10% from September 30, 2012, net income and total cash flows in the third quarter of 2012 will fluctuate by approximately $3.2 million and $3.3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 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information set forth above under Note 10 — Commitments and Contingencies — Litigation contained in the “Notes to the Consolidated Financial Statements”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10 through 20 of the Company’s 2011 Annual Report on Form 10-K incorporated herein by reference. These factors may cause our actual results to differ materially from those stated in forward-looking statements contained in this document and elsewhere.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2012, we did not sell any equity securities that were not registered under the Securities Act of 1933.</w:t>
      </w:r>
    </w:p>
    <w:p>
      <w:pPr>
        <w:spacing w:after="0" w:line="17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At September 30, 2012, we have purchased 967,357 shares of our common stock, leaving 32,643 shares available for purchase under this authorization. On October 26, 2011, our Board of Directors authorized management to repurchase an additional 1,000,000 shares of our issued and outstanding common stock. At September 30, 2012, we have not repurchased any shares under the Board authorization approved on October 26, 2011. Repurchase information for the third quarter of 2012 is set forth by month in the following table: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7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Purchased as Part of</w:t>
            </w:r>
          </w:p>
        </w:tc>
        <w:tc>
          <w:tcPr>
            <w:tcW w:w="7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that May Yet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0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3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Publicly Announced</w:t>
            </w:r>
          </w:p>
        </w:tc>
        <w:tc>
          <w:tcPr>
            <w:tcW w:w="7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020" w:type="dxa"/>
            <w:vAlign w:val="bottom"/>
            <w:vMerge w:val="restart"/>
          </w:tcPr>
          <w:p>
            <w:pPr>
              <w:spacing w:after="0"/>
              <w:rPr>
                <w:sz w:val="12"/>
                <w:szCs w:val="12"/>
                <w:color w:val="auto"/>
              </w:rPr>
            </w:pPr>
          </w:p>
        </w:tc>
        <w:tc>
          <w:tcPr>
            <w:tcW w:w="15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of Shares</w:t>
            </w:r>
          </w:p>
        </w:tc>
        <w:tc>
          <w:tcPr>
            <w:tcW w:w="132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5"/>
              </w:rPr>
              <w:t>Price Paid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7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150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6"/>
              </w:rPr>
              <w:t>Purchased</w:t>
            </w:r>
          </w:p>
        </w:tc>
        <w:tc>
          <w:tcPr>
            <w:tcW w:w="132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w w:val="86"/>
              </w:rPr>
              <w:t>per Share</w:t>
            </w:r>
          </w:p>
        </w:tc>
        <w:tc>
          <w:tcPr>
            <w:tcW w:w="1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Programs</w:t>
            </w:r>
          </w:p>
        </w:tc>
        <w:tc>
          <w:tcPr>
            <w:tcW w:w="700" w:type="dxa"/>
            <w:vAlign w:val="bottom"/>
          </w:tcPr>
          <w:p>
            <w:pPr>
              <w:spacing w:after="0"/>
              <w:rPr>
                <w:sz w:val="14"/>
                <w:szCs w:val="14"/>
                <w:color w:val="auto"/>
              </w:rPr>
            </w:pPr>
          </w:p>
        </w:tc>
        <w:tc>
          <w:tcPr>
            <w:tcW w:w="13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1, 2012 – July 31, 2012</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5,390</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13.59</w:t>
            </w:r>
          </w:p>
        </w:tc>
        <w:tc>
          <w:tcPr>
            <w:tcW w:w="7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5,390</w:t>
            </w:r>
          </w:p>
        </w:tc>
        <w:tc>
          <w:tcPr>
            <w:tcW w:w="7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1,036,540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August 1, 2012 – August 31, 2012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2,357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14.97</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1,034,183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2012 – September 30, 2012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16.17</w:t>
            </w:r>
          </w:p>
        </w:tc>
        <w:tc>
          <w:tcPr>
            <w:tcW w:w="7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7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Total Third Quarter 2012</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9,287</w:t>
            </w:r>
          </w:p>
        </w:tc>
        <w:tc>
          <w:tcPr>
            <w:tcW w:w="6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14.37</w:t>
            </w:r>
          </w:p>
        </w:tc>
        <w:tc>
          <w:tcPr>
            <w:tcW w:w="7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7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31.1</w:t>
            </w:r>
          </w:p>
        </w:tc>
        <w:tc>
          <w:tcPr>
            <w:tcW w:w="10300" w:type="dxa"/>
            <w:vAlign w:val="bottom"/>
          </w:tcPr>
          <w:p>
            <w:pPr>
              <w:ind w:left="360"/>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31.2</w:t>
            </w: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Rule 13a-14(a) Certifications of Bryan M. Hackworth, Chief Financial Officer (principal financial officer and principal accounting officer) of</w:t>
            </w:r>
          </w:p>
        </w:tc>
      </w:tr>
      <w:tr>
        <w:trPr>
          <w:trHeight w:val="222"/>
        </w:trPr>
        <w:tc>
          <w:tcPr>
            <w:tcW w:w="680" w:type="dxa"/>
            <w:vAlign w:val="bottom"/>
          </w:tcPr>
          <w:p>
            <w:pPr>
              <w:spacing w:after="0"/>
              <w:rPr>
                <w:sz w:val="19"/>
                <w:szCs w:val="19"/>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Universal Electronics Inc.</w:t>
            </w:r>
          </w:p>
        </w:tc>
      </w:tr>
    </w:tbl>
    <w:p>
      <w:pPr>
        <w:spacing w:after="0" w:line="102" w:lineRule="exact"/>
        <w:rPr>
          <w:sz w:val="20"/>
          <w:szCs w:val="20"/>
          <w:color w:val="auto"/>
        </w:rPr>
      </w:pPr>
    </w:p>
    <w:p>
      <w:pPr>
        <w:ind w:left="1040" w:hanging="1032"/>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420"/>
          </w:cols>
          <w:pgMar w:left="240" w:top="459" w:right="23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680" w:space="360"/>
            <w:col w:w="103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740" w:space="300"/>
            <w:col w:w="103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760" w:space="280"/>
            <w:col w:w="103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140" w:lineRule="exact"/>
        <w:rPr>
          <w:sz w:val="20"/>
          <w:szCs w:val="20"/>
          <w:color w:val="auto"/>
        </w:rPr>
      </w:pPr>
    </w:p>
    <w:p>
      <w:pPr>
        <w:sectPr>
          <w:pgSz w:w="11900" w:h="16838" w:orient="portrait"/>
          <w:cols w:equalWidth="0" w:num="2">
            <w:col w:w="740" w:space="300"/>
            <w:col w:w="103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40" w:lineRule="exact"/>
        <w:rPr>
          <w:sz w:val="20"/>
          <w:szCs w:val="20"/>
          <w:color w:val="auto"/>
        </w:rPr>
      </w:pPr>
    </w:p>
    <w:p>
      <w:pPr>
        <w:sectPr>
          <w:pgSz w:w="11900" w:h="16838" w:orient="portrait"/>
          <w:cols w:equalWidth="0" w:num="2">
            <w:col w:w="760" w:space="280"/>
            <w:col w:w="103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720" w:space="320"/>
            <w:col w:w="10380"/>
          </w:cols>
          <w:pgMar w:left="240" w:top="459" w:right="239" w:bottom="1440" w:gutter="0" w:footer="0" w:header="0"/>
          <w:type w:val="continuous"/>
        </w:sectPr>
      </w:pPr>
    </w:p>
    <w:p>
      <w:pPr>
        <w:ind w:left="220" w:right="280" w:hanging="212"/>
        <w:spacing w:after="0" w:line="25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8, 2012</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principal accounting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240" w:top="459" w:right="7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560" w:type="dxa"/>
            <w:vAlign w:val="bottom"/>
            <w:gridSpan w:val="3"/>
          </w:tcPr>
          <w:p>
            <w:pPr>
              <w:ind w:left="44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81"/>
        </w:trPr>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500" w:type="dxa"/>
            <w:vAlign w:val="bottom"/>
          </w:tcPr>
          <w:p>
            <w:pPr>
              <w:spacing w:after="0"/>
              <w:rPr>
                <w:sz w:val="15"/>
                <w:szCs w:val="15"/>
                <w:color w:val="auto"/>
              </w:rPr>
            </w:pPr>
          </w:p>
        </w:tc>
      </w:tr>
      <w:tr>
        <w:trPr>
          <w:trHeight w:val="209"/>
        </w:trPr>
        <w:tc>
          <w:tcPr>
            <w:tcW w:w="460" w:type="dxa"/>
            <w:vAlign w:val="bottom"/>
          </w:tcPr>
          <w:p>
            <w:pPr>
              <w:jc w:val="right"/>
              <w:ind w:right="22"/>
              <w:spacing w:after="0" w:line="202" w:lineRule="exact"/>
              <w:rPr>
                <w:sz w:val="20"/>
                <w:szCs w:val="20"/>
                <w:color w:val="auto"/>
              </w:rPr>
            </w:pPr>
            <w:r>
              <w:rPr>
                <w:rFonts w:ascii="Arial" w:cs="Arial" w:eastAsia="Arial" w:hAnsi="Arial"/>
                <w:sz w:val="18"/>
                <w:szCs w:val="18"/>
                <w:color w:val="auto"/>
                <w:w w:val="96"/>
              </w:rPr>
              <w:t>31.1</w:t>
            </w:r>
          </w:p>
        </w:tc>
        <w:tc>
          <w:tcPr>
            <w:tcW w:w="10560" w:type="dxa"/>
            <w:vAlign w:val="bottom"/>
            <w:gridSpan w:val="3"/>
          </w:tcPr>
          <w:p>
            <w:pPr>
              <w:ind w:left="620"/>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309"/>
        </w:trPr>
        <w:tc>
          <w:tcPr>
            <w:tcW w:w="460" w:type="dxa"/>
            <w:vAlign w:val="bottom"/>
          </w:tcPr>
          <w:p>
            <w:pPr>
              <w:jc w:val="right"/>
              <w:ind w:right="22"/>
              <w:spacing w:after="0"/>
              <w:rPr>
                <w:sz w:val="20"/>
                <w:szCs w:val="20"/>
                <w:color w:val="auto"/>
              </w:rPr>
            </w:pPr>
            <w:r>
              <w:rPr>
                <w:rFonts w:ascii="Arial" w:cs="Arial" w:eastAsia="Arial" w:hAnsi="Arial"/>
                <w:sz w:val="18"/>
                <w:szCs w:val="18"/>
                <w:color w:val="auto"/>
                <w:w w:val="96"/>
              </w:rPr>
              <w:t>31.2</w:t>
            </w:r>
          </w:p>
        </w:tc>
        <w:tc>
          <w:tcPr>
            <w:tcW w:w="10560" w:type="dxa"/>
            <w:vAlign w:val="bottom"/>
            <w:gridSpan w:val="3"/>
          </w:tcPr>
          <w:p>
            <w:pPr>
              <w:ind w:left="620"/>
              <w:spacing w:after="0"/>
              <w:rPr>
                <w:sz w:val="20"/>
                <w:szCs w:val="20"/>
                <w:color w:val="auto"/>
              </w:rPr>
            </w:pPr>
            <w:r>
              <w:rPr>
                <w:rFonts w:ascii="Arial" w:cs="Arial" w:eastAsia="Arial" w:hAnsi="Arial"/>
                <w:sz w:val="18"/>
                <w:szCs w:val="18"/>
                <w:color w:val="auto"/>
                <w:w w:val="91"/>
              </w:rPr>
              <w:t>Rule 13a-14(a) Certifications of Bryan M. Hackworth, Chief Financial Officer (principal financial officer and principal accounting officer) of</w:t>
            </w:r>
          </w:p>
        </w:tc>
      </w:tr>
      <w:tr>
        <w:trPr>
          <w:trHeight w:val="222"/>
        </w:trPr>
        <w:tc>
          <w:tcPr>
            <w:tcW w:w="460" w:type="dxa"/>
            <w:vAlign w:val="bottom"/>
          </w:tcPr>
          <w:p>
            <w:pPr>
              <w:spacing w:after="0"/>
              <w:rPr>
                <w:sz w:val="19"/>
                <w:szCs w:val="19"/>
                <w:color w:val="auto"/>
              </w:rPr>
            </w:pPr>
          </w:p>
        </w:tc>
        <w:tc>
          <w:tcPr>
            <w:tcW w:w="10560" w:type="dxa"/>
            <w:vAlign w:val="bottom"/>
            <w:gridSpan w:val="3"/>
          </w:tcPr>
          <w:p>
            <w:pPr>
              <w:ind w:left="620"/>
              <w:spacing w:after="0"/>
              <w:rPr>
                <w:sz w:val="20"/>
                <w:szCs w:val="20"/>
                <w:color w:val="auto"/>
              </w:rPr>
            </w:pPr>
            <w:r>
              <w:rPr>
                <w:rFonts w:ascii="Arial" w:cs="Arial" w:eastAsia="Arial" w:hAnsi="Arial"/>
                <w:sz w:val="18"/>
                <w:szCs w:val="18"/>
                <w:color w:val="auto"/>
              </w:rPr>
              <w:t>Universal Electronics Inc.</w:t>
            </w:r>
          </w:p>
        </w:tc>
      </w:tr>
    </w:tbl>
    <w:p>
      <w:pPr>
        <w:spacing w:after="0" w:line="102" w:lineRule="exact"/>
        <w:rPr>
          <w:sz w:val="20"/>
          <w:szCs w:val="20"/>
          <w:color w:val="auto"/>
        </w:rPr>
      </w:pPr>
    </w:p>
    <w:p>
      <w:pPr>
        <w:ind w:left="1260" w:hanging="1032"/>
        <w:spacing w:after="0" w:line="259"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340"/>
          </w:cols>
          <w:pgMar w:left="240" w:top="459" w:right="31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680" w:space="58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740" w:space="52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760" w:space="50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140" w:lineRule="exact"/>
        <w:rPr>
          <w:sz w:val="20"/>
          <w:szCs w:val="20"/>
          <w:color w:val="auto"/>
        </w:rPr>
      </w:pPr>
    </w:p>
    <w:p>
      <w:pPr>
        <w:sectPr>
          <w:pgSz w:w="11900" w:h="16838" w:orient="portrait"/>
          <w:cols w:equalWidth="0" w:num="2">
            <w:col w:w="740" w:space="52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40" w:lineRule="exact"/>
        <w:rPr>
          <w:sz w:val="20"/>
          <w:szCs w:val="20"/>
          <w:color w:val="auto"/>
        </w:rPr>
      </w:pPr>
    </w:p>
    <w:p>
      <w:pPr>
        <w:sectPr>
          <w:pgSz w:w="11900" w:h="16838" w:orient="portrait"/>
          <w:cols w:equalWidth="0" w:num="2">
            <w:col w:w="760" w:space="50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720" w:space="540"/>
            <w:col w:w="10080"/>
          </w:cols>
          <w:pgMar w:left="240" w:top="459" w:right="319" w:bottom="1440" w:gutter="0" w:footer="0" w:header="0"/>
          <w:type w:val="continuous"/>
        </w:sectPr>
      </w:pPr>
    </w:p>
    <w:p>
      <w:pPr>
        <w:ind w:left="220" w:right="200" w:hanging="212"/>
        <w:spacing w:after="0" w:line="25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00" w:firstLine="443"/>
        <w:spacing w:after="0" w:line="332" w:lineRule="auto"/>
        <w:tabs>
          <w:tab w:leader="none" w:pos="108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0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00" w:firstLine="443"/>
        <w:spacing w:after="0" w:line="332" w:lineRule="auto"/>
        <w:tabs>
          <w:tab w:leader="none" w:pos="108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07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2012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November 8, 2012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32"/>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32"/>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2019-12-09T08:21:16Z</dcterms:created>
  <dcterms:modified xsi:type="dcterms:W3CDTF">2019-12-09T08:21:16Z</dcterms:modified>
</cp:coreProperties>
</file>