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364" w:lineRule="exact"/>
        <w:rPr>
          <w:sz w:val="20"/>
          <w:szCs w:val="20"/>
          <w:color w:val="auto"/>
        </w:rPr>
      </w:pPr>
    </w:p>
    <w:p>
      <w:pPr>
        <w:sectPr>
          <w:pgSz w:w="11900" w:h="16838" w:orient="portrait"/>
          <w:cols w:equalWidth="0" w:num="4">
            <w:col w:w="1840" w:space="720"/>
            <w:col w:w="1520" w:space="720"/>
            <w:col w:w="3760" w:space="720"/>
            <w:col w:w="210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13,982,924 shares of Common Stock, par value $0.01 per share, of the registrant were outstanding on November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830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6.</w:t>
              </w:r>
            </w:hyperlink>
          </w:p>
        </w:tc>
        <w:tc>
          <w:tcPr>
            <w:tcW w:w="10100" w:type="dxa"/>
            <w:vAlign w:val="bottom"/>
            <w:gridSpan w:val="16"/>
          </w:tcPr>
          <w:p>
            <w:pPr>
              <w:ind w:lef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75,860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60,612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40,549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182,455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10,782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5,145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3,076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57,185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439"/>
        </w:trPr>
        <w:tc>
          <w:tcPr>
            <w:tcW w:w="8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$0.01 par value, 50,000,000 shares authorized; 18,677,378 and 18,547,019 shares issued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2008 and December 31, 2007,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119,329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225,287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214,355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w w:val="94"/>
              </w:rPr>
              <w:t>Less cost of common stock in treasury, 4,871,965 and 3,975,439 shares at September 30, 2008 and 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2007,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(67,420)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157,867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215,052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76,532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208,407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51,604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43,224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137,532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131,754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24,928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25,737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70,875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74,704</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6,302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17,033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17,393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49,611</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5,910</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12,950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6,352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(2,347)</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(5,389)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9,973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13,919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14,508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14,144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14,420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15,280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9,973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4,365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(benefit)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9,346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(5,861)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(21,565)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(20,245)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(2,789)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(10,750)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18,423</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86,610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66,075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75,860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84,498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2008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Consolidated Financial Statements and notes thereto included in Items 1A, 7, 7A, and 8, respectively, of our Annual Report on Form 10-K for the fiscal year ended December 31,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contingent assets and liabilities and revenues and expenses during the reporting period. On an on-going basis, we evaluate our estimates and judgments, including those related to revenue recognition, allowance for sales returns and doubtful accounts, warranties, inventory valuation, our review for impairment of long-lived assets, intangible assets and goodwill, income taxes and stock-based compensation expense. Actual results may differ from these judgments, estimates and assumptions, and they may be adjusted as more information becomes available. Any adjustment may be significant.</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accounting policy for revenue recognition is included below. See Note 1 to the consolidated financial statements included in our Annual Report on Form 10-K for the year ended December 31, 2007 for a summary of the remainder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recognize revenue on the sale of products when delivery has occurred, there is persuasive evidence of an arrangement, the sales price is fixed or determinable and collectibility is reasonably assured. 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4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allowances reduce gross accounts receivable to arrive at accounts receivable, net in the same period the related receivable is recorded. We have no obligations after delivery of our products other than the associated warranties (see Note 15).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generate service revenue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may from time to time initiate the sale or license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collectibility is reasonably assured. We record license revenue when our customers’ ship products incorporating our intellectual property, persuasive evidence of an arrangement exist, the sales price is fixed or determinable, and collectibility is reasonably assured.</w:t>
      </w:r>
    </w:p>
    <w:p>
      <w:pPr>
        <w:spacing w:after="0" w:line="5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the undelivered elements, but not for the delivered element. This is performed by allocating revenue to the undelivered elements (that have VSOE) and the residual revenue, net of any discounts,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recognize service revenue involving the significant production, modification or customization of software in accordance with SOP 81-1, “Accounting for Performance of Construction-Type and Certain Production-Type Contracts”. We recognize revenue and profit as work progresses on these long-term, fixed price contracts using the percentage-of-completion method. When applying the percentage-of-completion method, we rely on estimates of total expected contract revenue and total labor hours which are provided by our project managers. We follow this method because reasonably dependable estimates of the revenue and labor applicable to various stages of these contracts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accordance with EITF Issue 06-3, “How Taxes Collected from Customers and Remitted to Governmental Authorities Should Be Presented in the Income Statement (That Is, Gross versus Net Presentation)”, we present all non-income government-assessed taxes collected from our customers (including sales, use and value added taxes) on a net basis and, as such, are recorded in other accrued expenses until they are remitted to the applicable governmental authority.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September 2006, the FASB issued SFAS 157, “Fair Value Measurements”, which defines fair value, establishes a framework for measuring fair value in accordance with generally accepted accounting principles in the United States of America,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In February 2008, the FASB issued their first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In addition, in February 2008, the FASB issued their second Staff Position for SFAS 157 (“FSP FAS 157-2”), which delays the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The adoption of SFAS 157 did not have a material effect on our consolidated results of operations and financial condition during the nine months ended September 30, 2008 (see Note 14 for related disclosure). In addition, we do not believe that the adoption of FSP FAS 157-2 will have a material effect on our consolidated results of operations and financial condition.</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The adoption of SFAS 159 did not have a material effect on our consolidated results of operations and financial condition during the nine months ended September 30, 2008.</w:t>
      </w:r>
    </w:p>
    <w:p>
      <w:pPr>
        <w:spacing w:after="0" w:line="7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We did not have any arrangements with advance payments and therefore the adoption of EITF 07-3 did not have a material effect on our consolidated financial position, results of operations or cash flows for the periods presented.</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 material effect on our financial statements; however, the effect is dependent upon whether we make any future acquisitions and the specific attributes of those acquisitions.</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and third parties in the arrangement.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 material effect on our consolidated results of operations and financial condition.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“Consolidated Financial Statements,” by defining a new term — noncontrolling interests — 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do not believe that the adoption of SFAS 160 will have a material effect on our financial statements as we do not have any noncontrolling equity interests of a consolidated subsidiary.</w:t>
      </w:r>
    </w:p>
    <w:p>
      <w:pPr>
        <w:spacing w:after="0" w:line="7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7"/>
          <w:szCs w:val="17"/>
          <w:i w:val="1"/>
          <w:iCs w:val="1"/>
          <w:color w:val="auto"/>
        </w:rPr>
        <w:t>,</w:t>
      </w:r>
      <w:r>
        <w:rPr>
          <w:rFonts w:ascii="Arial" w:cs="Arial" w:eastAsia="Arial" w:hAnsi="Arial"/>
          <w:sz w:val="17"/>
          <w:szCs w:val="17"/>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January 1, 2009. The adoption of SFAS 161 did not have a material effect on our consolidated results of operations and financial condition during the nine months ended September 30, 2008.</w:t>
      </w:r>
    </w:p>
    <w:p>
      <w:pPr>
        <w:spacing w:after="0" w:line="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April 2008, the FASB issued Staff Position 142-3 “Determination of the Useful Life of Intangible Assets” (“FSP FAS 142-3”). FSP FAS 142-3 amends the factors that should be considered while developing renewal or extension assumptions to be utilized when determining the useful life of a recognized intangible asset under SFAS No. 142, “Goodwill and Other Intangible Assets.” The intent of this FSP is to improve the consistency between the useful life of a recognized intangible asset under Statement 142 and the period of expected cash flows used to measure the fair value of the asset under FASB Statement No. 141 (revised 2007), “Business Combinations”, and other U.S. GAAP. The FSP FAS 142-3 requirements will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SFAS 162 identifies the sources of accounting principles and the framework for selecting the principles used in the preparation of financial statements of nongovernmental entities that are presented in conformity with accounting principles generally accepted in the United States (the GAAP hierarchy). SFAS 162 will become effective for us during the fourth quarter of 2008. We do not expect the adoption of SFAS 162 to have a material effect on our consolidated results of operations and financial condition.</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2008, the FASB issued a Staff Position on EITF 03-6,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under FASB Statement No. 128, “Earnings per Share”. EITF 03-6-1 is effective for financial statements issued for fiscal years and interim periods beginning after December 15, 2008 and should be applied retrospectively to all prior periods. Early adoption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is prohibited. FSP EITF 03-6-1 is effective for us beginning January 1, 2009. We do not expect the adoption of FSP EITF 03-6-1 to have a material effect on our consolidated results of operations and financial condition.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2008, the FASB ratified EITF Issue No. 08-3, “Accounting for Lessees for Maintenance Deposits Under Lease Arrangements” (EITF 08-3). EITF 08-3 provides guidance for accounting for nonrefundable maintenance deposits. It also provides revenue recognition accounting guidance for the lessor. EITF 08-3 is effective for fiscal years beginning after December 15, 2008. The implementation of this standard is not expected to have a material effect on our consolidated financial position and results of operations.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2008, the FASB issued FSP 133-1 and FIN 45-4, “Disclosures about Credit Derivatives and Certain Guarantees: An Amendment of FASB Statement No. 133 and FASB Interpretation No. 45; and Clarification of the Effective Date of FASB Statement No. 161” (FSP 133-1 and FIN 45-4). FSP 133-1 and FIN 45-4 amends and enhances disclosure requirements for sellers of credit derivatives and financial guarantees. It also clarifies that the disclosure requirements of SFAS No. 161 are effective for quarterly periods beginning after November 15, 2008, and fiscal years that include those periods. FSP 133-1 and FIN 45-4 is effective for reporting periods (annual or interim) ending after November 15, 2008. The implementation of this standard is not expected to have a material effect on our consolidated financial position and results of operations.</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October 2008, the FASB issued FSP 157-3 “Determining Fair Value of a Financial Asset in a Market That Is Not Active” (FSP 157-3). FSP 157-3 clarified the application of SFAS 157 in an inactive market and demonstrates how the fair value of a financial asset is determined when the market for that financial asset is inactive. FSP 157-3 was effective upon issuance, including prior periods for which financial statements had not been issued. The implementation of this standard did not have a material effect on our consolidated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account for our stock-based compensation plans under SFAS No. 123R, “Share-Based Payment” (“SFAS 123R”). Stock-based compensation expense for each employee and director is presented in the same income statement caption as their cash compensation. We recorded $1.0 million and $1.1 million of total pre-tax stock-based compensation expense during the three months ended September 30, 2008 and 2007, respectively. Selling, general and administrative expense (“SG&amp;A”) includes pre-tax stock-based compensation related to restricted stock awards granted to outside directors of $0.1 million and $0.2 million for the three months ended September 30, 2008 and 2007, respectively.</w:t>
      </w:r>
    </w:p>
    <w:p>
      <w:pPr>
        <w:spacing w:after="0" w:line="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recorded $3.3 million and $2.6 million of total pre-tax stock-based compensation expense during the nine months ended September 30, 2008 and 2007, respectively. SG&amp;A includes pre-tax stock-based compensation expense related to restricted stock awards granted to outside directors of $0.5 million and $0.5 million for the nine months ended September 30, 2008 and 2007, respectively.</w:t>
      </w:r>
    </w:p>
    <w:p>
      <w:pPr>
        <w:spacing w:after="0" w:line="7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During the first quarter of 2008, as part of our annual compensation review cycle, the Compensation Committee of the Board of Directors granted 115,926 shares of restricted stock to our executives under the 2006 Stock Incentive Plan. These awards were granted to assist us in meeting our performance and retention objectives. Each executive’s grant is subject to a three-year vesting period. In accordance with SFAS 123R, 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 The stock-based compensation expense included in SG&amp;A related to this award was $0.3 million and $0.7 million for the three and nine months ended September 30, 2008,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under SFAS 123R from the recognition of stock-based compensation for the three and nine months ended September 30, 2008 was</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$0.1 million and $0.6 million, respectively. The income tax benefit under SFAS 123R from the recognition of stock-based compensation for the three and nine months ended September 30, 2007 was $0.3 million and $0.7 million, respectively.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by income statement caption for the three and nine months ended September 30, 2008 and 2007 was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estimate the fair value of stock option awards using the Black-Scholes option pricing model utilizing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26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6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860" w:type="dxa"/>
            <w:vAlign w:val="bottom"/>
          </w:tcPr>
          <w:p>
            <w:pPr>
              <w:spacing w:after="0"/>
              <w:rPr>
                <w:sz w:val="12"/>
                <w:szCs w:val="12"/>
                <w:color w:val="auto"/>
              </w:rPr>
            </w:pPr>
          </w:p>
        </w:tc>
        <w:tc>
          <w:tcPr>
            <w:tcW w:w="104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1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2007</w:t>
            </w:r>
            <w:r>
              <w:rPr>
                <w:rFonts w:ascii="Arial" w:cs="Arial" w:eastAsia="Arial" w:hAnsi="Arial"/>
                <w:sz w:val="12"/>
                <w:szCs w:val="12"/>
                <w:b w:val="1"/>
                <w:bCs w:val="1"/>
                <w:color w:val="auto"/>
              </w:rPr>
              <w:t>(1)</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$ 8.75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$ 9.07</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$11.73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4.58%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41.50%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7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39.06%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tcPr>
          <w:p>
            <w:pPr>
              <w:jc w:val="right"/>
              <w:ind w:right="238"/>
              <w:spacing w:after="0"/>
              <w:rPr>
                <w:sz w:val="20"/>
                <w:szCs w:val="20"/>
                <w:color w:val="auto"/>
              </w:rPr>
            </w:pPr>
            <w:r>
              <w:rPr>
                <w:rFonts w:ascii="Arial" w:cs="Arial" w:eastAsia="Arial" w:hAnsi="Arial"/>
                <w:sz w:val="18"/>
                <w:szCs w:val="18"/>
                <w:color w:val="auto"/>
              </w:rPr>
              <w:t>5.14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8"/>
              <w:spacing w:after="0"/>
              <w:rPr>
                <w:sz w:val="20"/>
                <w:szCs w:val="20"/>
                <w:color w:val="auto"/>
              </w:rPr>
            </w:pPr>
            <w:r>
              <w:rPr>
                <w:rFonts w:ascii="Arial" w:cs="Arial" w:eastAsia="Arial" w:hAnsi="Arial"/>
                <w:sz w:val="18"/>
                <w:szCs w:val="18"/>
                <w:color w:val="auto"/>
              </w:rPr>
              <w:t>4.74</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right="4160" w:firstLine="8"/>
        <w:spacing w:after="0" w:line="483" w:lineRule="auto"/>
        <w:tabs>
          <w:tab w:leader="none" w:pos="446" w:val="left"/>
        </w:tabs>
        <w:numPr>
          <w:ilvl w:val="0"/>
          <w:numId w:val="3"/>
        </w:numPr>
        <w:rPr>
          <w:rFonts w:ascii="Arial" w:cs="Arial" w:eastAsia="Arial" w:hAnsi="Arial"/>
          <w:sz w:val="14"/>
          <w:szCs w:val="14"/>
          <w:color w:val="auto"/>
        </w:rPr>
      </w:pPr>
      <w:r>
        <w:rPr>
          <w:rFonts w:ascii="Arial" w:cs="Arial" w:eastAsia="Arial" w:hAnsi="Arial"/>
          <w:sz w:val="16"/>
          <w:szCs w:val="16"/>
          <w:color w:val="auto"/>
        </w:rPr>
        <w:t>The fair value calculation was based on stock options granted during each respective period. Stock option activity during the nine months ended and as of September 30, 2008 was the following:</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76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88"/>
              </w:rPr>
              <w:t>1,739</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$16.83</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140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23.45</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10.64</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3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24.54</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36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1,753</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$17.54</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5.26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7"/>
              </w:rPr>
              <w:t>14,000</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Vested and expected to vest at September 30, 2008</w:t>
            </w:r>
          </w:p>
        </w:tc>
        <w:tc>
          <w:tcPr>
            <w:tcW w:w="760" w:type="dxa"/>
            <w:vAlign w:val="bottom"/>
            <w:gridSpan w:val="2"/>
          </w:tcPr>
          <w:p>
            <w:pPr>
              <w:jc w:val="center"/>
              <w:ind w:left="277"/>
              <w:spacing w:after="0"/>
              <w:rPr>
                <w:sz w:val="20"/>
                <w:szCs w:val="20"/>
                <w:color w:val="auto"/>
              </w:rPr>
            </w:pPr>
            <w:r>
              <w:rPr>
                <w:rFonts w:ascii="Arial" w:cs="Arial" w:eastAsia="Arial" w:hAnsi="Arial"/>
                <w:sz w:val="18"/>
                <w:szCs w:val="18"/>
                <w:color w:val="auto"/>
                <w:w w:val="88"/>
              </w:rPr>
              <w:t>1,705</w:t>
            </w:r>
          </w:p>
        </w:tc>
        <w:tc>
          <w:tcPr>
            <w:tcW w:w="380" w:type="dxa"/>
            <w:vAlign w:val="bottom"/>
          </w:tcPr>
          <w:p>
            <w:pPr>
              <w:spacing w:after="0"/>
              <w:rPr>
                <w:sz w:val="24"/>
                <w:szCs w:val="24"/>
                <w:color w:val="auto"/>
              </w:rPr>
            </w:pP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$17.30</w:t>
            </w:r>
          </w:p>
        </w:tc>
        <w:tc>
          <w:tcPr>
            <w:tcW w:w="144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5.17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87"/>
              </w:rPr>
              <w:t>13,938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2008</w:t>
            </w:r>
          </w:p>
        </w:tc>
        <w:tc>
          <w:tcPr>
            <w:tcW w:w="76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88"/>
              </w:rPr>
              <w:t>1,276</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$15.19</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1"/>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7"/>
              </w:rPr>
              <w:t>12,724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aggregate intrinsic value in the table above represents the total pre-tax intrinsic value that option holders would have received had all option holders exercised their options on September 30, 2008. The aggregate intrinsic value is the difference between the closing price of Universal Electronics Inc.’s common stock on the last trading day of the third quarter of 2008 and the option exercise price, multiplied by the number of the in-the-money options. The total intrinsic value of options exercised for the three and nine months ended September 30, 2008 was $0.7 million and $1.4 million, respectively. The total intrinsic value of options exercised for the three and nine months ended September 30, 2007 was $2.8 million and $10.7 million, respectively.</w:t>
      </w:r>
    </w:p>
    <w:p>
      <w:pPr>
        <w:spacing w:after="0" w:line="5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September 30, 2008, there was $3.4 million of unrecognized pre-tax stock-based compensation expense related to non-vested stock options, which we expect to recognize over a weighted-average life of 2.3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activity during the nine months ended and as of September 30, 2008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142</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As of September 30, 2008, we expect to recognize $2.4 million in unrecognized pre-tax compensation expense related to non-vested restricted stock awards over a weighted-average life of 2.0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Cash and cash equivalents include cash accounts and all investments purchased with initial maturities of three months or less. We maintain cash and cash equivalents with various financial institutions located in many different geographic regions. We attempt to mitigate our exposure to interest rate, liquidity, credit and other relevant risks by placing our cash and cash equivalents with financial institutions we believe are high quality.</w:t>
      </w:r>
    </w:p>
    <w:p>
      <w:pPr>
        <w:spacing w:after="0" w:line="5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At September 30, 2008, we had approximately $8.6 million, $67.0 million, and $0.3 million of cash and cash equivalents in the United States, Europe, and Asia, respectively. At December 31, 2007, we had approximately $12.2 million, $74.3 million, and $0.1 million of cash and cash equivalents in the United States, Europe, and Asia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64,895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63,528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(2,169)</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(2,330)</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(2,129)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60,597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59,716</w:t>
            </w:r>
          </w:p>
        </w:tc>
        <w:tc>
          <w:tcPr>
            <w:tcW w:w="180" w:type="dxa"/>
            <w:vAlign w:val="bottom"/>
          </w:tcPr>
          <w:p>
            <w:pPr>
              <w:spacing w:after="0"/>
              <w:rPr>
                <w:sz w:val="19"/>
                <w:szCs w:val="19"/>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r>
              <w:rPr>
                <w:rFonts w:ascii="Arial" w:cs="Arial" w:eastAsia="Arial" w:hAnsi="Arial"/>
                <w:sz w:val="15"/>
                <w:szCs w:val="15"/>
                <w:color w:val="auto"/>
              </w:rPr>
              <w:t>(1)</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18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receivables as of December 31, 2007 consisted primarily of a tenant improvement allowance provided by our landlord for the renovation and expansion of our corporate headquarters in Cypress, California. Construction was completed during the first quarter of 2008 and the tenant improvement allowance was collected in the third quarter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and nine months ended September 30, 2008 and 2007, we had net sales to two significant customers that each amounted to more than 10% of our total net sales.</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sales to the first significant customer, when combined with its sub-contractors, totaled $16.7 million and $11.5 million, accounting for 21.9% and 16.7% of our total net sales, for the three months ended September 30, 2008 and 2007, respectively. Combined net sales made to this customer during the nine months ended September 30, 2008 and 2007 amounted to $39.8 million and $34.5 million, or 19.1% and 16.7% of our total net sales, respectively. Trade receivables with this customer and its sub-contractors amounted to $7.1 million and $7.9 million, or 11.7% and 13.3% of our net trade receivable at September 30, 2008 and December 31, 2007,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Net sales to our second significant customer totaled $10.1 million and $8.8 million, accounting for 13.2% and 12.8% of our total net sales, for the three months ended September 30, 2008 and 2007, respectively. Net sales made to this customer during the nine months ended September 30, 2008 and 2007 amounted to $21.6 million and $31.4 million, representing 10.3% and 15.2% of our total net sales, respectively. Trade receivables with this customer amounted to $3.2 million and $2.3 million, or 5.3% and 3.8% of our net trade receivable at September 30, 2008 and December 31, 2007, respectively.</w:t>
      </w:r>
    </w:p>
    <w:p>
      <w:pPr>
        <w:spacing w:after="0" w:line="4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loss of these customers or any other customers, either in the United States or abroad, due to their financial weakness or bankruptcy, or our inability to obtain orders or maintain order volume with them, may have a material adverse effect on our financial condition, results of operations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Inventories consist of remote controls, audio-video accessories and the related component parts.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w:t>
      </w:r>
    </w:p>
    <w:p>
      <w:pPr>
        <w:spacing w:after="0" w:line="3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its estimated market value. These estimates are based upon management’s judgment about future demand and market conditions. If actual market conditions are less favorable than those projected by management, additional write-downs may be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33,354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29,982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inventory balance is a result of higher expected sales in the fourth quarter of 2008 compared to the first quarter of 2008.</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three months ended September 30, 2008 and 2007, inventory write-downs totaled $0.7 million and $0.6 million, respectively. During the nine months ended September 30, 2008 and 2007, inventory write-downs totaled $1.7 million and $1.6 million, respectively. Inventory write-downs are a normal part of our business and result primarily from product life cycle estimation variances.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(“IC”), used principally in our wireless control products, from two main sources. Purchases from one of these suppliers amounted to more than 10% of total inventory purchases. Purchases from this supplier amounted to $7.2 million and $7.9 million, representing 14.2% and 18.5% of total inventory purchases for the three months ended September 30, 2008 and 2007, respectively. Purchases from this supplier amounted to $21.1 million and $18.6 million, representing 15.6% and 15.6% of total inventory purchases for the nine months ended September 30, 2008 and 2007, respectively. Accounts payable with this supplier amounted to $3.6 million and $3.2 million, representing 9.6% and 9.7% of total accounts payable at September 30, 2008 and December 31, 2007, respectively.</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and nine months ended September 30, 2008 and 2007, purchases from two of our component and finished good suppliers amounted to more than 10% of total inventory purchases. Purchases from these two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suppliers amounted to $14.1 million and $9.7 million, representing 27.8% and 19.2%, respectively, of total inventory purchases for the three months ended September 30, 2008. During the three months ended September 30, 2007 purchases from the two suppliers amounted to $12.4 million and $8.3 million, representing 29.1% and 19.6%, respectively, of total inventory purchases. During the nine months ended September 30, 2008 purchases from these two suppliers amounted to $38.9 million and $22.8 million, representing 28.8% and 16.9%, respectively, of total inventory purchases. During the same period last year, purchases from these two suppliers amounted to $33.6 million and $22.7 million, representing 28.2% and 19.0%, respectively, of total inventory purchases. Accounts payable with these component and finished suppliers amounted to $10.8 million and $9.8 million, representing 28.8% and 26.2%, respectively, of total accounts payable at September 30, 2008. At December 31, 2007, accounts payable with the same suppliers amounted to $10.8 million and $6.3 million, representing 32.6% and 19.1%, respectively, of total accounts payable.</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our estimated annual effective tax rate to determine our provision for income taxes for interim periods. We recorded income tax expense of</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$2.3 million for the three months ended September 30, 2008 compared to $2.3 million for the same period last year. Our estimated effective tax rate was 37.0% and 31.4% during the three months ended September 30, 2008 and 2007, respectively. We recorded income tax expense of $5.4 million for the nine months ended September 30, 2008 compared to $6.7 million for the same period last year. Our estimated effective tax rate was 35.1% and 32.1% during the nine months ended September 30, 2008 and 2007, respectively. The increase in our effective tax rate is due primarily to the expiration of the federal research and development tax credit at the end of 2007 which has not been reenacted as of September 30, 2008. In addition, a higher percentage of our income was earned in higher tax rate jurisdictions.</w:t>
      </w:r>
    </w:p>
    <w:p>
      <w:pPr>
        <w:spacing w:after="0" w:line="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January 1, 2007, we adopted the provisions of FASB Interpretation 48, “Accounting for Uncertainty in Income Taxes- an interpretation of FASB Statement No. 109” (“FIN 48”). As a result of the implementation of FIN 48, we recognized a $0.2 million increase in the liability for unrecognized tax benefits, which was accounted for as a reduction to the January 1, 2007 balance of retained earnings. We also recognized a decrease of $0.3 million in other comprehensive income related to foreign currency translation as of December 31, 2007. At September 30, 2008, we had gross unrecognized tax benefits of approximately $9.1 million, including interest and penalties, of which approximately $7.5 million of this amount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$0.5 million within the next twelve months.</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September 30, 2008, approximately $5.0 million of gross unrecognized tax benefits plus related interest of $0.9 million are classified as short term in accrued income taxes as prescribed by FIN 48 because we anticipate the payment of cash will be within the next twelve months. This unrecognized tax benefit relates to a foreign currency loss claimed on our Netherlands tax return for the years ended 2002 and 2003. We are currently under audit by the Dutch tax authorities and we expect this issue to be resolved within the next twelve months. Most of the remaining gross unrecognized tax benefits are attributable to U.S. income taxes and are classified as long-term income taxes payable.</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FIN 48, we have elected to classify interest and penalties as components of tax expense. Accrued interest and penalties were $1.0 million at December 31, 2007 and $1.2 million at September 30, 2008 and are included in the unrecognized tax benefits.</w:t>
      </w:r>
    </w:p>
    <w:p>
      <w:pPr>
        <w:spacing w:after="0" w:line="6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file income tax returns in the U.S. federal jurisdiction, and various state and foreign jurisdictions. As of September 30, 2008, the open statutes of limitations in our significant tax jurisdictions are as follows: federal 2005 through 2007, state 2003 through 2007 and non-U.S. 2001 through 2007.</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Basic earnings per share is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September 30, 2008 and 2007, we have excluded 417,492 and 302,250 stock options, respectively, with exercise prices greater than the average market price of the underlying common stock, because their inclusion would have been antidilutive. In the computation of diluted earnings per common share for the nine months ended September 30, 2008 and 2007, we have excluded 396,036 and 204,125 stock options, respectively, with exercise prices greater than the average market price of the underlying common stock, because their inclusion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and nine months ended September 30, 2008 and 2007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ind w:left="33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BASI</w:t>
            </w:r>
            <w:r>
              <w:rPr>
                <w:rFonts w:ascii="Arial" w:cs="Arial" w:eastAsia="Arial" w:hAnsi="Arial"/>
                <w:sz w:val="18"/>
                <w:szCs w:val="18"/>
                <w:color w:val="auto"/>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4,005</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4,915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9,973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14,144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14,358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4,005</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4,915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9,973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13,919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14,508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14,144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15,280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14,643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15,149</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ind w:left="33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2"/>
              </w:rPr>
              <w:t>(11,514)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6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foreign currency translation loss of $11.5 million and $3.9 million for the three and nine months ended September 30, 2008, respectively, was due to the strengthening of the U.S. dollar against the Euro. The foreign currency translation gain of $4.3 million and $6.3 million for the three and nine months ended September 30, 2007, respectively, was due to the weakening of the U.S. dollar against the Euro. The U.S. dollar/Euro spot rate was 1.41, 1.58, and 1.46 at September 30, 2008, June 30, 2008 and December 31, 2007, respectively, and 1.42, 1.35, and 1.32 at September 30, 2007, June 30, 2007 and December 31, 2006,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12-month LIBOR plus a fixed margin of 1.25%. The interest rate in effect as of September 30, 2008 using 12-month LIBOR plus a fixed margin of 1.25% was 5.21%. We pay a commitment fee ranging from zero to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maximum rate of 1/4 of 1% per year on the unused portion of the credit line depending on the amount of cash investment retained with Comerica during each quarter. At September 30, 2008,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September 30, 2008, we did not have any outstanding import letters of credit and the available balance on the line of credit was $15 million. Furthermore, as of September 30, 2008, we were in compliance with all financial covenants required by the Credit Facility.</w:t>
      </w:r>
    </w:p>
    <w:p>
      <w:pPr>
        <w:spacing w:after="0" w:line="70"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Under our Credit Facility, we have authority to acquire up to 2.0 million shares of our common stock in the open market. From August 31, 2006 through September 30, 2008, we have purchased 1,481,614 shares of our common stock, leaving 518,386 shares available for purchase under the Credit Facility.</w:t>
      </w:r>
    </w:p>
    <w:p>
      <w:pPr>
        <w:spacing w:after="0" w:line="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nine months ended September 30, 2008 and 2007, we repurchased 913,714 and 321,300 shares of our common stock at a cost of $21.6 million and $9.4 million, respectively. Repurchased shares are recorded as shares held in treasury at cost. We generally hold these shares for future use as our management and Board of Directors deem appropriate, which may include compensating outside directors and executives of the Company. During the nine months ended September 30, 2008 and 2007, we issued 17,188 and 18,438 shares, respectively, to outside directors for services performed (see Note 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single operating segment “Core Business.” Goodwill is evaluated for impairment as of December 31st of each year and between annual evaluations, if events occur or circumstances change indicating that more likely than not the fair value of a reporting unit has been reduced below its carrying amount.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and a software company (SimpleDevices Inc.) in 2004. Goodwill related to our international component resulted from the acquisition of remote control distributors in the UK in 1998, Spain in 1999 and France in 2000.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goodwill amounts related to our domestic and international components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September 30, 2008, as compared to the goodwill reported at December 31, 2007, is the result of fluctuations in the foreign currency exchange rates used to translate the balance into U.S. dollars.</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other intangible assets consist primarily of distribution rights, patents, trademarks, purchased technologies and capitalized software development costs. Capitalized amounts related to our patents represent external legal costs incurred for their applications and maintenance. Intangible assets are amortized utilizing the straight-line method over our estimated period of benefit, ranging from one to ten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other intangible assets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2008</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(1-2 years)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Total carrying amount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This table excludes fully amortized intangible assets of $5.6 million and $5.5 million as of September 30, 2008 and December 31, 2007, respectively.</w:t>
      </w:r>
    </w:p>
    <w:p>
      <w:pPr>
        <w:spacing w:after="0" w:line="14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Amortization expense is recorded in selling, general and administrative expenses, except for capitalized software development which is recorded in cost of sales. Amortization expense for the three and nine months ended September 30, 2008 was approximately $0.4 million and $1.1 million, respectively. Amortization expense for the three and nine months ended September 30, 2007 was approximately $0.3 million and $1.0 million, respectively.</w:t>
      </w:r>
    </w:p>
    <w:p>
      <w:pPr>
        <w:sectPr>
          <w:pgSz w:w="11900" w:h="16838" w:orient="portrait"/>
          <w:cols w:equalWidth="0" w:num="1">
            <w:col w:w="11420"/>
          </w:cols>
          <w:pgMar w:left="240" w:top="41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40" w:type="dxa"/>
            <w:vAlign w:val="bottom"/>
          </w:tcPr>
          <w:p>
            <w:pPr>
              <w:jc w:val="center"/>
              <w:ind w:left="1870"/>
              <w:spacing w:after="0"/>
              <w:rPr>
                <w:sz w:val="20"/>
                <w:szCs w:val="20"/>
                <w:color w:val="auto"/>
              </w:rPr>
            </w:pPr>
            <w:r>
              <w:rPr>
                <w:rFonts w:ascii="Arial" w:cs="Arial" w:eastAsia="Arial" w:hAnsi="Arial"/>
                <w:sz w:val="18"/>
                <w:szCs w:val="18"/>
                <w:b w:val="1"/>
                <w:bCs w:val="1"/>
                <w:color w:val="auto"/>
              </w:rPr>
              <w:t>UNIVERSAL ELECTRONICS INC.</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jc w:val="center"/>
              <w:ind w:left="185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440" w:type="dxa"/>
            <w:vAlign w:val="bottom"/>
          </w:tcPr>
          <w:p>
            <w:pPr>
              <w:jc w:val="center"/>
              <w:ind w:left="1850"/>
              <w:spacing w:after="0"/>
              <w:rPr>
                <w:sz w:val="20"/>
                <w:szCs w:val="20"/>
                <w:color w:val="auto"/>
              </w:rPr>
            </w:pPr>
            <w:r>
              <w:rPr>
                <w:rFonts w:ascii="Arial" w:cs="Arial" w:eastAsia="Arial" w:hAnsi="Arial"/>
                <w:sz w:val="18"/>
                <w:szCs w:val="18"/>
                <w:b w:val="1"/>
                <w:bCs w:val="1"/>
                <w:color w:val="auto"/>
                <w:w w:val="93"/>
              </w:rPr>
              <w:t>(Unaudited)</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46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related to our other intangible assets at September 30, 2008 is as follows: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3 months)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2009</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2011</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23"/>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Thereafter</w:t>
            </w: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w:t>
            </w: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We currently operate in one business segment “Core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43,543</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35,231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$ 113,355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$ 118,053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Asia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13,411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9,840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38,105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23,916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7,480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16,130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23,833</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2,642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1,381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1,279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938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3,730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Switzerland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32,989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33,730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88,405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76,532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68,961</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$ 208,407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5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6,379</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5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100" w:type="dxa"/>
            <w:vAlign w:val="bottom"/>
            <w:vMerge w:val="restart"/>
          </w:tcPr>
          <w:p>
            <w:pPr>
              <w:jc w:val="right"/>
              <w:ind w:right="299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Euro and British Pound. Based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3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 SFAS 157 classifies the inputs used to measure fair value into the following hierarchy:</w:t>
      </w:r>
    </w:p>
    <w:p>
      <w:pPr>
        <w:sectPr>
          <w:pgSz w:w="11900" w:h="16838" w:orient="portrait"/>
          <w:cols w:equalWidth="0" w:num="1">
            <w:col w:w="11420"/>
          </w:cols>
          <w:pgMar w:left="240" w:top="419" w:right="239" w:bottom="1440" w:gutter="0" w:footer="0" w:header="0"/>
        </w:sectPr>
      </w:pPr>
    </w:p>
    <w:p>
      <w:pPr>
        <w:spacing w:after="0" w:line="12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0" w:lineRule="exact"/>
        <w:rPr>
          <w:sz w:val="20"/>
          <w:szCs w:val="20"/>
          <w:color w:val="auto"/>
        </w:rPr>
      </w:pPr>
    </w:p>
    <w:p>
      <w:pPr>
        <w:sectPr>
          <w:pgSz w:w="11900" w:h="16838" w:orient="portrait"/>
          <w:cols w:equalWidth="0" w:num="2">
            <w:col w:w="2020" w:space="720"/>
            <w:col w:w="8680"/>
          </w:cols>
          <w:pgMar w:left="240" w:top="419" w:right="239" w:bottom="1440" w:gutter="0" w:footer="0" w:header="0"/>
          <w:type w:val="continuous"/>
        </w:sectPr>
      </w:pPr>
    </w:p>
    <w:p>
      <w:pPr>
        <w:spacing w:after="0" w:line="4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or</w:t>
      </w:r>
    </w:p>
    <w:p>
      <w:pPr>
        <w:spacing w:after="0" w:line="200" w:lineRule="exact"/>
        <w:rPr>
          <w:sz w:val="20"/>
          <w:szCs w:val="20"/>
          <w:color w:val="auto"/>
        </w:rPr>
      </w:pPr>
    </w:p>
    <w:p>
      <w:pPr>
        <w:sectPr>
          <w:pgSz w:w="11900" w:h="16838" w:orient="portrait"/>
          <w:cols w:equalWidth="0" w:num="2">
            <w:col w:w="2020" w:space="720"/>
            <w:col w:w="8680"/>
          </w:cols>
          <w:pgMar w:left="240" w:top="419" w:right="239" w:bottom="1440" w:gutter="0" w:footer="0" w:header="0"/>
          <w:type w:val="continuous"/>
        </w:sectPr>
      </w:pP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Unadjusted quoted prices for identical or similar assets or liabilities in markets that are not active, or</w:t>
      </w:r>
    </w:p>
    <w:p>
      <w:pPr>
        <w:spacing w:after="0" w:line="24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ectPr>
          <w:pgSz w:w="11900" w:h="16838" w:orient="portrait"/>
          <w:cols w:equalWidth="0" w:num="1">
            <w:col w:w="11420"/>
          </w:cols>
          <w:pgMar w:left="240" w:top="419" w:right="239" w:bottom="1440" w:gutter="0" w:footer="0" w:header="0"/>
          <w:type w:val="continuous"/>
        </w:sectPr>
      </w:pPr>
    </w:p>
    <w:p>
      <w:pPr>
        <w:spacing w:after="0" w:line="225" w:lineRule="exact"/>
        <w:rPr>
          <w:sz w:val="20"/>
          <w:szCs w:val="20"/>
          <w:color w:val="auto"/>
        </w:rPr>
      </w:pPr>
    </w:p>
    <w:p>
      <w:pPr>
        <w:ind w:left="1200"/>
        <w:spacing w:after="0"/>
        <w:tabs>
          <w:tab w:leader="none" w:pos="2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utilize the best available information in measuring fair value. Financial assets and liabilities are classified in their entirety based on the lowest level of input that is significant to the fair value measurement. We have determined that the fair value of our financial assets and liabilities are derived from level 2 inputs in the fair value hierarchy. The following table sets forth our financial assets and liabilities that were accounted for at fair value on a recurring basis as of September 30,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10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2008</w:t>
            </w: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18"/>
                <w:szCs w:val="18"/>
                <w:color w:val="auto"/>
              </w:rPr>
            </w:pP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Foreign currency exchange put option contract</w:t>
            </w:r>
          </w:p>
        </w:tc>
        <w:tc>
          <w:tcPr>
            <w:tcW w:w="1020" w:type="dxa"/>
            <w:vAlign w:val="bottom"/>
          </w:tcPr>
          <w:p>
            <w:pPr>
              <w:jc w:val="right"/>
              <w:ind w:right="299"/>
              <w:spacing w:after="0"/>
              <w:rPr>
                <w:sz w:val="20"/>
                <w:szCs w:val="20"/>
                <w:color w:val="auto"/>
              </w:rPr>
            </w:pPr>
            <w:r>
              <w:rPr>
                <w:rFonts w:ascii="Arial" w:cs="Arial" w:eastAsia="Arial" w:hAnsi="Arial"/>
                <w:sz w:val="18"/>
                <w:szCs w:val="18"/>
                <w:color w:val="auto"/>
              </w:rPr>
              <w:t>$190</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20" w:type="dxa"/>
            <w:vAlign w:val="bottom"/>
            <w:shd w:val="clear" w:color="auto" w:fill="CCEEFF"/>
          </w:tcPr>
          <w:p>
            <w:pPr>
              <w:spacing w:after="0"/>
              <w:rPr>
                <w:sz w:val="18"/>
                <w:szCs w:val="18"/>
                <w:color w:val="auto"/>
              </w:rPr>
            </w:pPr>
          </w:p>
        </w:tc>
      </w:tr>
      <w:tr>
        <w:trPr>
          <w:trHeight w:val="230"/>
        </w:trPr>
        <w:tc>
          <w:tcPr>
            <w:tcW w:w="10400" w:type="dxa"/>
            <w:vAlign w:val="bottom"/>
          </w:tcPr>
          <w:p>
            <w:pPr>
              <w:ind w:left="220"/>
              <w:spacing w:after="0"/>
              <w:rPr>
                <w:sz w:val="20"/>
                <w:szCs w:val="20"/>
                <w:color w:val="auto"/>
              </w:rPr>
            </w:pPr>
            <w:r>
              <w:rPr>
                <w:rFonts w:ascii="Arial" w:cs="Arial" w:eastAsia="Arial" w:hAnsi="Arial"/>
                <w:sz w:val="18"/>
                <w:szCs w:val="18"/>
                <w:color w:val="auto"/>
              </w:rPr>
              <w:t>Foreign currency exchange futures contracts</w:t>
            </w:r>
          </w:p>
        </w:tc>
        <w:tc>
          <w:tcPr>
            <w:tcW w:w="1020" w:type="dxa"/>
            <w:vAlign w:val="bottom"/>
          </w:tcPr>
          <w:p>
            <w:pPr>
              <w:jc w:val="right"/>
              <w:ind w:right="299"/>
              <w:spacing w:after="0"/>
              <w:rPr>
                <w:sz w:val="20"/>
                <w:szCs w:val="20"/>
                <w:color w:val="auto"/>
              </w:rPr>
            </w:pPr>
            <w:r>
              <w:rPr>
                <w:rFonts w:ascii="Arial" w:cs="Arial" w:eastAsia="Arial" w:hAnsi="Arial"/>
                <w:sz w:val="18"/>
                <w:szCs w:val="18"/>
                <w:color w:val="auto"/>
              </w:rPr>
              <w:t>$456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We held foreign currency exchange contracts which resulted in a net pre-tax loss of approximately $1.3 million and a net pre-tax gain of approximately</w:t>
      </w:r>
    </w:p>
    <w:p>
      <w:pPr>
        <w:spacing w:after="0" w:line="35"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$0.3 million for the three months ended September 30, 2008 and 2007, respectively. We had a net pre-tax loss of approximately $0.8 million and a net pre-tax gain of approximately $0.6 million for the nine months ended September 30, 2008 and 2007,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held one US dollar/Euro futures contract with a notional value of $11.0 million and a forward rate of $1.4736 US dollar/Euro at September 30, 2008. In addition, we held one GBP/Euro futures contract with a notional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$1.4 million and a forward rate of £0.7906 GBP/Euro at September 30, 2008. We held the Euro position on these contracts, which are both due for settlement on October 24, 2008. The aggregate loss on these contracts as of September 30, 2008 was $0.5 million and is included in other accrued expenses. The aggregate loss on these contracts at settlement was $1.4 million.</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December 31, 2007 we had one foreign currency exchange contract outstanding, a futures contract with a notional value of $5.0 million, which settled on January 25, 2008. The fair value of this futures contract on December 31, 2007 was $0.01 million, which was included in prepaid expenses and other current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entered into a USD/GBP put option with a notional value of $5.0 million in August 2008. The strike price of the put is $1.85 USD/GBP. The contract expires on December 31, 2008. The gain recorded related to this contract was $0.1 million during the three and nine months ended September 30, 2008. The fair value of this put option was approximately $0.2 million at September 30, 2008. This put option is included in prepaid expenses and other current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Warranty expense is a forecast based on primarily historical claims experience. Actual claim costs may differ from the amounts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 is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5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Warranties</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4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40" w:type="dxa"/>
            <w:vAlign w:val="bottom"/>
          </w:tcPr>
          <w:p>
            <w:pPr>
              <w:spacing w:after="0"/>
              <w:rPr>
                <w:sz w:val="14"/>
                <w:szCs w:val="14"/>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420" w:type="dxa"/>
            <w:vAlign w:val="bottom"/>
          </w:tcPr>
          <w:p>
            <w:pPr>
              <w:spacing w:after="0" w:line="195" w:lineRule="exact"/>
              <w:rPr>
                <w:sz w:val="20"/>
                <w:szCs w:val="20"/>
                <w:color w:val="auto"/>
              </w:rPr>
            </w:pPr>
            <w:r>
              <w:rPr>
                <w:rFonts w:ascii="Arial" w:cs="Arial" w:eastAsia="Arial" w:hAnsi="Arial"/>
                <w:sz w:val="18"/>
                <w:szCs w:val="18"/>
                <w:color w:val="auto"/>
              </w:rPr>
              <w:t xml:space="preserve">Nine Months Ended September 30, 2008 </w:t>
            </w:r>
            <w:r>
              <w:rPr>
                <w:rFonts w:ascii="Arial" w:cs="Arial" w:eastAsia="Arial" w:hAnsi="Arial"/>
                <w:sz w:val="15"/>
                <w:szCs w:val="15"/>
                <w:color w:val="auto"/>
              </w:rPr>
              <w:t>(1)</w:t>
            </w:r>
          </w:p>
        </w:tc>
        <w:tc>
          <w:tcPr>
            <w:tcW w:w="500" w:type="dxa"/>
            <w:vAlign w:val="bottom"/>
          </w:tcPr>
          <w:p>
            <w:pPr>
              <w:spacing w:after="0"/>
              <w:rPr>
                <w:sz w:val="16"/>
                <w:szCs w:val="16"/>
                <w:color w:val="auto"/>
              </w:rPr>
            </w:pPr>
          </w:p>
        </w:tc>
        <w:tc>
          <w:tcPr>
            <w:tcW w:w="940" w:type="dxa"/>
            <w:vAlign w:val="bottom"/>
          </w:tcPr>
          <w:p>
            <w:pPr>
              <w:ind w:left="260"/>
              <w:spacing w:after="0" w:line="195" w:lineRule="exact"/>
              <w:rPr>
                <w:sz w:val="20"/>
                <w:szCs w:val="20"/>
                <w:color w:val="auto"/>
              </w:rPr>
            </w:pPr>
            <w:r>
              <w:rPr>
                <w:rFonts w:ascii="Arial" w:cs="Arial" w:eastAsia="Arial" w:hAnsi="Arial"/>
                <w:sz w:val="18"/>
                <w:szCs w:val="18"/>
                <w:color w:val="auto"/>
              </w:rPr>
              <w:t>$178</w:t>
            </w:r>
          </w:p>
        </w:tc>
        <w:tc>
          <w:tcPr>
            <w:tcW w:w="540" w:type="dxa"/>
            <w:vAlign w:val="bottom"/>
          </w:tcPr>
          <w:p>
            <w:pPr>
              <w:spacing w:after="0"/>
              <w:rPr>
                <w:sz w:val="16"/>
                <w:szCs w:val="16"/>
                <w:color w:val="auto"/>
              </w:rPr>
            </w:pPr>
          </w:p>
        </w:tc>
        <w:tc>
          <w:tcPr>
            <w:tcW w:w="1000" w:type="dxa"/>
            <w:vAlign w:val="bottom"/>
          </w:tcPr>
          <w:p>
            <w:pPr>
              <w:jc w:val="right"/>
              <w:ind w:right="244"/>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(89)</w:t>
            </w:r>
          </w:p>
        </w:tc>
        <w:tc>
          <w:tcPr>
            <w:tcW w:w="540" w:type="dxa"/>
            <w:vAlign w:val="bottom"/>
          </w:tcPr>
          <w:p>
            <w:pPr>
              <w:spacing w:after="0"/>
              <w:rPr>
                <w:sz w:val="16"/>
                <w:szCs w:val="16"/>
                <w:color w:val="auto"/>
              </w:rPr>
            </w:pPr>
          </w:p>
        </w:tc>
        <w:tc>
          <w:tcPr>
            <w:tcW w:w="340" w:type="dxa"/>
            <w:vAlign w:val="bottom"/>
          </w:tcPr>
          <w:p>
            <w:pPr>
              <w:ind w:left="240"/>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 xml:space="preserve">Nine Months Ended September 30, 2007 </w:t>
            </w:r>
            <w:r>
              <w:rPr>
                <w:rFonts w:ascii="Arial" w:cs="Arial" w:eastAsia="Arial" w:hAnsi="Arial"/>
                <w:sz w:val="15"/>
                <w:szCs w:val="15"/>
                <w:color w:val="auto"/>
              </w:rPr>
              <w:t>(1)</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$416</w:t>
            </w:r>
          </w:p>
        </w:tc>
        <w:tc>
          <w:tcPr>
            <w:tcW w:w="1540" w:type="dxa"/>
            <w:vAlign w:val="bottom"/>
            <w:gridSpan w:val="2"/>
          </w:tcPr>
          <w:p>
            <w:pPr>
              <w:jc w:val="right"/>
              <w:ind w:right="184"/>
              <w:spacing w:after="0"/>
              <w:rPr>
                <w:sz w:val="20"/>
                <w:szCs w:val="20"/>
                <w:color w:val="auto"/>
              </w:rPr>
            </w:pPr>
            <w:r>
              <w:rPr>
                <w:rFonts w:ascii="Arial" w:cs="Arial" w:eastAsia="Arial" w:hAnsi="Arial"/>
                <w:sz w:val="18"/>
                <w:szCs w:val="18"/>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90"/>
              </w:rPr>
              <w:t>(172)</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second quarter of 2007, we renegotiated pricing terms with our third party warranty repair vendor which resulted in lower warranty costs per unit. As a result, our warranty accrual was reduced to reflect the lower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any judgment is paid, all disputes between the various parties would be concluded. These additional claims involve nonpayment for products and damages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alleged wrongful termination of agency agreements. On March 15, 2005, the court in one of the litigation matters brought by the distributor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one of our subsidiaries, rendered judgment against our subsidiary and awarded damages and costs to the distributor in the amount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$102,000. The amount of this judgment was charged to operations during the second quarter of 2005 and has been paid. With respect to the remaining matters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the court, we are awaiting the expert to finalize and file his pre-trial report with the court and when completed, we will respond. Management is unable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estimate the likelihood of an unfavorable outcome, and the amount of loss, if any, in the case of an unfavorable outcome.</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the Gibson companies counterclaimed that we breached various aspects of the software agreement and that they are seeking unspecified damages. We disagree vigorously with their denials of liability and with their counterclaims and will continue to pursue this matter. We are in the early stages of discovery and are unable to estimate the likely outcome of this matter and the amount of recovery of the balance due us or damages awarded Gibson, if any, at this time.</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second quarter of 2007, we adopted an Executive Long-Term Incentive Plan (“ELTIP”). The ELTIP provides a bonus pool for our executive management team contingent on achieving certain performance goals during a two-year performance period commencing on January 1, 2007 and ending on December 31, 2008. The performance goals are based on the compound annual growth rate of net sales and earnings per diluted share during the performance period. The amount of a participant’s earned award will be paid in cash, in common shares or in any combination, as determined by the Compensation Committee. A participant’s earned award will vest in eight equal quarterly installments beginning March 31, 2009 and ending December 31, 2010. In the event a participant terminates their employment at any time during the performance period (January 1, 2007 through December 31, 2008), they will forfeit all rights under the ELTIP. In the event a participant terminates their employment during the service period (January 1, 2009 through December 31, 2010), they will forfeit their right to any remaining installments where the payment date has not yet occurred.</w:t>
      </w:r>
    </w:p>
    <w:p>
      <w:pPr>
        <w:spacing w:after="0" w:line="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ELTIP has a maximum pay out of $12 million if the highest performance goals are met. For the three and nine months ended September 30, 2008, due to lower net sales and earnings per diluted share projections for 2008, we lowered our ELTIP accrual from $1.0 million at December 31, 2007 to $0.9 million at September 30, 2008, resulting in a $0.1 million benefit to pre-tax income for the nine months ended September 30, 2008. The ELTIP accrual is included in other long-term liabilities. Based on management’s current estimate, the maximum liability for the ELTIP is $2.0 million.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361,000 individual device functions and over 3,400 individual consumer electronic equipment brand names. Our library is regularly updated with IR codes used in newly introduced video and audio devices. All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eleven operating subsidiaries located in Argentina, France, two in Germany, Hong Kong,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the remainder of 2008 include the following:</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merger and acquisition opportunities that may enhance our business.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contingent assets and liabilities and revenues and expenses during the reporting period. On an on-going basis, we evaluate our estimates and judgments, including those related to revenue recognition, allowance for sales returns and doubtful accounts, warranties, inventory valuation, our review for impairment of long-lived assets, intangible assets and goodwill, income taxes and stock-based compensation expense. Actual results may differ from these judgments, estimates and assumptions, and they may be adjusted as more information becomes available. Any adjustment may be significant.</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based on assumptions about matters that are highly uncertain at the time the estimate is made, if different estimates reasonably could have been used, or if changes in the estimate that are reasonably likely to occur could materially impact the financial statements. For further information regarding critical accounting policies and estimates, other than stock-based compensation discussed below, refer to Item 7, “Management’s Discussion and Analysis of Financial Condition and Results of Operations” contained in our Annual Report on Form 10-K for our fiscal year ended December 31,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account for our stock-based compensation plans under SFAS No. 123R, “Share-Based Payment” (“SFAS 123R”). Stock-based compensation expense for each employee and director is presented in the same income statement caption as their cash compensation. We recorded $1.0 million and $1.1 million of total pre-tax stock-based compensation expense during the three months ended September 30, 2008 and 2007, respectively. We recorded $3.3 million and $2.6 million of total pre-tax stock-based compensation expense during the nine months ended September 30, 2008 and 2007,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by income statement caption for the three and nine months ended September 30, 2008 and 2007 was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September 30, 2008, there was $3.4 million of unrecognized pre-tax stock-based compensation expense related to non-vested stock options, which we expect to recognize over a weighted-average life of 2.3 years.</w:t>
      </w:r>
    </w:p>
    <w:p>
      <w:pPr>
        <w:spacing w:after="0" w:line="6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Selling, general and administrative expense (“SG&amp;A”) includes pre-tax stock-based compensation related to restricted stock awards granted to outside directors of $0.1 million and $0.2 million for the three months ended September 30, 2008 and 2007, respectively. SG&amp;A for the nine months ended September 30, 2008 and 2007 includes pre-tax stock-based compensation related to restricted stock awards granted to outside directors of $0.5 million and $0.5 million, respectively. We issue restricted stock awards to the outside directors for services performed. Compensation expense for the restricted stock awards is recognized on a straight-line basis over the requisite service period of one year.</w:t>
      </w:r>
    </w:p>
    <w:p>
      <w:pPr>
        <w:spacing w:after="0" w:line="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first quarter of 2008, as part of our annual compensation review cycle, the Compensation Committee of the Board of Directors granted 115,926 shares of restricted stock to our executives under the 2006 Stock Incentive Plan. These awards were granted to assist us in meeting our performance and retention objectives. Each executive’s grant is subject to a three-year vesting period. The stock-based compensation expense included in SG&amp;A related to this award was $0.3 million and $0.7 million for the three and nine months ended September 30, 2008,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accordance with SFAS 123R, 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2008, we expect to recognize $2.4 million in unrecognized pre-tax compensation expense related to non-vested restricted stock awards over a weighted-average life of 2.0 years.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and forfeiture rate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85"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We do not believe it is reasonably likely that there will be a material change in the future estimates or assumptions used to determine stock-based compensation expense. However, if actual results are not consistent with our estimates and assumptions we may be exposed to material stock-based compensation expense. Refer to Note 2 captioned “Stock-Based Compensation” included in the “Notes to the Consolidated Financial Statements” for additional disclosure regarding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nine months ended September 30,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6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4"/>
                <w:szCs w:val="14"/>
                <w:color w:val="auto"/>
              </w:rPr>
            </w:pPr>
          </w:p>
        </w:tc>
        <w:tc>
          <w:tcPr>
            <w:tcW w:w="25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67.</w:t>
            </w:r>
            <w:r>
              <w:rPr>
                <w:rFonts w:ascii="Arial" w:cs="Arial" w:eastAsia="Arial" w:hAnsi="Arial"/>
                <w:sz w:val="18"/>
                <w:szCs w:val="18"/>
                <w:u w:val="single" w:color="auto"/>
                <w:color w:val="auto"/>
                <w:w w:val="85"/>
              </w:rPr>
              <w:t>4</w:t>
            </w: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7</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0</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37.3</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3.0</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3.0</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3</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2</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8</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24.</w:t>
            </w:r>
            <w:r>
              <w:rPr>
                <w:rFonts w:ascii="Arial" w:cs="Arial" w:eastAsia="Arial" w:hAnsi="Arial"/>
                <w:sz w:val="18"/>
                <w:szCs w:val="18"/>
                <w:u w:val="single" w:color="auto"/>
                <w:color w:val="auto"/>
                <w:w w:val="85"/>
              </w:rPr>
              <w:t>9</w:t>
            </w:r>
          </w:p>
        </w:tc>
        <w:tc>
          <w:tcPr>
            <w:tcW w:w="34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w:t>
            </w:r>
            <w:r>
              <w:rPr>
                <w:rFonts w:ascii="Arial" w:cs="Arial" w:eastAsia="Arial" w:hAnsi="Arial"/>
                <w:sz w:val="18"/>
                <w:szCs w:val="18"/>
                <w:u w:val="single" w:color="auto"/>
                <w:color w:val="auto"/>
                <w:w w:val="85"/>
              </w:rPr>
              <w:t>2</w:t>
            </w:r>
          </w:p>
        </w:tc>
        <w:tc>
          <w:tcPr>
            <w:tcW w:w="36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27.</w:t>
            </w:r>
            <w:r>
              <w:rPr>
                <w:rFonts w:ascii="Arial" w:cs="Arial" w:eastAsia="Arial" w:hAnsi="Arial"/>
                <w:sz w:val="18"/>
                <w:szCs w:val="18"/>
                <w:u w:val="single" w:color="auto"/>
                <w:color w:val="auto"/>
                <w:w w:val="85"/>
              </w:rPr>
              <w:t>8</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27.</w:t>
            </w:r>
            <w:r>
              <w:rPr>
                <w:rFonts w:ascii="Arial" w:cs="Arial" w:eastAsia="Arial" w:hAnsi="Arial"/>
                <w:sz w:val="18"/>
                <w:szCs w:val="18"/>
                <w:u w:val="single" w:color="auto"/>
                <w:color w:val="auto"/>
                <w:w w:val="85"/>
              </w:rPr>
              <w:t>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income,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1.3</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1.3</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w:t>
            </w: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940" w:type="dxa"/>
            <w:vAlign w:val="bottom"/>
            <w:gridSpan w:val="2"/>
            <w:vMerge w:val="continue"/>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2008 versus Three Months Ended September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September 30,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Business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80.1%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55.9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69.0</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40" w:type="dxa"/>
            <w:vAlign w:val="bottom"/>
            <w:vMerge w:val="restart"/>
          </w:tcPr>
          <w:p>
            <w:pPr>
              <w:jc w:val="right"/>
              <w:ind w:right="570"/>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sales for the third quarter of 2008 were $76.5 million, an increase of 11% compared to $69.0 million for the third quarter of 2007. Net income for the third quarter of 2008 was $4.0 million or $0.28 per diluted share compared to $4.9 million or $0.32 per diluted share for the third quarter of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80% of net sales in the third quarter of 2008 compared to approximately 81% in the third quarter of 2007. Net sales in our Business lines for the third quarter of 2008 increased by 10% to $61.3 million from $55.9 million in the third quarter of 2007. This increase in sales resulted primarily from an increase in the volume of remote control sales with our subscription broadcast customers. Sales in the third quarter of 2008 benefited from an increased share with our existing customers as well as the digital signal compliance deadline coming early next year, as we began shipping a new remote control that pairs with digital-to-analog converter boxes. Additionally, the roll out of advanced functions such as digital video recording (“DVR”), video-on-demand (“VOD”), and high definition television (“HDTV”) continues. We expect that the deployment of the advanced function set-top boxes by the service operators will continue into the foreseeable future as penetration continues to increase. We expect Business category revenue to range between $233.4 million and $236.4 million for the full year 2008.</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sales in our Consumer lines (One For All</w:t>
      </w:r>
      <w:r>
        <w:rPr>
          <w:rFonts w:ascii="Arial" w:cs="Arial" w:eastAsia="Arial" w:hAnsi="Arial"/>
          <w:sz w:val="15"/>
          <w:szCs w:val="15"/>
          <w:color w:val="auto"/>
        </w:rPr>
        <w:t>®</w:t>
      </w:r>
      <w:r>
        <w:rPr>
          <w:rFonts w:ascii="Arial" w:cs="Arial" w:eastAsia="Arial" w:hAnsi="Arial"/>
          <w:sz w:val="18"/>
          <w:szCs w:val="18"/>
          <w:color w:val="auto"/>
        </w:rPr>
        <w:t xml:space="preserve"> retail, private label, custom installers and direct import) were approximately 20% of net sales for the third quarter of 2008 compared to approximately 19% for the third quarter of 2007. Net sales in our Consumer lines increased by 16% to $15.2 million for the third quarter of 2008, from $13.1 million in the third quarter of 2007. CEDIA sales increased by $2.1 million compared to the third quarter of 2007, primarily due to the launch of a new product that occurred in the second quarter of 2008. North American retail sales increased by $0.8 million compared to the third quarter of 2007, as a result of a new partnership agreement with a distributor in the U.S market. Partially offsetting these increases were international retail sales, which decreased by $0.4 million compared to the third quarter of 2007, primarily due to the downturn of the economy in the United Kingdom. Private label sales decreased $0.3 million, to $0.5 million in the third quarter of 2008 from $0.8 million in the third quarter of 2007. This was driven by a decline in the volume of remote control sales to our private label partners. We expect Consumer category revenue to range between $55 million and $58 million for the full year 2008</w:t>
      </w:r>
    </w:p>
    <w:p>
      <w:pPr>
        <w:spacing w:after="0" w:line="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Gross profit for the third quarter of 2008 was $24.9 million compared to $25.7 million for the third quarter of 2007. Gross profit as a percent of sales for the third quarter of 2008 was 32.6% compared to 37.3% for the same period in the prior year. The decrease in gross profit as a percentage of net sales was primarily attributable to product mix within our subscription broadcasting business, as well as a shift towards some of our less profitable business lines. The global economy experienced a significant downturn in the third quarter of 2008, and as a result, our customers tended to purchase lower cost and lower margin products. This change in mix resulted in a 4.3% decrease in the gross profit rate. Additionally, in the third quarter of 2008, freight expense increased by $0.3 million, as a result of air shipments for some newly launched products. This increased freight cost reduced the gross profit rate by 0.3%.</w:t>
      </w:r>
    </w:p>
    <w:p>
      <w:pPr>
        <w:spacing w:after="0" w:line="5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Research and development expenses decreased 4% from $2.1 million in the third quarter of 2007 to $2.0 million in the third quarter of 2008, relatively consistent with prior year levels. We expect research and development expenses to remain near the current quarter level during the fourth quarter of 2008.</w:t>
      </w:r>
    </w:p>
    <w:p>
      <w:pPr>
        <w:spacing w:after="0" w:line="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Selling, general and administrative expenses decreased 2% from $17.4 million in the third quarter of 2007 to $17.0 million in the third quarter of 2008. The strengthening of the Euro compared to the U.S. Dollar resulted in an increase of $0.7 million. Net of this unfavorable currency effect, expenses decreased by $1.1 million. Employee bonus expense decreased $1.5 million, and long-term incentive compensation expense decreased by $0.4 million. These decreases were partially offset by higher tradeshow expense, which increased by $0.3 million, depreciation expense, which increased by $0.2 million, and freight and handling expenses, which increased $0.2 million due to higher sales volume. We expect that selling, general and administrative expenses to range between $67.5 million and $68.1 million for the full year 2008.</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third quarter of 2008, we recorded $0.9 million of net interest income compared to $0.9 million in the third quarter of 2007. We expect net interest income to range between $3.2 million and $3.6 million for the full year 2008.</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third quarter of 2008, net other expense was $0.4 million as compared to net other income of $13 thousand for the third quarter of 2007. Approximately $0.4 million of net other expense in the third quarter of 2008 was the result of a foreign exchange loss, compared to a foreign exchange gain of $10 thousand for the third quarter of 2007.</w:t>
      </w:r>
    </w:p>
    <w:p>
      <w:pPr>
        <w:spacing w:after="0" w:line="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recorded income tax expense of $2.3 million in the third quarter of 2008 compared to $2.3 million in the third quarter of 2007. Our effective tax rate was 37.0% in the third quarter of 2008 compared to 31.4% in the third quarter of 2007. The increase in our effective tax rate is due primarily to the expiration of the federal research and development tax credit statue at the end of 2007, as well as an increase in the proportion of income earned in higher tax rate jurisdictions. We expect that our fourth quarter effective tax rate will decrease to 30.5% to 32.5% due to the reenactment of the federal research and development tax credit statue in October 2008. We estimate that our effective tax rate for the full year 2008 will range from 33% to 35%.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2008 versus Nine Months Ended September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nine months ended September 30,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166.4</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208.4</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sales for the nine months ended September 30, 2008 were $208.4 million, an increase of 1% compared to $206.5 million for the nine months ended September 30, 2007. Net income for the nine months ended September 30, 2008 was $10.0 million or $0.68 per diluted share compared to $14.1 million or $0.93 per diluted share for the nine months ended September 30,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80% of net sales for the nine months ended September 30, 2008 compared to approximately 81% for the nine months ended September 30, 2007. Net sales in our Business lines for the nine months ended September 30, 2008 decreased slightly to $166.4 million from $166.7 million for the same period last year. This decrease in sales resulted primarily from a decrease in average selling price, partially offset by increased volume of remote control sales with our subscription broadcasting customers. Sales in the first nine months of 2007 were favorably impacted by the mid-year Open Cable Application Platform (“OCAP”) compliance deadline, as some of our key customers ordered additional product ahead of the deadline. Sales in the first nine months of 2008 benefited from increased share with our existing customers as well as the digital signal compliance deadline coming early next year, as we began shipping a new remote control that pairs with digital-to-analog converter boxes. Additionally, the roll out of advanced functions such as digital video recording (“DVR”), video-on-demand (“VOD”), and high definition television (“HDTV”) continues. We expect that the deployment of the advanced function set-top boxes by the service operators will continue into the foreseeable future as penetration continues to increase. We expect Business category revenue to range between $233.4 million and $236.4 million for the full year 2008.</w:t>
      </w:r>
    </w:p>
    <w:p>
      <w:pPr>
        <w:spacing w:after="0" w:line="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custom installers and direct import) were approximately 20% of net sales for the nine months ended September 30, 2008 compared to approximately 19% for the nine months ended September 30, 2007. Net sales in our Consumer lines for the nine months ended September 30, 2008 increased by 6% to $42.0 million from $39.8 million for the same period last year. CEDIA sales in the first nine months of 2008 increased by $1.9 million compared to the same period of 2007, primarily due to the launch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new product that occurred in the second quarter of 2008. International retail sales increased 2% to $33.3 million for the nine months ended September 30, 2008 from $32.7 million for the nine months ended September 30, 2007. This increase was primarily attributable to the strengthening of the Euro compared to the U.S. Dollar. The impact of the stronger currency resulted in an increase in net sales of approximately $1.1 million. Net of this positive currency effect, international retail sales decreased $0.4 million, mainly due to light demand in the United Kingdom market. North American retail sales increased by</w:t>
      </w:r>
    </w:p>
    <w:p>
      <w:pPr>
        <w:spacing w:after="0" w:line="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$0.5 million compared to the same period of 2007, as a result of a new partnership agreement with a distributor in the U.S market. These increases were partially offset by a decrease in private label sales, which decreased $0.9 million, from $2.4 million for the nine months ended September 30, 2007 to</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$1.5 million for the nine months ended September 30, 2008, reflecting softening demand in the consumer category. We expect Consumer category revenue to range between $55 million and $58 million for the full year 2008.</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Gross profit for the nine months ended September 30, 2008 was $70.9 million compared to $74.7 million for the nine months ended September 30, 2007. Gross profit as a percentage of net sales for the nine months ended September 30, 2008 was 34.0% compared to 36.2% for the nine months ended September 30, 2007. The decrease in gross profit as a percentage of net sales was primarily attributable to product mix within our subscription broadcasting business, partially offset by a shift in mix towards our higher-margin consumer lines. This change in mix resulted in a 3.1% decrease in the gross profit rate. Included in this mix calculation is an increase in royalty revenue of $1.1 million which favorably impacted the gross margin rate by 0.3%. Partially offsetting the decrease in the gross profit rate was a reduction in freight, handling and duty expense of $1.3 million, which increased the gross profit rate by 0.7%. In the first nine months of 2008, there was a decrease in the percentage of units shipped by air compared to the first nine months of 2007. The strengthening of the Euro compared to the U.S. Dollar had a favorable effect on gross profit of $0.9 million, and increased the gross profit rate by 0.3%.</w:t>
      </w:r>
    </w:p>
    <w:p>
      <w:pPr>
        <w:spacing w:after="0" w:line="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Research and development expenses decreased 5% from $6.7 million in the nine months ended September 30, 2007 to $6.3 million in the nine months ended September 30, 2008. The decrease is due to the completion of the latest development phase for the Nevo</w:t>
      </w:r>
      <w:r>
        <w:rPr>
          <w:rFonts w:ascii="Arial" w:cs="Arial" w:eastAsia="Arial" w:hAnsi="Arial"/>
          <w:sz w:val="15"/>
          <w:szCs w:val="15"/>
          <w:color w:val="auto"/>
        </w:rPr>
        <w:t>®</w:t>
      </w:r>
      <w:r>
        <w:rPr>
          <w:rFonts w:ascii="Arial" w:cs="Arial" w:eastAsia="Arial" w:hAnsi="Arial"/>
          <w:sz w:val="18"/>
          <w:szCs w:val="18"/>
          <w:color w:val="auto"/>
        </w:rPr>
        <w:t xml:space="preserve"> platform in late 2007. We expect research and development expenses to remain near current levels for the remaining quarters of 2008.</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general and administrative expenses increased 4% from $49.6 million in the nine months ended September 30, 2007 to $51.6 million in the nine months ended September 30, 2008. The strengthening of the Euro compared to the U.S. Dollar resulted in an increase of $3.0 million. Net of the currency effect, selling, general and administrative expenses decreased by $1.0 million. The decrease was mainly in employee bonus expense, which decreased by $1.5 million. Long-term incentive compensation expense decreased by $0.9 million and advertisement expense decreased by $0.3 million. These decreases were partially offset by an increase in employee stock-based compensation, which increased by $0.7 million due to grants that occurred in the first quarter of 2008. Depreciation expense increased by $0.5 million, related to the leasehold improvements at the company’s headquarters which were completed in January 2008. Finally, commission expense was $0.5 million higher than last year as we used more third-party distributors to sell our products. We expect that selling, general and administrative expenses to range between $67.5 million and $68.1 million for the full year 2008.</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nine months ended September 30, 2008, we recorded $2.6 million of net interest income compared to $2.2 million during the nine months ended September 30, 2007. This increase was due to higher money market rates and a higher average cash balance in Europe. We expect net interest income to range between $3.2 million and $3.6 million for the full year 2008.</w:t>
      </w:r>
    </w:p>
    <w:p>
      <w:pPr>
        <w:spacing w:after="0" w:line="7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For the nine months ended September 30, 2008, net other expense was $0.2 million as compared to net other income of $0.1 million for the nine months ended September 30, 2007. Approximately $0.2 million of net other expense in the nine months ended September 30, 2008 was the result of a foreign exchange loss, compared to a foreign exchange gain of $0.1 million for the nine months ended September 30, 2007.</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recorded income tax expense of $5.4 million for the nine months ended September 30, 2008 compared to $6.7 million for the nine months ended September 30, 2007. Our effective tax rate was 35.1% during the nine months ended September 30, 2008 compared to 32.1% during the nine months ended September 30, 2007. The increase in our effective tax rate is due primarily to the expiration of the federal research and development tax credit statute at the end of 2007, as well as, an increase in the proportion of income earned in higher tax rate jurisdictions. We expect that our fourth quarter effective tax rate will decrease to 30.5% to 32.5% due to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reenactment of the federal research and development tax credit statue in October 2008. We estimate that our effective tax rate for the full year 2008 will range from 33% to 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42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 2008</w:t>
            </w:r>
          </w:p>
        </w:tc>
        <w:tc>
          <w:tcPr>
            <w:tcW w:w="4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Increase in cash</w:t>
            </w:r>
          </w:p>
        </w:tc>
        <w:tc>
          <w:tcPr>
            <w:tcW w:w="420" w:type="dxa"/>
            <w:vAlign w:val="bottom"/>
          </w:tcPr>
          <w:p>
            <w:pPr>
              <w:spacing w:after="0"/>
              <w:rPr>
                <w:sz w:val="14"/>
                <w:szCs w:val="14"/>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18,145</w:t>
            </w:r>
          </w:p>
        </w:tc>
        <w:tc>
          <w:tcPr>
            <w:tcW w:w="18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  1,527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(5,861)</w:t>
            </w:r>
          </w:p>
        </w:tc>
        <w:tc>
          <w:tcPr>
            <w:tcW w:w="1840" w:type="dxa"/>
            <w:vAlign w:val="bottom"/>
            <w:gridSpan w:val="2"/>
          </w:tcPr>
          <w:p>
            <w:pPr>
              <w:jc w:val="right"/>
              <w:ind w:right="284"/>
              <w:spacing w:after="0"/>
              <w:rPr>
                <w:sz w:val="20"/>
                <w:szCs w:val="20"/>
                <w:color w:val="auto"/>
              </w:rPr>
            </w:pPr>
            <w:r>
              <w:rPr>
                <w:rFonts w:ascii="Arial" w:cs="Arial" w:eastAsia="Arial" w:hAnsi="Arial"/>
                <w:sz w:val="18"/>
                <w:szCs w:val="18"/>
                <w:color w:val="auto"/>
              </w:rPr>
              <w:t>(1,699)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2"/>
              </w:rPr>
              <w:t>(20,245)</w:t>
            </w:r>
          </w:p>
        </w:tc>
        <w:tc>
          <w:tcPr>
            <w:tcW w:w="18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(22,187)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(2,789)</w:t>
            </w:r>
          </w:p>
        </w:tc>
        <w:tc>
          <w:tcPr>
            <w:tcW w:w="1840" w:type="dxa"/>
            <w:vAlign w:val="bottom"/>
            <w:gridSpan w:val="2"/>
          </w:tcPr>
          <w:p>
            <w:pPr>
              <w:jc w:val="right"/>
              <w:ind w:right="284"/>
              <w:spacing w:after="0"/>
              <w:rPr>
                <w:sz w:val="20"/>
                <w:szCs w:val="20"/>
                <w:color w:val="auto"/>
              </w:rPr>
            </w:pPr>
            <w:r>
              <w:rPr>
                <w:rFonts w:ascii="Arial" w:cs="Arial" w:eastAsia="Arial" w:hAnsi="Arial"/>
                <w:sz w:val="18"/>
                <w:szCs w:val="18"/>
                <w:color w:val="auto"/>
              </w:rPr>
              <w:t>(6,814)</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350"/>
        </w:trPr>
        <w:tc>
          <w:tcPr>
            <w:tcW w:w="594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 2008</w:t>
            </w:r>
          </w:p>
        </w:tc>
        <w:tc>
          <w:tcPr>
            <w:tcW w:w="4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420" w:type="dxa"/>
            <w:vAlign w:val="bottom"/>
          </w:tcPr>
          <w:p>
            <w:pPr>
              <w:spacing w:after="0"/>
              <w:rPr>
                <w:sz w:val="24"/>
                <w:szCs w:val="24"/>
                <w:color w:val="auto"/>
              </w:rPr>
            </w:pPr>
          </w:p>
        </w:tc>
        <w:tc>
          <w:tcPr>
            <w:tcW w:w="16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95"/>
        </w:trPr>
        <w:tc>
          <w:tcPr>
            <w:tcW w:w="5940" w:type="dxa"/>
            <w:vAlign w:val="bottom"/>
            <w:vMerge w:val="continue"/>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75,860</w:t>
            </w:r>
          </w:p>
        </w:tc>
        <w:tc>
          <w:tcPr>
            <w:tcW w:w="420" w:type="dxa"/>
            <w:vAlign w:val="bottom"/>
          </w:tcPr>
          <w:p>
            <w:pPr>
              <w:spacing w:after="0"/>
              <w:rPr>
                <w:sz w:val="16"/>
                <w:szCs w:val="16"/>
                <w:color w:val="auto"/>
              </w:rPr>
            </w:pPr>
          </w:p>
        </w:tc>
        <w:tc>
          <w:tcPr>
            <w:tcW w:w="1420" w:type="dxa"/>
            <w:vAlign w:val="bottom"/>
          </w:tcPr>
          <w:p>
            <w:pPr>
              <w:jc w:val="right"/>
              <w:ind w:right="284"/>
              <w:spacing w:after="0" w:line="195" w:lineRule="exact"/>
              <w:rPr>
                <w:sz w:val="20"/>
                <w:szCs w:val="20"/>
                <w:color w:val="auto"/>
              </w:rPr>
            </w:pPr>
            <w:r>
              <w:rPr>
                <w:rFonts w:ascii="Arial" w:cs="Arial" w:eastAsia="Arial" w:hAnsi="Arial"/>
                <w:sz w:val="18"/>
                <w:szCs w:val="18"/>
                <w:color w:val="auto"/>
              </w:rPr>
              <w:t>$(10,750)</w:t>
            </w:r>
          </w:p>
        </w:tc>
        <w:tc>
          <w:tcPr>
            <w:tcW w:w="42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5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86"/>
              </w:rPr>
              <w:t>128,032</w:t>
            </w:r>
          </w:p>
        </w:tc>
        <w:tc>
          <w:tcPr>
            <w:tcW w:w="1840" w:type="dxa"/>
            <w:vAlign w:val="bottom"/>
            <w:gridSpan w:val="2"/>
          </w:tcPr>
          <w:p>
            <w:pPr>
              <w:jc w:val="right"/>
              <w:ind w:right="284"/>
              <w:spacing w:after="0"/>
              <w:rPr>
                <w:sz w:val="20"/>
                <w:szCs w:val="20"/>
                <w:color w:val="auto"/>
              </w:rPr>
            </w:pPr>
            <w:r>
              <w:rPr>
                <w:rFonts w:ascii="Arial" w:cs="Arial" w:eastAsia="Arial" w:hAnsi="Arial"/>
                <w:sz w:val="18"/>
                <w:szCs w:val="18"/>
                <w:color w:val="auto"/>
              </w:rPr>
              <w:t>(12,298)</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w w:val="86"/>
              </w:rPr>
              <w:t>140,330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for the first nine months of 2008 was $18.1 million as compared to $16.6 million in the first nine months of 2007.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primarily driven by an improvement in our days sales outstanding for the nine months ended September 30, 2008 compared to the nine months ended September 30, 2007. Our days sales outstanding increased from 67 days for the quarter ended December 31, 2006 to 79 days for the quarter ended September 30, 2007. This compares to an improvement from 82 days at December 31, 2007 to 73 days at September 30, 2008. Partially offsetting the improvement in our days sales outstanding was a decrease in our inventory turns from 5.8 turns in the third quarter of 2007 to 5.0 turns in the third quarter of 2008, reflecting lower than expected retail sales.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for the first nine months of 2008 was $5.9 million as compared to $4.2 million for the first nine months of 2007.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for investing activities was primarily due to an increase in leasehold improvements and the acquisition of furniture and fixtures related to the renovation of our corporate headquarters. Construction was completed during the first quarter of 2008. The total cost of this renovation was approximately $2.0 million, which was financed through our current operations, and a $0.4 million tenant improvement allowance collected from the landlord in the third quarter of 2008.</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plan to make a significant investment to upgrade our information systems, which we expect to cost approximately $1.0 million. We expect implementation to be completed in 2009. In addition, in order to support our future sales growth, we expect annual purchases of tooling equipment to increase throughout the years.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for the first nine months of 2008 was $20.2 million as compared to cash provided by financing activities of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nine months of 2007. The increase in cash used for financing activities was primarily due to the repurchase of 913,714 shares of our common stock for a total cost of $21.6 million in the first nine months of 2008. During the first nine months of 2007, we repurchased 321,300 shares of our common stock for a total cost of $9.4 million.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In addition, proceeds from stock exercises were $1.0 million during the first nine months of 2008 compared to $9.5 million in the first nine months of 2007.</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Credit Facility with Comerica which expires on August 31, 2009. Under the Credit Facility, we have the authority to acquire up to 2.0 million shares of our common stock in the open market. From August 31, 2006, through September 30, 2008, we purchased 1,481,614 shares of our common stock, leaving 518,386 shares available for purchase under the Credit Facility. During 2008 we may continue to purchase shares of our common stock if we believe conditions are favorable and to offset the dilutive effect of our equity compensation programs.</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continue to be extended to us under comparable terms or at all. If this or any other credit facility is not available to us at a time when we need to borrow,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would have to use our cash reserves which could have a material adverse effect on our earnings, cash flow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September 30, 2008 our contractual obligations were $26.6 million compared to $25.6 million reported in our Annual Report on Form 10-K as of December 31, 2007. The following table summarizes our contractual obligations at September 30, 2008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5,589</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1,792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21,022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14,720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26,611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18,061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Historically, our working capital needs have been greatest during the third and fourth quarters when accounts receivable and inventories increase in connection with the fourth quarter holiday selling season. At September 30, 2008, we had $128.0 million of working capital as compared to $140.3 million at December 31, 2007.</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cash and cash equivalent balances are held in the United States, Europe and Asia. At September 30, 2008, we had approximately $8.6 million,</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$67.0 million, and $0.3 million of cash and cash equivalents in the United States, Europe and Asia, respectively. We maintain our cash and cash equivalents with various financial institutions located in many different geographic regions. We attempt to mitigate our exposure to interest rate, liquidity, credit and other relevant risks by placing our cash and cash equivalents with financial institutions we believe are high quality.</w:t>
      </w:r>
    </w:p>
    <w:p>
      <w:pPr>
        <w:spacing w:after="0" w:line="8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12-month LIBOR plus a fixed margin of 1.25%. The interest rate in effect as of September 30, 2008 using 12-month LIBOR plus a fixed margin of 1.25% was 5.21%. We pay a commitment fee ranging from zero to a maximum rate of 1/4 of 1% per year on the unused portion of the credit line depending on the amount of cash investment retained with Comerica during each quarter. At September 30, 2008,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September 30, 2008, we did not have any outstanding import letters of credit and the available balance on the line of credit was $15 million. Furthermore, as of September 30, 2008, we were in compliance with all financial covenants required by the Credit Facility.</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our policy to carefully monitor the state of our business, cash requirements and capital structure. As previously mentioned, we believe that cash generated from our operations and, so long as our Credit Facility is available, funds from our borrowing facility will be sufficient to fund our current business operations and anticipated growth at least over the next twelve months; however, there can be no assurance that such funds will be adequate for that purpose. In addition, our Credit Facility is set to expire on August 31, 2009 and we cannot make any assurances that our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Credit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2007 Annual Report on Form 10-K, or in our other reports filed from time to time with the Securities and Exchange Commission), could contribute to or cause our actual consolidated results to differ materially from those expressed in any of our forward looking statements. The factors included here are not exhaustive. Further, any forward looking statement speaks only as of the date on which the statement is made. We undertake no obligation to update any forward looking statement to reflect events or circumstances after the date on which such statement is made or to reflect the occurrence of unanticipated events. New factors emerge from time to time, and it’s not possible for management to predict all such factors, nor can we assess the impact of each such factor on the business or the extent to which any factor, or combination of factors, may cause actual results to differ materially from those contained in any forward looking statements. Therefore, forward looking statements should not be relied upon as a prediction of actual future results.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 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and other stock-based compensation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1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2008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2008,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 credit facility expiring on August 31, 2009. The interest payable under our revolving Credit Facility with our bank is variable and based on (i) the bank’s cost of funds or (ii) the 12-month LIBOR rate plus a fixed margin of 1.25%. The cost of the credit facility is affected by changes in market interest rates, credit risk spreads and credit availability. The interest rate in effect on the credit facility as of September 30, 2008 using the 12-month LIBOR Rate option plus a fixed margin of 1.25% was 5.21%.</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2008 we had no borrowings on our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could have a material adverse effect on our earnings, cash flow and financial position.</w:t>
      </w:r>
    </w:p>
    <w:p>
      <w:pPr>
        <w:spacing w:after="0" w:line="7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At September 30, 2008 we had wholly owned subsidiaries in the Netherlands, United Kingdom, Germany, France, Argentina, Spain, Italy, Singapore, Hong Kong and India. Sales are typically denominated in local currencies, thereby creating exposure to changes in exchange rates. Changes in local currency exchange rates relative to the U.S. Dollar and, in some cases, to each other, may positively or negatively affect our sales, gross margins and net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The value of our net balance sheet positions held in foreign currency can also be impacted by fluctuating exchange rates.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foreign currency exposures are primarily concentrated in the Euro and British Pound.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September 30, 2008, we believe that movements in foreign currency rates could have a material affect on our financial position. We estimate that if the exchange rates for the Euro and the British Pound relative to the U.S. Dollar fluctuate 10% from September 30, 2008, net income and cash flows in the fourth quarter of 2008 would fluctuate by approximately $0.5 million and $8.6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lawsuits arising out of the conduct of our business. See a discussion of our litigation matters in Note 15 of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9 through 16 of the Company’s 2007 Annual Report on Form 10-K. These factors could cause our actual results to differ materially from those stated in forward-looking statements contained in this document and elsewhere. In addition to the factors included in the Form 10-K, the reader should also consider the following risk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face a number of risks related to the recent financial crisis and severe tightening in the global credit markets.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ongoing global financial crisis affecting the banking system and financial markets has resulted in a severe tightening in the credit markets, a low level of liquidity in many financial markets, and extreme volatility in credit and equity markets. This financial crisis could impact our business in a number of ways, including:</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Potential Deferment of Purchases and Orders by Customers</w:t>
      </w:r>
      <w:r>
        <w:rPr>
          <w:rFonts w:ascii="Arial" w:cs="Arial" w:eastAsia="Arial" w:hAnsi="Arial"/>
          <w:sz w:val="18"/>
          <w:szCs w:val="18"/>
          <w:color w:val="auto"/>
        </w:rPr>
        <w:t>: Uncertainty about current and future global economic conditions may cause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governments to defer purchases in response to tighter credit, decreased cash availability and declining consumer confidence. Accordingly, future demand for our products could differ materially from our current expectations.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 our customers require substantial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fund their operations and make purchases from us. The inability of these customers to obtain sufficient credit to finance purchases of our products and meet their payment obligations to us could adversely impact our financial results. In addition, if the financial crisis results in insolvencies for our customers, it could adversely impact our financial results.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Negative Impact from Increased Financial Pressures on Third-Party Dealers, Distributors and Retailers</w:t>
      </w:r>
      <w:r>
        <w:rPr>
          <w:rFonts w:ascii="Arial" w:cs="Arial" w:eastAsia="Arial" w:hAnsi="Arial"/>
          <w:sz w:val="17"/>
          <w:szCs w:val="17"/>
          <w:color w:val="auto"/>
        </w:rPr>
        <w:t>: We make sales in certain regions of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these end customers to purchase our products from other third parties, or from us directly, it could adversely impact our financial results.</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Negative Impact from Increased Financial Pressures on Key Suppliers: </w:t>
      </w:r>
      <w:r>
        <w:rPr>
          <w:rFonts w:ascii="Arial" w:cs="Arial" w:eastAsia="Arial" w:hAnsi="Arial"/>
          <w:sz w:val="17"/>
          <w:szCs w:val="17"/>
          <w:color w:val="auto"/>
        </w:rPr>
        <w:t>Our ability to meet customers’ demands depends, in part, on our ability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could result in a reduction or interruption in supplies or a significant increase in the price of supplies and adversely impact our financial results. In addition, credit constraints at key suppliers could result in accelerated payment of accounts payable by us, impacting our cash flow.</w:t>
      </w:r>
    </w:p>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Potential Impact on Ability to Sell Receivables: </w:t>
      </w:r>
      <w:r>
        <w:rPr>
          <w:rFonts w:ascii="Arial" w:cs="Arial" w:eastAsia="Arial" w:hAnsi="Arial"/>
          <w:sz w:val="16"/>
          <w:szCs w:val="16"/>
          <w:color w:val="auto"/>
        </w:rPr>
        <w:t>From time to time, the Company sells accounts receivable and long-term receivables to third parties. Sales are</w:t>
      </w:r>
      <w:r>
        <w:rPr>
          <w:rFonts w:ascii="Arial" w:cs="Arial" w:eastAsia="Arial" w:hAnsi="Arial"/>
          <w:sz w:val="16"/>
          <w:szCs w:val="16"/>
          <w:i w:val="1"/>
          <w:iCs w:val="1"/>
          <w:color w:val="auto"/>
        </w:rPr>
        <w:t xml:space="preserve"> </w:t>
      </w:r>
      <w:r>
        <w:rPr>
          <w:rFonts w:ascii="Arial" w:cs="Arial" w:eastAsia="Arial" w:hAnsi="Arial"/>
          <w:sz w:val="16"/>
          <w:szCs w:val="16"/>
          <w:color w:val="auto"/>
        </w:rPr>
        <w:t>made both on a one-time, non-recourse basis and under committed facilities that involve contractual commitments from third parties to purchase qualifying receivables up to monetary limits. These sales of receivables provide the Company the ability to accelerate cash flow when it is prudent to do so. The ability to sell (or “factor”) receivables, particularly under committed facilities, is often subject to the credit quality of the obligor and the Company’s ability to obtain sufficient levels of credit insurance from independent insurance companies. Although the Company has not currently been limited in its ability to sell receivables, the severe tightening in the credit markets as a result of the current financial crisis could limit the Company’s ability 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 receivables in the future, particularly if the creditworthiness of our customers’ declines. In addition, in certain circumstances it has become more difficult and more expensive to obtain and maintain credit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have deferred tax assets that we may not be able to use under certain circumstances.</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If we are unable to generate sufficient future taxable income in certain jurisdictions, or if there is a significant change in the actual effective tax rates or the time period within which the underlying temporary differences become taxable or deductible, we could be required to increase our valuation allowances against our deferred tax assets resulting in an increase in our effective tax rate and an adverse impact on future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2008, we did not sell any equity securities that were not registered under the Securities Act of 1933.</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authority under the Credit Facility to acquire up to 2.0 million shares of our common stock in open market purchases. Between August 31, 2006, the date of amendment of the Credit Facility, and September 30, 2008, we repurchased 1,481,614 shares of our common stock leaving 518,386 remaining shares authorized for repurchase under the Credit Facility. We repurchased 159,810 shares during the quarter ended September 30, 2008, and we may continue to repurchase shares of our common stock during the remainder of the year, if we believe conditions are favorable, or to manage dilution created by shares issued under our stock-based compensation plans. Repurchase information for the third quarter of 2008 is set forth by month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center"/>
              <w:ind w:left="128"/>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July 1, 2008 — July 31, 2008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21.28</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August 1, 2008 — August 31, 2008</w:t>
            </w:r>
          </w:p>
        </w:tc>
        <w:tc>
          <w:tcPr>
            <w:tcW w:w="480" w:type="dxa"/>
            <w:vAlign w:val="bottom"/>
          </w:tcPr>
          <w:p>
            <w:pPr>
              <w:spacing w:after="0"/>
              <w:rPr>
                <w:sz w:val="18"/>
                <w:szCs w:val="18"/>
                <w:color w:val="auto"/>
              </w:rPr>
            </w:pP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2008 — September 30, 2008</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155,836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Q3 2008</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25.51</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 Certifications of Paul D. Arling, Chief Executive Officer (principal executive officer) of Universal Electronics Inc.</w:t>
      </w:r>
    </w:p>
    <w:p>
      <w:pPr>
        <w:spacing w:after="0" w:line="131" w:lineRule="exact"/>
        <w:rPr>
          <w:sz w:val="20"/>
          <w:szCs w:val="20"/>
          <w:color w:val="auto"/>
        </w:rPr>
      </w:pPr>
    </w:p>
    <w:p>
      <w:pPr>
        <w:ind w:left="440" w:right="300" w:hanging="431"/>
        <w:spacing w:after="0" w:line="277" w:lineRule="auto"/>
        <w:rPr>
          <w:sz w:val="20"/>
          <w:szCs w:val="20"/>
          <w:color w:val="auto"/>
        </w:rPr>
      </w:pPr>
      <w:r>
        <w:rPr>
          <w:rFonts w:ascii="Arial" w:cs="Arial" w:eastAsia="Arial" w:hAnsi="Arial"/>
          <w:sz w:val="18"/>
          <w:szCs w:val="18"/>
          <w:color w:val="auto"/>
        </w:rPr>
        <w:t>31.2 Rule 13a-14(a) Certifications of Bryan Hackworth, Chief Financial Officer (principal financial officer and principal accounting officer) of Universal Electronics Inc.</w:t>
      </w:r>
    </w:p>
    <w:p>
      <w:pPr>
        <w:spacing w:after="0" w:line="76" w:lineRule="exact"/>
        <w:rPr>
          <w:sz w:val="20"/>
          <w:szCs w:val="20"/>
          <w:color w:val="auto"/>
        </w:rPr>
      </w:pPr>
    </w:p>
    <w:p>
      <w:pPr>
        <w:ind w:left="440" w:hanging="432"/>
        <w:spacing w:after="0" w:line="342"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09" w:lineRule="exact"/>
        <w:rPr>
          <w:sz w:val="20"/>
          <w:szCs w:val="20"/>
          <w:color w:val="auto"/>
        </w:rPr>
      </w:pPr>
    </w:p>
    <w:p>
      <w:pPr>
        <w:ind w:left="1160" w:hanging="845"/>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M. Hackworth, Chief Financial Officer (principal financial officer and principal accounting officer) of Universal Electronics Inc.</w:t>
      </w:r>
    </w:p>
    <w:p>
      <w:pPr>
        <w:spacing w:after="0" w:line="170" w:lineRule="exact"/>
        <w:rPr>
          <w:sz w:val="20"/>
          <w:szCs w:val="20"/>
          <w:color w:val="auto"/>
        </w:rPr>
      </w:pPr>
    </w:p>
    <w:p>
      <w:pPr>
        <w:jc w:val="both"/>
        <w:ind w:left="1160" w:right="60" w:hanging="783"/>
        <w:spacing w:after="0" w:line="264"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19"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900" w:right="260" w:hanging="44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5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September 30, 2008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November 7, 2008</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Paul D. Arling</w:t>
            </w: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620" w:type="dxa"/>
            <w:vAlign w:val="bottom"/>
          </w:tcPr>
          <w:p>
            <w:pPr>
              <w:spacing w:after="0"/>
              <w:rPr>
                <w:sz w:val="24"/>
                <w:szCs w:val="24"/>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Bryan M. Hackworth</w:t>
            </w: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principal accounting 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32"/>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2019-12-13T07:42:36Z</dcterms:created>
  <dcterms:modified xsi:type="dcterms:W3CDTF">2019-12-13T07:42:36Z</dcterms:modified>
</cp:coreProperties>
</file>