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17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122" w:lineRule="exact"/>
        <w:rPr>
          <w:sz w:val="20"/>
          <w:szCs w:val="20"/>
          <w:color w:val="auto"/>
        </w:rPr>
      </w:pPr>
    </w:p>
    <w:p>
      <w:pPr>
        <w:ind w:left="1380" w:right="16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3239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(State or other jurisdiction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of incorporation or organization)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6101 Gateway Drive</w:t>
            </w:r>
          </w:p>
        </w:tc>
        <w:tc>
          <w:tcPr>
            <w:tcW w:w="332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Cypress, California</w:t>
            </w:r>
          </w:p>
        </w:tc>
        <w:tc>
          <w:tcPr>
            <w:tcW w:w="33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3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Securities Exchange Act of 1934).</w:t>
      </w:r>
    </w:p>
    <w:p>
      <w:pPr>
        <w:spacing w:after="0" w:line="193"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Securities Exchange Act of 1934).</w:t>
      </w:r>
    </w:p>
    <w:p>
      <w:pPr>
        <w:spacing w:after="0" w:line="193" w:lineRule="exact"/>
        <w:rPr>
          <w:sz w:val="20"/>
          <w:szCs w:val="20"/>
          <w:color w:val="auto"/>
        </w:rPr>
      </w:pPr>
    </w:p>
    <w:p>
      <w:pPr>
        <w:ind w:left="2520"/>
        <w:spacing w:after="0" w:line="207" w:lineRule="exact"/>
        <w:tabs>
          <w:tab w:leader="none" w:pos="84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13,424,409 shares of Common Stock, par value $.01 per share, of the registrant were outstanding on November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4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rPr>
              <w:t>UNIVERSAL ELECTRONICS INC.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2"/>
          </w:tcPr>
          <w:p>
            <w:pPr>
              <w:jc w:val="center"/>
              <w:ind w:right="4120"/>
              <w:spacing w:after="0"/>
              <w:rPr>
                <w:sz w:val="20"/>
                <w:szCs w:val="20"/>
                <w:color w:val="auto"/>
              </w:rPr>
            </w:pPr>
            <w:r>
              <w:rPr>
                <w:rFonts w:ascii="Arial" w:cs="Arial" w:eastAsia="Arial" w:hAnsi="Arial"/>
                <w:sz w:val="18"/>
                <w:szCs w:val="18"/>
                <w:color w:val="auto"/>
              </w:rPr>
              <w:t>INDEX</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20" w:type="dxa"/>
            <w:vAlign w:val="bottom"/>
            <w:gridSpan w:val="7"/>
            <w:vMerge w:val="restart"/>
          </w:tcPr>
          <w:p>
            <w:pPr>
              <w:spacing w:after="0"/>
              <w:rPr>
                <w:sz w:val="24"/>
                <w:szCs w:val="2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2"/>
            <w:vMerge w:val="continue"/>
          </w:tcPr>
          <w:p>
            <w:pPr>
              <w:spacing w:after="0"/>
              <w:rPr>
                <w:sz w:val="14"/>
                <w:szCs w:val="14"/>
                <w:color w:val="auto"/>
              </w:rPr>
            </w:pPr>
          </w:p>
        </w:tc>
        <w:tc>
          <w:tcPr>
            <w:tcW w:w="7720" w:type="dxa"/>
            <w:vAlign w:val="bottom"/>
            <w:gridSpan w:val="7"/>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4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4. Controls and Procedures</w:t>
              </w:r>
            </w:hyperlink>
          </w:p>
        </w:tc>
        <w:tc>
          <w:tcPr>
            <w:tcW w:w="8280" w:type="dxa"/>
            <w:vAlign w:val="bottom"/>
            <w:gridSpan w:val="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1062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040" w:type="dxa"/>
            <w:vAlign w:val="bottom"/>
            <w:gridSpan w:val="8"/>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9020" w:type="dxa"/>
            <w:vAlign w:val="bottom"/>
            <w:gridSpan w:val="1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2. Unregistered Sales of Equity Securities and Use of Proceeds</w:t>
              </w:r>
            </w:hyperlink>
          </w:p>
        </w:tc>
        <w:tc>
          <w:tcPr>
            <w:tcW w:w="570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96"/>
        </w:trPr>
        <w:tc>
          <w:tcPr>
            <w:tcW w:w="106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6. Exhibits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w:t>
              </w:r>
            </w:hyperlink>
          </w:p>
        </w:tc>
        <w:tc>
          <w:tcPr>
            <w:tcW w:w="460" w:type="dxa"/>
            <w:vAlign w:val="bottom"/>
            <w:tcBorders>
              <w:top w:val="single" w:sz="8" w:color="0000EE"/>
            </w:tcBorders>
            <w:gridSpan w:val="3"/>
          </w:tcPr>
          <w:p>
            <w:pPr>
              <w:spacing w:after="0"/>
              <w:rPr>
                <w:sz w:val="17"/>
                <w:szCs w:val="17"/>
                <w:color w:val="auto"/>
              </w:rPr>
            </w:pPr>
          </w:p>
        </w:tc>
        <w:tc>
          <w:tcPr>
            <w:tcW w:w="9460" w:type="dxa"/>
            <w:vAlign w:val="bottom"/>
            <w:gridSpan w:val="1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Exhibit Index</w:t>
              </w:r>
            </w:hyperlink>
          </w:p>
        </w:tc>
        <w:tc>
          <w:tcPr>
            <w:tcW w:w="9620" w:type="dxa"/>
            <w:vAlign w:val="bottom"/>
            <w:gridSpan w:val="1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60" w:type="dxa"/>
            <w:vAlign w:val="bottom"/>
            <w:gridSpan w:val="18"/>
          </w:tcPr>
          <w:p>
            <w:pPr>
              <w:spacing w:after="0" w:line="196" w:lineRule="exact"/>
              <w:rPr>
                <w:sz w:val="20"/>
                <w:szCs w:val="20"/>
                <w:color w:val="auto"/>
              </w:rPr>
            </w:pPr>
            <w:r>
              <w:rPr>
                <w:rFonts w:ascii="Arial" w:cs="Arial" w:eastAsia="Arial" w:hAnsi="Arial"/>
                <w:sz w:val="18"/>
                <w:szCs w:val="18"/>
                <w:color w:val="0000EE"/>
              </w:rPr>
              <w:t>EXHIBIT 31.1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w:t>
      </w:r>
    </w:p>
    <w:p>
      <w:pPr>
        <w:spacing w:after="0" w:line="17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1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
              <w:spacing w:after="0" w:line="142" w:lineRule="exact"/>
              <w:rPr>
                <w:sz w:val="20"/>
                <w:szCs w:val="20"/>
                <w:color w:val="auto"/>
              </w:rPr>
            </w:pPr>
            <w:r>
              <w:rPr>
                <w:rFonts w:ascii="Arial" w:cs="Arial" w:eastAsia="Arial" w:hAnsi="Arial"/>
                <w:sz w:val="14"/>
                <w:szCs w:val="14"/>
                <w:color w:val="auto"/>
                <w:w w:val="92"/>
              </w:rPr>
              <w:t>(Unaudited)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36,856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23,370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3,973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110,429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111,378</w:t>
            </w: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4,348</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6,166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136,692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20,677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5,680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37,107</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37,623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stock, $.01 par value, 50,000,000 shares authorized; 16,835,072 and 16,642,743 shares issued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September 30, 2005 and December 31, 2004,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81,644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51,471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stock-based compensation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128,807</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Less cost of common stock in treasury, 3,425,876 and 3,084,591 shares at September 30, 2005 and 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2004,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(29,738)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99,069</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136,692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46,206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40,047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132,030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29,212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24,254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16,994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15,793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41,336</w:t>
            </w: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1,782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4,952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11,541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10,656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29,451</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13,323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12,497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income,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w:t>
            </w: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13,391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13,496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13,918</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14,029</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6,178</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2,494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Employee and director 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fixed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Write-down of investment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(1,539)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(1,070)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other 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12,749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short-term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(2,579)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Proceeds from stock options exercised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purchase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(4,369)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42,472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58,481</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42,340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INFORMATION: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nine months ended September 30, 2005, we recorded a tax benefit from the exercise of stock options of $427 thousand, which is recorded to Paid-In Capital and Accrued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after elimination of all material intercompany accounts and transactions.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These financial statements should be read in conjunction with the consolidated financial statements and the related notes contained in our 2004 Annual Report on Form 10-K. The financial information presented in the accompanying statements reflect all adjustments that are, in the opinion of management, necessary for a fair presentation of financial position, results of operations and cash flows for the periods presented. All such adjustments are of a normal recurring nature. As used herein, the terms “we,” “us” and “our” refer to Universal Electronics Inc. and its subsidiaries unless the context indicates to the contrary.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 of assets and liabilities, disclosure of contingent assets and liabilities, and the amount of revenue and expense during the period. On an on-going basis, we evaluate our estimates and judgments, including those related to revenue recognition, allowance for sales returns and doubtful accounts, warranties, inventory valuation, our review for impairment of long-lived assets, identifiable intangible assets, goodwill, contingencies, and income taxes. Actual results may differ from those estimated and the estimates may be adjusted as more information becomes available. Any adjustment could be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account for stock-based employee compensation by applying the intrinsic-value method in accordance with the provisions of Accounting Principles Board Opinion (APB) No. 25, “Accounting for Stock Issued to Employees.” Under the intrinsic-value method, compensation cost is the excess, if any, of the quoted market price of the stock at the grant date over the amount an employee must pay to acquire the stock. We grant stock options with an exercise price equal to the market value of the common stock on the date of grant, and therefore no compensation expense has been recognized related to options.</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adopted the disclosure requirements of SFAS No. 123, “Accounting for Stock-Based Compensation,” as amended by SFAS No. 148, “Accounting for Stock-Based Compensation — Transition and Disclosure.” Under SFAS 123, compensation expense is computed based on the fair value of the stock options granted and is recognized over the period during which an employee is required to provide service in exchange for the award (usually the vesting period). The fair value of the options granted is determined at the date of grant using the Black-Scholes option valuation model. If we had elected to recognize compensation cost based on the fair value of the awards at the grant date, net income would have been the pro forma amounts shown below.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2,777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1,928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r>
      <w:tr>
        <w:trPr>
          <w:trHeight w:val="202"/>
        </w:trPr>
        <w:tc>
          <w:tcPr>
            <w:tcW w:w="60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w w:val="97"/>
              </w:rPr>
              <w:t>Less: Total stock-based employee compensation expense determined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under the fair value based method for all awards, net of related tax</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effects</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(1,909)</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Pro forma</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compensation and the resulting pro forma net income and earnings per share for the three and nine months ended September 30, 2004 have been revised to reflect the effect of stock option forfeitures.</w:t>
      </w:r>
    </w:p>
    <w:p>
      <w:pPr>
        <w:spacing w:after="0" w:line="6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There were 17,500 options granted during the three months ended September 30, 2005. The Black-Scholes option valuation model was used to estimate the grant date fair value of the options during the three months ended September 30, 2005 utilizing the following assumptions: risk-free interest rate of approximately 4.12%, expected volatility of 45.56%, expected life of five years, and the common stock will not pay dividends. The per-share weighted average grant date fair value of the options granted during the three months ended September 30, 2005 is $8.09.</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There were 12,000 options granted during the three months ended September 30, 2004. The Black-Scholes option valuation model was used to estimate the grant date fair value of the options during the three months ended September 30, 2004, utilizing the following assumptions: risk-free interest rate of approximately 3.7%, expected volatility of 62.1%, expected life of five years; and the common stock will pay no dividends. The per-share weighted average grant date fair values of the options granted during the three months ended September 30, 2004 was $14.54.</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There were 628,000 options granted during the nine months ended September 30, 2005. The Black-Scholes option valuation model was used to estimate the grant date fair value of the options during the nine months ended September 30, 2005 utilizing the following assumptions: risk-free interest rate of approximately 3.72%, expected volatility of 58.41%, expected life of five years, and the common stock will not pay dividends. The per-share weighted average grant date fair value of the options granted during the nine months ended September 30, 2005 is $9.28.</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There were 537,428 options granted during the nine months ended September 30, 2004. The Black-Scholes option valuation model was used to estimate the grant date fair value of the options during the nine months ended September 30, 2004 utilizing the following assumptions: risk-free interest rate of approximately 2.9%, expected volatility of 59.6%, expected life of five years; and the common stock will pay no dividends. The per-share weighted average grant date fair values of the options granted during the nine months ended September 30, 2004 was $12.80.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Revenue Concentrations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Trade receivables subject us to a concentration of credit risk. This risk is mitigated by a number of factors. These factors include the size, strength, and number of customers comprising our customer base, and our performance of ongoing credit evaluations.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had sales to one significant customer of $5.9 million and $4.6 million representing 12.7% and 11.4% of our net sales for the three months ended September 30, 2005 and 2004, respectively. We had sales to the same significant customer of $17.6 million and $12.4 million representing 13.4% and 11.6% of our net sales for the nine months ended September 30, 2005 and 2004, respectively. Trade receivable with this customer amounted to $3.0 million or 8.2% and $2.4 million or 5.9% of our total accounts receivable at September 30, 2005 and December 31, 2004, respectively.</w:t>
      </w:r>
    </w:p>
    <w:p>
      <w:pPr>
        <w:sectPr>
          <w:pgSz w:w="11900" w:h="16838" w:orient="portrait"/>
          <w:cols w:equalWidth="0" w:num="1">
            <w:col w:w="11420"/>
          </w:cols>
          <w:pgMar w:left="240" w:top="41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had sales to a customer and its sub-contractors that, when combined, totaled $6.2 million and $4.1 million accounting for 13.4% and 10.3% of net sales for the three months ended September 30, 2005 and 2004, respectively. We had sales to the same customer and its subcontractors that, when combined, totaled $23.1 million and $8.1 million accounting for 17.5% and 7.6% of net sales for the nine months ended September 30, 2005 and 2004, respectively. Trade receivable with this customer and its subcontractors amounted to $2.6 million or 7.0% and $2.4 million or 5.7% of our total trade receivables at September 30, 2005 and December 31, 2004,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Suppliers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purchase components and finished product from multiple sources. Three sources each provide in excess of ten percent (10%) of our inventory purchases. Purchases from these three major suppliers amounted to $8.0 million, $3.2 million and $2.8 million representing 30.2%, 12.0% and 10.6%, respectively, of total inventory purchases in the quarter ended September 30, 2005. During the quarter ended September 30, 2004, purchases from these three major suppliers amounted to $7.1 million, $3.0 million and $1.2 million representing 30.8%, 12.8% and 5.2%, respectively, of total inventory purchases.</w:t>
      </w:r>
    </w:p>
    <w:p>
      <w:pPr>
        <w:spacing w:after="0" w:line="4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the nine months ended September 30, 2005, purchases from these three suppliers amounted to $26.5 million, $8.0 million and $7.2 million representing 36.3%, 11.0%, and 9.8%, respectively, of total inventory purchases. During the nine months ended September 30, 2004, purchases from these three suppliers amounted to $15.5 million, $4.9 million and $5.9 million representing 24.7%, 7.8%, and 9.3%, respectively, of total inventory purchases.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with the aforementioned three suppliers amounted to $6.7 million, $0.9 million and $1.5 million, respectively, representing 32.4%, 4.4%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7.4% of the total accounts payable at September 30, 2005. Accounts payable for these three suppliers amounted to $5.9 million, $0.6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 million, representing 33.8%, 3.5% and 8.0% of the total accounts payable at December 31, 2004. There was one additional significant supplier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of $2.0 million or 11.6% of the total accounts payable at December 31,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Inventories consisting of wireless control devices, audio/video accessories, and the related component parts, are valued at the lower of cost or market. Cost is determined using the first-in, first-out method. New product innovations and technological advances may shorten a given product’s life cycle. We continually monitor our inventory status to control inventory levels and to ensure that we dispose of any excess or obsolete inventories on hand. We write down our inventory for estimated obsolescence equal to the difference between the cost of the inventory and the estimated market value based upon our best estimates about future demand and market conditions. If the actual market conditions are less favorable than those projected by management, additional inventory write-downs may be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 2005</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2004</w:t>
            </w:r>
          </w:p>
        </w:tc>
      </w:tr>
      <w:tr>
        <w:trPr>
          <w:trHeight w:val="20"/>
        </w:trPr>
        <w:tc>
          <w:tcPr>
            <w:tcW w:w="8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Finished goods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20,285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19,446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scrap</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(3,209)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(3,806)</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Inventory, net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23,862</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September 30, 2005 inventory write-downs totaled $0.8 million compared to $0.6 million recorded in the quarter ended</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September 30, 2004. During the nine months ended September 30, 2005 inventory write-downs totaled $2.5 million compared to $2.8 million recorded in the nine months ended September 30, 2004.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Inventory write-downs are a normal part of our business, and result primarily from product life cycle estimation variances.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We use the estimated effective tax rate for the year to determine our provision for income taxes for interim periods. We recorded income tax expense of $1.1 million for the three months ended September 30, 2005 compared to $1.1 million for the same period last year. Our estimated effective tax rate was</w:t>
      </w:r>
    </w:p>
    <w:p>
      <w:pPr>
        <w:ind w:right="20"/>
        <w:spacing w:after="0" w:line="253" w:lineRule="auto"/>
        <w:rPr>
          <w:sz w:val="20"/>
          <w:szCs w:val="20"/>
          <w:color w:val="auto"/>
        </w:rPr>
      </w:pPr>
      <w:r>
        <w:rPr>
          <w:rFonts w:ascii="Arial" w:cs="Arial" w:eastAsia="Arial" w:hAnsi="Arial"/>
          <w:sz w:val="18"/>
          <w:szCs w:val="18"/>
          <w:color w:val="auto"/>
        </w:rPr>
        <w:t>27.7% and 35.9% during the three months ended September 30, 2005 and 2004, respectively. We recorded income tax expense of $3.0 million for the nine months ended September 30, 2005 compared to $2.9 million for the same period last year. Our estimated effective tax rate was 32.1% and 34.7% during the nine months ended September 30, 2005 and 2004, respectively. The decrease in the effective tax rate in 2005 versus 2004 was due primarily to the recognition of research and development tax credits. The identification of these research and development tax credits resulted from a research and development tax study that was completed during the third quarter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September 30, 2005 and 2004, approximately 1,021,000 and 554,000 stock options, respectively, with exercise prices greater than the average market price of the underlying common stock were excluded because their inclusion would have been antidilutive. In the computation of diluted earnings per common share for the nine months ended September 30, 2005 and 2004, approximately 1,000,000 and 993,000 stock options, respectively, with exercise prices greater than the average market price of the underlying common stock were excluded because their inclusion would have been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for the three and nine months ended September 30, 2005 and 2004 are calculated as follows (in thousands, except per-share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BASIC</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2,777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6,178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13,496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460"/>
              <w:spacing w:after="0"/>
              <w:rPr>
                <w:sz w:val="20"/>
                <w:szCs w:val="20"/>
                <w:color w:val="auto"/>
              </w:rPr>
            </w:pPr>
            <w:r>
              <w:rPr>
                <w:rFonts w:ascii="Arial" w:cs="Arial" w:eastAsia="Arial" w:hAnsi="Arial"/>
                <w:sz w:val="18"/>
                <w:szCs w:val="18"/>
                <w:b w:val="1"/>
                <w:bCs w:val="1"/>
                <w:color w:val="auto"/>
              </w:rPr>
              <w:t>DILUTED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2,777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1,928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6,178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13,391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13,496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common shares outstanding on a diluted basis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14,029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13,995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(loss) income are listed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(7,803)*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(1,625</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foreign currency translation loss of $7.8 million for the nine months ended September 30, 2005 is due to the strengthening of the U.S. dollar versus the Euro. The U.S. dollar/Euro spot rate was 1.24 and 1.35 at September 30, 2005 and December 31, 2004,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income, net are listed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exchange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2,131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Write-down of investment transactions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(357)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Other Accrued Expenses</w:t>
            </w: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tcPr>
          <w:p>
            <w:pPr>
              <w:spacing w:after="0"/>
              <w:rPr>
                <w:sz w:val="20"/>
                <w:szCs w:val="20"/>
                <w:color w:val="auto"/>
              </w:rPr>
            </w:pPr>
            <w:r>
              <w:rPr>
                <w:rFonts w:ascii="Arial" w:cs="Arial" w:eastAsia="Arial" w:hAnsi="Arial"/>
                <w:sz w:val="18"/>
                <w:szCs w:val="18"/>
                <w:color w:val="auto"/>
                <w:w w:val="99"/>
              </w:rPr>
              <w:t>The components of other accrued expense are listed below (in thousands):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September 30, 2005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8"/>
              </w:rPr>
              <w:t>December 31, 2004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Taxes 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8,184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purchased 356,285 shares of our common stock at a cost of $6.1 million during the nine months ended September 30, 2005. During the nine months ended September 30, 2004, we purchased 445,807 shares of our common stock at a cost of $5.9 million. We hold shares purchased from the open market as treasury stock and they are available to be reissued. During the nine months ended September 30, 2005, we issued 15,000 shares of common stock out of treasury valued at $226 thousand to our outside directors for services performed.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FASB Staff Position (“FSP”) No. 109-1, “Application of FASB Statement No. 109, Accounting for Income Taxes, to the Tax Deduction on Qualified Production Activities Provided by the American Jobs Creation Act of 2004,” (“FSP 109-1”), provides guidance under SFAS No. 109, “Accounting for Income Taxes,” with respect to the provision within the American Jobs Creation Act of 2004 (the “Jobs Act”) that provides a tax deduction on qualified production activities. The Jobs Act includes a tax deduction of up to 9 percent (when fully phased-in) of the lesser of (a) “qualified production activities income,” as defined in the Jobs Act, or (b) taxable income (after the deduction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for the utilization of any net operating loss carryforwards). This tax deduction is limited to 50 percent of W-2 wages paid by the taxpayer. FSP 109-1 states that an enterprise should account for the deduction as a special deduction in accordance with Statement 109. In addition, FSP 109-1 requires that the special deduction be considered by an enterprise in (a) measuring deferred taxes when graduated tax rates are a significant factor and (b) assessing whether a valuation allowance is necessary as required by paragraph 232 of Statement 109. We are currently evaluating the effect that the adoption of FSP 109-1 will have on our consolidated results of operations and financial condition but do not expect it will have a material impact.</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FASB Staff Position (“FSP”) No. 109-2, “Accounting and Disclosure Guidance for the Foreign Earnings Repatriation Provision within the American Jobs Creation Act of 2004” (“FSP 109-2”), provides guidance under SFAS No. 109, “Accounting for Income Taxes,” with respect to recording the potential impact of the repatriation provisions of the American Jobs Creation Act of 2004 (the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No. 109. The undistributed earnings of our foreign subsidiaries are considered to be indefinitely reinvested. Consequently, we do not expect this standard to have a material impact on our consolidated results of operations and financial condition.</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do not expect this standard to have a material impact on our consolidated results of operations and financial condition.</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SFAS 123R will significantly change existing accounting practice and will have a material effect on our reported earnings. The pro forma disclosures previously permitted under SFAS 123, no longer will be an alternative to financial statement recognition. We are required to adopt SFAS 123R in the first quarter of fiscal 2006, beginning January 1, 2006. Under SFAS 123R, we must determine the appropriate fair value model to be used for valuing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share-based payments, the amortization method for compensation cost and the transition method to be used at the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plan to apply the modified prospective method, which requires that compensation expense be recorded for all unvested stock options and restricted stock at the beginning of the first quarter of adoption of SFAS 123R. We have not yet determined the effect of adopting SFAS 123R, and we have not determined whether the adoption will result in amounts that are similar to the current pro forma disclosures under SFAS 123.</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2005, the SEC issued Staff Accounting Bulletin No. 107 (“SAB 107”) regarding the SEC’s interpretation of SFAS 123R and the valuation of share-based payments for public companies. We are evaluating the requirements of SFAS 123R and SAB 107 and expect that the adoption of SFAS 123R on January 1, 2006 will have a material impact on our consolidated results of operations and earnings per share. We plan to apply the modified prospective method, which requires that compensation expense be recorded for all unvested stock options and restricted stock at the beginning of the first quarter of adoption of SFAS 123R. We have not yet determined the effect of adopting SFAS 123R, and we have not determined whether the adoption will result in amounts that are similar to the current pro forma disclosures under SFAS 123.</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and we are required to adopt the standard in the first quarter of fiscal 2006. We do not expect this standard to have a material impact on our consolidated results of operations and financial condition.</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June 2005, the FASB issued FSP FAS 143-1, “Accounting for Electronic Equipment Waste Obligations” (“FSP 143-1”), which provides guidance on the accounting for certain obligations associated with the Directive on Waste Electrical and Electronic Equipment (the “Directive”), which was adopted by the European Union (“EU”). Under the Directive, the financing of historical waste held by private households is to be borne collectively by producers that are selling in the market during each measurement period (to be defined by each EU-member country). The volume of equipment that qualifies as historical waste that those producers have sold in the market prior to the measurement period is not considered. Producers will be required to contribute proportionately based on their participation in the market (for example, in proportion to their respective shares of the market by type of equipment). However, the exact method to be used to compute the respective proportions to be contributed by producers will be determined by each EU-member country. For commercial users, the waste management obligation for historical equipment (products put on the market on or prior to August 13, 2005) remains with these entities until the equipment is replaced. FSP 143-1 is required to be applied to the later of the first reporting period ending after June 8, 2005 or the date of the Directive’s adoption into law by the applicable EU member countries in which we have significant operations. We are currently evaluating the effect that the adoption of FSP 143-1 will have on our consolidated results of operations and financial condition. Such effects will depend on the respective laws adopted by the EU member countries.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composed of two operating segments. Under the requirements of SFAS 142, “Goodwill and Other Intangible Assets</w:t>
      </w:r>
      <w:r>
        <w:rPr>
          <w:rFonts w:ascii="Arial" w:cs="Arial" w:eastAsia="Arial" w:hAnsi="Arial"/>
          <w:sz w:val="18"/>
          <w:szCs w:val="18"/>
          <w:i w:val="1"/>
          <w:iCs w:val="1"/>
          <w:color w:val="auto"/>
        </w:rPr>
        <w:t>”</w:t>
      </w:r>
      <w:r>
        <w:rPr>
          <w:rFonts w:ascii="Arial" w:cs="Arial" w:eastAsia="Arial" w:hAnsi="Arial"/>
          <w:sz w:val="18"/>
          <w:szCs w:val="18"/>
          <w:color w:val="auto"/>
        </w:rPr>
        <w:t>,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the operating segment “Core Business”. SimpleDevices is the other operating segment and is a “reporting unit” as well.</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Goodwill for international operations resulted from the acquisition of remote control distributors in the UK in 1998, Spain in 1999 and France in 2000. We acquired SimpleDevices in 2004, and of the total purchase price, approximately $7.2 million was allocated to goodwill and $2.8 million was allocated to amortizable intangible assets including engineering contracts, developed and core technology, and trademarks and trade names.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Core Business Segment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Domestic</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r>
      <w:tr>
        <w:trPr>
          <w:trHeight w:val="223"/>
        </w:trPr>
        <w:tc>
          <w:tcPr>
            <w:tcW w:w="8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9"/>
                <w:szCs w:val="19"/>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SimpleDevices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r>
      <w:tr>
        <w:trPr>
          <w:trHeight w:val="223"/>
        </w:trPr>
        <w:tc>
          <w:tcPr>
            <w:tcW w:w="892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September 30, 2005, as compared to the goodwill reported at December 31, 2004, was the result of fluctuations in the foreign currency exchange rates used to translate the balance into U.S. dollars.</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Besides goodwill, our other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Distribution rights (10 years)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 (5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Capitalized software (2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(5-7 years)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Amortization expense for the three and nine months ended September 30, 2005 was approximately $300 thousand and $800 thousand, respectively. Amortization expense for the three and nine months ended September 30, 2004 was approximately $200 thousand and $400 thousand, respectively. Estimated amortization expenses for existing intangible assets for each of the five succeeding years ending December 31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2005 (remaining three months)</w:t>
            </w:r>
          </w:p>
        </w:tc>
        <w:tc>
          <w:tcPr>
            <w:tcW w:w="4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2006</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2008</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2010</w:t>
            </w: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24"/>
        </w:trPr>
        <w:tc>
          <w:tcPr>
            <w:tcW w:w="6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9"/>
                <w:szCs w:val="19"/>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foreign currency exposures are primarily concentrated in the Euro and British Pound. Depending on the predictability of future receivables, payables and cash flows in each operating currency, we periodically enter into foreign currency exchange contracts with terms normally lasting less than nine months to protect against the adverse effects that exchange-rate fluctuations may have on our foreign currency-denominated receivables, payables and cash flows. We do not enter into financial instruments for speculation or trading purposes. These derivatives have not qualified for hedge accounting. The gains and losses on both the derivatives and the foreign currency-denominated balances are recorded as foreign exchange transaction gains or losses in other (expense)/income, net.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hold foreign currency exchange contracts which resulted in a net loss of approximately $104 thousand and $283 thousand for the quarter and nine months ended September 30, 2005, respectively. We had three foreign currency exchange contracts outstanding at September 30, 2005, two forward contracts with a combined notional value of $13.0 million, and one option structure known as a participating forward with a notional value of $25.0 million. We had no foreign currency exchange contracts or other derivatives at December 31, 2004.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Participating Forward</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entered into a USD/Euro participating forward with a 50% participation rate and a notional value of $25.0 million in April 2005. The strike price of the participating forward is $1.2675. The contract expires on December 30, 2005.</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gain recorded related to this contract was $37 thousand and $996 thousand during the quarter and nine months ended September 30, 2005,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this contract was approximately $1.0 million at September 30, 2005. This contract is included in prepaid expenses and other current assets.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two reportable segments, Core Business and SimpleDevices. The Core Business segment produces a broad line of easy-to-use, pre-programmed universal wireless control products that are marketed principally for home video and audio entertainment equipment through various channels of distribution, including international retail, private label, OEMs, cable and satellite service providers, and to companies in the computing industry. The SimpleDevices segment produces connected-device technology, as well as hardware reference designs, that link the home computer and the Internet to existing consumer electronic devices in the home and car using Universal Plug and Play (“UPnP”) compatible software that is marketed primarily to OEMs.</w:t>
      </w:r>
    </w:p>
    <w:p>
      <w:pPr>
        <w:spacing w:after="0" w:line="5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disaggregated financial results for our reportable segments have been prepared using a management approach, which is consistent with the basis and manner in which we make internal operating and resource allocation decisions. The accounting policies of the reportable segments are the same as those described under the “Summary of Significant Accounting Policies” section contained in our 2004 Annual Report on Form 10-K and the Quarterly Report on Form 10-Q. The segment information does not include a full allocation of corporate overhead costs between the SimpleDevices and Core Business segments.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1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During the fourth quarter of 2004 we purchased SimpleDevices, Inc. for approximately $12.8 million in cash, including direct acquisition costs, and a potential performance-based payment of our unregistered common stock, if certain future financial objectives are achieved. As a result of the performance based incentive and other factors, we review SimpleDevices operating results on a regular basis. As the integration of SimpleDevices operations continues, and the performance based incentive expires, we may or may not determine in the future that SimpleDevices will continue to be a reportable segment in accordance with SFAS 131. Other factors that we considered in the determination of reportable operating segments included product differences, current management structure, distribution methods, and economic characteristics. We concluded, as of September 30, 2005, that reporting SimpleDevices as a reportable segment is in accordance with SFAS 131.</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 for the quarter ended September 30, 2005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3"/>
              </w:rPr>
              <w:t>Quarter Ended September 30, 2005</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Core Business</w:t>
            </w:r>
          </w:p>
        </w:tc>
        <w:tc>
          <w:tcPr>
            <w:tcW w:w="64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SimpleDevices (1)</w:t>
            </w:r>
          </w:p>
        </w:tc>
        <w:tc>
          <w:tcPr>
            <w:tcW w:w="12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45,939</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845</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134,012</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136,692</w:t>
            </w:r>
          </w:p>
        </w:tc>
      </w:tr>
      <w:tr>
        <w:trPr>
          <w:trHeight w:val="310"/>
        </w:trPr>
        <w:tc>
          <w:tcPr>
            <w:tcW w:w="7360" w:type="dxa"/>
            <w:vAlign w:val="bottom"/>
          </w:tcPr>
          <w:p>
            <w:pPr>
              <w:spacing w:after="0"/>
              <w:rPr>
                <w:sz w:val="20"/>
                <w:szCs w:val="20"/>
                <w:color w:val="auto"/>
              </w:rPr>
            </w:pPr>
            <w:r>
              <w:rPr>
                <w:rFonts w:ascii="Arial" w:cs="Arial" w:eastAsia="Arial" w:hAnsi="Arial"/>
                <w:sz w:val="18"/>
                <w:szCs w:val="18"/>
                <w:i w:val="1"/>
                <w:iCs w:val="1"/>
                <w:color w:val="auto"/>
                <w:w w:val="92"/>
              </w:rPr>
              <w:t>Segment Income (Loss) and Assets for the nine months ended September 30, 2005 (in thousands)</w:t>
            </w:r>
            <w:r>
              <w:rPr>
                <w:rFonts w:ascii="Arial" w:cs="Arial" w:eastAsia="Arial" w:hAnsi="Arial"/>
                <w:sz w:val="18"/>
                <w:szCs w:val="18"/>
                <w:color w:val="auto"/>
                <w:w w:val="92"/>
              </w:rPr>
              <w: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Nine Months Ended September 30, 2005</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36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Core Business</w:t>
            </w:r>
          </w:p>
        </w:tc>
        <w:tc>
          <w:tcPr>
            <w:tcW w:w="64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SimpleDevices (1)</w:t>
            </w:r>
          </w:p>
        </w:tc>
        <w:tc>
          <w:tcPr>
            <w:tcW w:w="12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131,112</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132,030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2,421</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(2,937)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134,012</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2,680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136,692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right="20" w:hanging="332"/>
        <w:spacing w:after="0" w:line="340"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SimpleDevices was acquired in October 2004, consequently the results of operations and assets of SimpleDevices are not presented for the quarter and year to date ended September 30, 2004. In addition, the results of operations and assets for the Core Business segment are not presented for the quarter and year to date ended September 30, 2004 as they correspond to the income and assets in the accompanying unaudited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and long-lived tangible assets by geographic area are presented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22,690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17,521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71,735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51,169</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6,978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15,039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Asia</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5,532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5,607</w:t>
            </w: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Spain</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5,239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7,352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w:t>
            </w: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France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4,582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4,771</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Switzerland</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1,263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r>
      <w:tr>
        <w:trPr>
          <w:trHeight w:val="216"/>
        </w:trPr>
        <w:tc>
          <w:tcPr>
            <w:tcW w:w="2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South Africa</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12,067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10,953</w:t>
            </w:r>
          </w:p>
        </w:tc>
      </w:tr>
      <w:tr>
        <w:trPr>
          <w:trHeight w:val="230"/>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2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23,516</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22,526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46,206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40,047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132,030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106,669</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September 30, 2005</w:t>
            </w:r>
          </w:p>
        </w:tc>
        <w:tc>
          <w:tcPr>
            <w:tcW w:w="19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2004</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3,127</w:t>
            </w:r>
          </w:p>
        </w:tc>
        <w:tc>
          <w:tcPr>
            <w:tcW w:w="10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2,956</w:t>
            </w: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3,711</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6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SimpleDevices, Inc. Acquisition</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From October 1, 2004 through December 31, 2004, we acquired over 99% of the outstanding shares of SimpleDevices, Inc. for approximately $12.8 million in cash, including direct acquisition costs of $0.3 million. We intend to purchase the remaining shares when the sellers are located. The transaction also includes a potential performance-based payment of unregistered common stock, if certain future financial objectives are achieved, which has not been reflected as part of the purchase price as of September 30, 2005 since it is not probable such objectives will be achieved. The results of SimpleDevices’ operations have been included in the consolidated financial statements since the date of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SimpleDevices as if the acquisition had occurred as of the beginning of the periods presented. Adjustments of $28 thousand for the quarter ended September 30, 2004 and $84 thousand for the nine months ended September 30, 2004 have been made to the combined results of operations, reflecting primarily amortization of purchased intangible assets, net of tax.</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Actual financial results for the three and nine months ended September 30, 2005, and Pro forma results for the three and nine months ended September 30, 2004 are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08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2004 (1)</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8"/>
              </w:rPr>
              <w:t>2004 (1)</w:t>
            </w:r>
          </w:p>
        </w:tc>
        <w:tc>
          <w:tcPr>
            <w:tcW w:w="100" w:type="dxa"/>
            <w:vAlign w:val="bottom"/>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46,206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40,356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132,030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107,610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6,178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3,897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Basic</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pro-forma net income does not reflect the write-off of $240,000 of acquired in-process research and development of SimpleDevices.</w:t>
      </w:r>
    </w:p>
    <w:p>
      <w:pPr>
        <w:spacing w:after="0" w:line="1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as we sell the related products. Because warranty expense is a forecast based on the best available information, mostly historical claims experience, actual claim costs may differ from the amounts provided. The change in the liability for product warranties is presented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Accruals for</w:t>
            </w:r>
          </w:p>
        </w:tc>
        <w:tc>
          <w:tcPr>
            <w:tcW w:w="3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Settlements</w:t>
            </w:r>
          </w:p>
        </w:tc>
        <w:tc>
          <w:tcPr>
            <w:tcW w:w="280" w:type="dxa"/>
            <w:vAlign w:val="bottom"/>
          </w:tcPr>
          <w:p>
            <w:pPr>
              <w:spacing w:after="0"/>
              <w:rPr>
                <w:sz w:val="14"/>
                <w:szCs w:val="14"/>
                <w:color w:val="auto"/>
              </w:rPr>
            </w:pPr>
          </w:p>
        </w:tc>
        <w:tc>
          <w:tcPr>
            <w:tcW w:w="7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52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(in Cash or in</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gridSpan w:val="4"/>
          </w:tcPr>
          <w:p>
            <w:pPr>
              <w:ind w:left="540"/>
              <w:spacing w:after="0" w:line="149" w:lineRule="exact"/>
              <w:rPr>
                <w:sz w:val="20"/>
                <w:szCs w:val="20"/>
                <w:color w:val="auto"/>
              </w:rPr>
            </w:pPr>
            <w:r>
              <w:rPr>
                <w:rFonts w:ascii="Arial" w:cs="Arial" w:eastAsia="Arial" w:hAnsi="Arial"/>
                <w:sz w:val="14"/>
                <w:szCs w:val="14"/>
                <w:b w:val="1"/>
                <w:bCs w:val="1"/>
                <w:color w:val="auto"/>
              </w:rPr>
              <w:t>Beginning of</w:t>
            </w:r>
          </w:p>
        </w:tc>
        <w:tc>
          <w:tcPr>
            <w:tcW w:w="15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3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28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the Period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the Period</w:t>
            </w:r>
          </w:p>
        </w:tc>
        <w:tc>
          <w:tcPr>
            <w:tcW w:w="2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5"/>
        </w:trPr>
        <w:tc>
          <w:tcPr>
            <w:tcW w:w="5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Nine Months Ended September 30, 2005</w:t>
            </w:r>
          </w:p>
        </w:tc>
        <w:tc>
          <w:tcPr>
            <w:tcW w:w="54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167,614</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293,587</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(43,393)</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$ 417,808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Nine Months Ended September 30, 2004</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95,005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232,321</w:t>
            </w:r>
          </w:p>
        </w:tc>
        <w:tc>
          <w:tcPr>
            <w:tcW w:w="320" w:type="dxa"/>
            <w:vAlign w:val="bottom"/>
          </w:tcPr>
          <w:p>
            <w:pPr>
              <w:spacing w:after="0"/>
              <w:rPr>
                <w:sz w:val="20"/>
                <w:szCs w:val="20"/>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(137,453)</w:t>
            </w:r>
          </w:p>
        </w:tc>
        <w:tc>
          <w:tcPr>
            <w:tcW w:w="102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$ 189,873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During the quarter ended September 30, 2005 a few distinct warranty issues were identified that came about during the normal course of business which resulted in an increase in our warranty reserve. We expect that these warranty issues will be resolved during the quarter ended December 31, 2005.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and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$102,000. The subsidiary has not yet decided whether it will appeal this decision, however, it will ask the court to stay the execution of the judgment as it is part of the overall litigation matters between the various parties. The amount of this judgment is recorded as a liability as of September 30, 2005. With respect to the remaining matters before the court, the parties are scheduled to meet with the court appointed expert in November 2005, after which we expect the expert to finalize his pre-trial report to the court, the filing of which is expected to occur during the quarter ending March 31, 2006. We will continue to seek a settlement of all of these matters, but if settlement is not possible, each of the subsidiaries will continue to disagree with the allegations of the former distributor and will vigorously defended itself against the counterclaims.</w:t>
      </w:r>
    </w:p>
    <w:p>
      <w:pPr>
        <w:spacing w:after="0" w:line="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2003, an ex-employee of one of our subsidiaries brought an action against our subsidiary seeking damages in the amount of approximately $191,000 for wrongful termination. In January 2005, judgment was rendered for the ex-employee awarding him approximately $26,000 in damages. In February 2005, the ex-employee filed a notice of appeal, which has been scheduled for hearing in late 2006. In March 2005, our subsidiary paid this judgment. It is our intention to seek a settlement of this matter with the ex-employee. If a settlement is not possible, our subsidiary will again vigorously defend itself.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2005 (Unaudited)</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(or that it is probable we have incurred a loss contingency)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September 30, 2005.</w:t>
      </w:r>
    </w:p>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developed a broad line of easy-to-use, pre-programmed universal wireless control products and audio-video accessories that are marketed to enhance home entertainment systems. Our channels of distribution include international retail, U.S. retail, private label, OEMs, custom installers,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devices worldwide.</w:t>
      </w:r>
    </w:p>
    <w:p>
      <w:pPr>
        <w:spacing w:after="0" w:line="8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of IR codes that cover nearly 231,000 individual device functions and over 2,600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our wireless control devices by adding IR codes from our library that were not originally included.</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Beginning in 2002, we began selling our Nevo® 1.0 software embedded on our chip to a third-party supplier of personal digital assistant devices (PDAs). Nevo 2.0® was launched in July of 2004. Building on this platform, we used some components of the Nevo 2.0® technology in a new product named “NevoSL®” which began shipping during the second quarter of the current year. NevoSL® is a universal controller that delivers complete audio, visual and Wi-Fi digital media control for the networked home.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(SimpleDevices) for approximately $12.8 million in cash, including direct acquisition costs, plus a performance-based payment of our unregistered common stock to be paid in the future if certain financial objectives are achieved. We did not reflect the value of the unregistered common stock as part of the purchase price as of September 30, 2005 since we did not believe that it was probable the performance metrics will be met.</w:t>
      </w:r>
    </w:p>
    <w:p>
      <w:pPr>
        <w:spacing w:after="0" w:line="7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value we received from this acquisition relates primarily to SimpleDevices’ unique capabilities, as well as its complete and in-process technologies. SimpleDevices has developed connected-device technology solutions that link the home computer and the Internet to existing consumer electronic devices in the home and car. The company provides Universal Plug and Play (UPnP) compatible software to transform common home devices into “connected” devices</w:t>
      </w:r>
    </w:p>
    <w:p>
      <w:pPr>
        <w:ind w:right="80"/>
        <w:spacing w:after="0" w:line="253" w:lineRule="auto"/>
        <w:rPr>
          <w:sz w:val="20"/>
          <w:szCs w:val="20"/>
          <w:color w:val="auto"/>
        </w:rPr>
      </w:pPr>
      <w:r>
        <w:rPr>
          <w:rFonts w:ascii="Arial" w:cs="Arial" w:eastAsia="Arial" w:hAnsi="Arial"/>
          <w:sz w:val="18"/>
          <w:szCs w:val="18"/>
          <w:color w:val="auto"/>
        </w:rPr>
        <w:t>— that is, allows them to find, control and share entertainment media across a home network. UPnP is an architecture for pervasive peer-to-peer network connectivity of intelligent appliances, wireless devices, and PCs of all form factors. It is designed to bring standards-based connectivity to ad-hoc or unmanaged networks whether in the home, in a small business, public spaces, or attached to the Internet. UPnP is a distributed, open networking architecture that leverages TCP/IP and the Web technologies to enable proximity networking in addition to control and data transfer among networked devices in the home, office, and public spaces.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our results of operations expressed as a percentage of net sales for the three and nine months ended September 30, 2005 and 2004: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940" w:type="dxa"/>
            <w:vAlign w:val="bottom"/>
            <w:gridSpan w:val="12"/>
          </w:tcPr>
          <w:p>
            <w:pPr>
              <w:jc w:val="right"/>
              <w:ind w:right="700"/>
              <w:spacing w:after="0"/>
              <w:rPr>
                <w:sz w:val="20"/>
                <w:szCs w:val="20"/>
                <w:color w:val="auto"/>
              </w:rPr>
            </w:pPr>
            <w:r>
              <w:rPr>
                <w:rFonts w:ascii="Arial" w:cs="Arial" w:eastAsia="Arial" w:hAnsi="Arial"/>
                <w:sz w:val="14"/>
                <w:szCs w:val="14"/>
                <w:b w:val="1"/>
                <w:bCs w:val="1"/>
                <w:color w:val="auto"/>
                <w:w w:val="93"/>
              </w:rPr>
              <w:t>Three Months Ended September 30,</w:t>
            </w:r>
          </w:p>
        </w:tc>
        <w:tc>
          <w:tcPr>
            <w:tcW w:w="232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40" w:type="dxa"/>
            <w:vAlign w:val="bottom"/>
            <w:tcBorders>
              <w:top w:val="single" w:sz="8" w:color="auto"/>
              <w:bottom w:val="single" w:sz="8" w:color="auto"/>
            </w:tcBorders>
            <w:gridSpan w:val="4"/>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6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63.2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36.8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24.9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28.8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4"/>
          </w:tcPr>
          <w:p>
            <w:pPr>
              <w:jc w:val="right"/>
              <w:ind w:right="56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Third Quarter 2005 versus Third Quarter 2004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70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(millions)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Business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8"/>
                <w:szCs w:val="18"/>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8"/>
                <w:szCs w:val="18"/>
                <w:color w:val="auto"/>
              </w:rPr>
              <w:t>67.8%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ind w:left="280"/>
              <w:spacing w:after="0"/>
              <w:rPr>
                <w:sz w:val="20"/>
                <w:szCs w:val="20"/>
                <w:color w:val="auto"/>
              </w:rPr>
            </w:pPr>
            <w:r>
              <w:rPr>
                <w:rFonts w:ascii="Arial" w:cs="Arial" w:eastAsia="Arial" w:hAnsi="Arial"/>
                <w:sz w:val="18"/>
                <w:szCs w:val="18"/>
                <w:color w:val="auto"/>
              </w:rPr>
              <w:t>26.7</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13.3</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gridSpan w:val="2"/>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2</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79"/>
              </w:rPr>
              <w:t>40.</w:t>
            </w:r>
            <w:r>
              <w:rPr>
                <w:rFonts w:ascii="Arial" w:cs="Arial" w:eastAsia="Arial" w:hAnsi="Arial"/>
                <w:sz w:val="18"/>
                <w:szCs w:val="18"/>
                <w:u w:val="single" w:color="auto"/>
                <w:color w:val="auto"/>
                <w:w w:val="79"/>
              </w:rPr>
              <w:t>0</w:t>
            </w:r>
          </w:p>
        </w:tc>
        <w:tc>
          <w:tcPr>
            <w:tcW w:w="12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sales for the third quarter of 2005 were $46.2 million, an increase of 15% compared to $40.0 million for the third quarter of 2004. Net income for the third quarter of 2005 was $2.8 million or $0.21 per share (basic) and $0.20 per share (diluted) compared to $1.9 million or $0.14 per share (basic) and $0.14 per share (diluted) for the third quarter of 2004.</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68% of net sales for the third quarter of 2005 compared to 67% for the third quarter of 2004. Net sales in our Business lines for the third quarter of 2005 increased by 18% to $31.3 million from $26.7 million for the same period last year.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 Royalty revenue (revenue earned through licensing of intellectual property) recognized in the third quarter of 2005 attributable to agreements signed in the fourth quarter of 2004 of $0.3 million and the acquisition of SimpleDevices also contributed to the increase in net sales. The acquisition of SimpleDevices added net sales of $0.3 million and 1% to the Business category net sales growth. We expect that the deployment of the advanced function set-top boxes by the service operators will continue into the foreseeable future as penetration for each of the functions cited continues to increase. As a result, we expect business category revenue to remain as the driver of total revenue growth through the fourth quarter of 2005.</w:t>
      </w:r>
    </w:p>
    <w:p>
      <w:pPr>
        <w:spacing w:after="0" w:line="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international retail, private label, custom installers and direct import) were approximately 32% of net sales for the third quarter of 2005 compared to 33% for the third quarter of 2004. Net sales in our Consumer lines for the third quarter of 2005 increased by 11% to $14.9 million from $13.4 million during the same period last year. The increase in sales resulted primarily from the introduction of the Nevo SL®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product in the second quarter of 2005. This introduction added net sales of $1.7 million and 13% to the Consumer category net sales growth as compared to the third quarter of 2004. Private label sales increased by 58% to $1.3 million in the third quarter of 2005 from $0.8 million in the third quarter of 2004. This was due to an increase in the number of new products. These increases were partially offset by European retail sales, which were down 2% to $10.6 million in the third quarter of 2005 from $10.9 million in the third quarter of 2004. This decrease was primarily attributable to lower volumes in the U.K. market and the weakening of both the Euro and British Pound compared to the U.S. Dollar. The impact of the weakening currencies resulted in a decrease in net sales of approximately $0.1 million. Excluding the negative foreign exchange impact, European retail sales decreased $0.2 million compared to the third quarter of 2004. International retail sales were down $0.2 million due primarily to one of our distributors in Australia filing for bankruptcy in 2005. Direct Import sales were down $0.2 million due primarily to a decline in the volume of Kameleon sales. Kameleon sales declined during the third quarter of 2005 compared to the third quarter of 2004 as a result of fewer new product introductions. We expect that the Consumer lines will remain slightly below prior year levels through the fourth quarter of 2005.</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Gross profit for the third quarter of 2005 was $17.0 million compared to $15.8 million for the third quarter of 2004. Gross profit as a percentage of net sales for the third quarter of 2005 was 36.8% compared to 39.4% for the third quarter of 2004. The decrease in gross profit as a percentage of net sales was primarily attributable to subscription broadcast sales, which generally have a lower gross profit rate as compared to our other sales, and represents a larger percentage of our total business. The impact of this change in mix was a 0.9% reduction in the gross profit rate. Gross profit was also negatively impacted by $0.2 million of additional warranty expense resulting from a few specific quality issues identified in the third quarter of 2005, which contributed to a 0.5% reduction in gross profit rate. We expect that these specific warranty issues will be resolved in the fourth quarter of 2005. An increase in Quality Assurance expense of $0.2 million also negatively impacted gross profit and contributed to a 0.5% reduction in gross profit rate. An increase in sub-contract labor expense of $0.2 million negatively impacted gross profit as compared to the third quarter of 2004 and contributed to a 0.4% reduction in gross profit rate. The increase in sub-contract labor expense as a percentage of net sales was due primarily to a repackaging and rebranding initiative undertaken in Europe. Gross profit was also negatively impacted by the weakening of both the Euro and British Pound compared to the U.S. Dollar, which resulted in a decrease in gross profit of approximately $0.1 million and a reduction of 0.1% in the gross profit rate. We expect gross profit rates to be near to historical levels of 37-39% for the fourth quarter of 2005.</w:t>
      </w:r>
    </w:p>
    <w:p>
      <w:pPr>
        <w:spacing w:after="0" w:line="7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Research and development expenses were $1.8 million in the third quarter of 2005 compared to $1.8 million in the third quarter of 2004. A decline in the development of audio-video accessories for sale in our retail channel was offset by development efforts taking place at SimpleDevices. We expect research and development expense to remain at the current level through the fourth quarter of 2005.</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Selling, general and administrative expenses increased 8% from $10.7 million in the third quarter of 2004 to $11.5 million in the third quarter of 2005. Approximately $0.9 million of the increase was attributable to the acquisition of SimpleDevices, $0.3 million to delivery and freight costs caused by the increase in sales volume, $0.2 million to payroll and benefits, $0.2 million to sales commissions, $0.2 million to advertising, $0.2 million to trade shows, and $0.7 million to other general administrative costs, including travel, telephone, and taxes. These items were partially offset by lower employee bonus expense, which decreased by $0.9 million, lower expense related to Sarbanes-Oxley compliance efforts, which decreased by $0.6 million, and lower outside legal fees, which decreased by $0.3 million. We expect that selling, general and administrative expenses will range from $11.6 to $12.1 million for the fourth quarter of 2005.</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third quarter of 2005, we recorded $0.3 million of net interest income compared to $0.3 million during the third quarter of 2004. Net interest income should be approximately $0.2 million for the fourth quarter of 2005.</w:t>
      </w:r>
    </w:p>
    <w:p>
      <w:pPr>
        <w:spacing w:after="0" w:line="6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third quarter of 2005, net other expense was $0.1 million as compared to $0.6 million for the third quarter of 2004. Approximately $0.4 million of other expense in the third quarter of 2004 was the result of our write-down of an investment in a private company. In addition, we recorded foreign exchange losses of $0.1 million in the third quarter of 2005, as compared to foreign exchange losses of $0.2 million in the third quarter of 2004.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recorded income tax expense of $1.1 million for the third quarter of 2005 compared to $1.1 million for the third quarter of 2004. Our effective tax rate was 27.7% during the three months ended September 30, 2005 compared to 35.9% during the three months ended September 30, 2004. The decrease in the effective tax rate was due to the recognition of research and development tax credits. The identification of these research and development tax credits resulted from a research and development tax study that was completed during the third quarter of 2005. We expect that our effective tax rate will be approximately 34% for the fourth quarter of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SimpleDevices recorded net sales of $0.3 million and a pretax loss of $1.2 million during the third quarter of 2005. Sales consisted primarily of engineering services related to the development of hardware utilized by SimpleDevices’ customers to run the SimplePlatforms software. In addition, SimpleDevices also generated revenue by customizing its software products to customer’s specific needs. Sales attributable to SimpleDevices are included in our Business category when we discuss consolidated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a loss of $0.1 million, or -27% of sales.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were $0.2 million, which consisted primarily of internal and external development efforts related to SimpleDevices’ core software product.</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expenses were $0.9 million, which consisted primarily of engineering payroll and benefit costs as well as outside product development costs.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2005 versus Nine Months ended September 30,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9"/>
              </w:rPr>
              <w:t>(million)</w:t>
            </w: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7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(million)</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Business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6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Net sales for the nine months ended September 30, 2005 were $132.0 million, an increase of 24% compared to $106.7 million for the nine months ended September 30, 2004. Net income for the nine months ended September 30, 2005 was $6.2 million or $0.46 per share (basic) and $0.44 per share (diluted) compared to $5.4 million or $0.40 per share (basic) and $0.39 per share (diluted) for the nine months ended September 30, 2004.</w:t>
      </w:r>
    </w:p>
    <w:p>
      <w:pPr>
        <w:spacing w:after="0" w:line="5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71% of net sales for the nine months ended September 30, 2005 compared to 62% for the nine months ended September 30, 2004. Net sales in our Business lines for the nine months ended September 30, 2005 increased by 42% to $93.4 million from $66.0 million for the same period last year.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(HDTV) television. Royalty revenue of $1.0 million (revenue earned through licensing of intellectual property) recognized in the nine months ended September 30, 2005 attributable to agreements signed in the fourth quarter of 2004 and the acquisition of SimpleDevices contributed to the increase in net sales. The acquisition of SimpleDevices added net sales of $0.9 million and 1% to the Business category net sales growth. We expect that the deployment of the advanced function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set-top boxes by the service operators will continue into the foreseeable future as penetration for each of the functions cited continues to increase. As a result, we expect business category revenue to remain as the driver of total revenue growth through the fourth quarter of 2005.</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international retail, private label, custom installers and direct import) were approximately 29% of net sales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2005 compared to 38% for the nine months ended September 30, 2004. Net sales in our Consumer lines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2005 decreased by 5% to $38.6 million from $40.7 million for the same period last year. The decrease in sales resulted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private label sales, which decreased by 42% to $3.4 million in the nine months ended September 30, 2005 from $5.9 million in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2004. This was due to a decline in the volume of Kameleon sales. Kameleon sales declined during the nine months ended 2005, as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nine months ended 2004, as a result of fewer new product introductions. European retail sales also contributed to the decrease being down 4%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$29.6 million in the nine months ended September 30, 2005 from $30.7 million in the nine months ended September 30, 2004. This decrease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lower volumes in the UK market, offset by the strengthening of both the Euro and British Pound compared to the U.S. Dollar, which resulted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net sales of approximately $0.3 million. Excluding the positive foreign exchange impact, European retail sales decreased $1.4 million compared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nine months ended September 30, 2004. International retail sales were down $0.5 million due primarily to one of our distributors in Australia filing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bankruptcy in 2005. Partially offsetting the decrease in sales was the introduction of the Nevo® SL product in the second quarter of 2005, which generated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sales through September 30, 2005 of $2.0 million. We expect that the Consumer lines will remain slightly below prior year levels through the fourth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quarter of 2005.</w:t>
      </w:r>
    </w:p>
    <w:p>
      <w:pPr>
        <w:spacing w:after="0" w:line="10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Gross profit for the nine months ended September 30, 2005 was $48.4 million compared to $41.3 million for the nine months ended September 30, 2004. Gross profit as a percentage of net sales for the nine months ended September 30, 2005 was 36.7% compared to 38.8% for the nine months ended September 30, 2004. The decrease in gross profit as a percentage of net sales was primarily attributable to subscription broadcast sales, which generally have a lower gross profit rate as compared to our other sales, and represents a larger percentage of our total business. The impact of this change in mix was a 2.8% reduction in the gross profit rate. Gross profit was also negatively impacted by $1.6 million of cost resulting from a larger proportion of air shipments caused by increased volume, which contributed to a 0.9% reduction in gross profit rate. These items were partially offset by a reduction in royalty expense of</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$0.3 million, which added 0.7% to the gross profit rate; lower inventory scrap expense, which as compared to nine months ended September 30, 2004, added $0.3 million to gross profit and 0.7% to the gross profit rate; the strengthening of both the Euro and British Pound compared to the U.S. Dollar, which resulted in an increase in gross profit of approximately $0.2 million and added 0.1% to the gross profit rate. We expect gross profit rates to be near to historical levels of 37-39% for the fourth quarter of 2005.</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increased 21% from $4.1 million in the nine months ended September 30, 2004 to $5.0 million in the nine months ended September 30, 2005. This increase was primarily related to our continued expansion of the Nevo® platform, the development of audio-video accessories for sale in our retail channel, and development efforts taking place at SimpleDevices. We expect research and development expense to remain at the current level through the fourth quarter of 2005.</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Selling, general and administrative expenses increased 26% from $29.5 million in the nine months ended September 30, 2004 to $37.2 million in the nine months ended September 30, 2005. Approximately $2.7 million of the increase was attributable to the acquisition of SimpleDevices, $1.9 million to bad debt expense, which included a $1.6 million reserve for a receivable due from a former European distributor, $1.5 million to payroll and benefits, $1.4 million to delivery and freight costs caused by the increase in sales volume, $0.6 million to sales commissions, $0.4 million to increased tax and audit fees, $0.3 million to trade shows, $0.3 million to travel, $0.3 million to temporary clerical and warehouse staff, and $0.3 million to the appreciation of the Euro relative to the U.S. Dollar. These items were partially offset by lower employee bonus expense, which decreased by $1.9 million, and outside legal fees, which decreased by $0.7 million. We expect that selling, general and administrative expenses will range from $11.6 to $12.1 million for the fourth quarter of 2005.</w:t>
      </w:r>
    </w:p>
    <w:p>
      <w:pPr>
        <w:spacing w:after="0" w:line="5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 the nine months ended September 30, 2005, we recorded $0.6 million of net interest income compared to $0.5 million during the nine months ended September 30, 2004. This increase was due to higher money market rates and a higher average cash balance in Europe. Net interest income should be approximately $0.2 million for the fourth quarter of 2005.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For the nine months ended September 30, 2005, net other income was $2.1 million as compared to $0.1 million of net other expense for the nine months ended September 30, 2004. Approximately $2.1 million of net other income in the nine months ended September 30, 2005 was the result of a foreign exchange gain, compared to a foreign exchange gain of $0.3 million for the nine months ended September 30, 2004. Approximately $0.4 million of other expense in the nine months ended September 30, 2004 was the result of our write-down of an investment in a private company.</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recorded income tax expense of $2.9 million for the nine months ended September 30, 2005 compared to $2.9 million for the nine months ended September 30, 2004. Our effective tax rate was 32.1% during the nine months ended September 30, 2005 compared to 34.7% during the nine months ended September 30, 2004. The decrease in the effective tax rate was due to tax benefits related to research and development activities. During the second quarter of 2005, we released tax reserves related to research and development credits taken on our 2001 federal tax return. During the third quarter of 2005, we recognized research and development tax credits that we were eligible for that related to recent research and development activities. The identification of these research and development tax credits resulted from a research and development tax study that was completed during the third quarter of 2005. Partially offsetting the research and development-related tax benefits was the impact of not recording a tax benefit relating to the bad debt reserve taken in the second quarter of 2005 for a balance due from a former European distributor. The reserve was recorded in a subsidiary where it is more likely than not that the related tax benefit will not be realized. We expect that our effective tax rate will be approximately 34% for the fourth quarter of 2005.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SimpleDevices recorded net sales of $0.9 million and a pretax loss of $2.9 million during the nine months ended September 30, 2005. Sales consisted primarily of engineering services related to the development of hardware utilized by SimpleDevices’ customers to run the SimplePlatforms software. In addition, SimpleDevices also generated revenue by customizing its software products to customer’s specific needs. Sales attributable to SimpleDevices are included in our Business category when we discuss consolidated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$1 thousand, or 0.1% of sales.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were $0.2 million, which consisted primarily of internal and external development efforts related to SimpleDevices’ core software product.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were $2.7 million, which consisted primarily of engineering payroll and benefit costs.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 2005</w:t>
            </w:r>
          </w:p>
        </w:tc>
        <w:tc>
          <w:tcPr>
            <w:tcW w:w="60" w:type="dxa"/>
            <w:vAlign w:val="bottom"/>
          </w:tcPr>
          <w:p>
            <w:pPr>
              <w:spacing w:after="0"/>
              <w:rPr>
                <w:sz w:val="14"/>
                <w:szCs w:val="14"/>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8"/>
              </w:rPr>
              <w:t>December 31, 2004</w:t>
            </w:r>
          </w:p>
        </w:tc>
        <w:tc>
          <w:tcPr>
            <w:tcW w:w="0" w:type="dxa"/>
            <w:vAlign w:val="bottom"/>
          </w:tcPr>
          <w:p>
            <w:pPr>
              <w:spacing w:after="0"/>
              <w:rPr>
                <w:sz w:val="1"/>
                <w:szCs w:val="1"/>
                <w:color w:val="auto"/>
              </w:rPr>
            </w:pPr>
          </w:p>
        </w:tc>
      </w:tr>
      <w:tr>
        <w:trPr>
          <w:trHeight w:val="171"/>
        </w:trPr>
        <w:tc>
          <w:tcPr>
            <w:tcW w:w="484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42,340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(132)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42,472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Working capital</w:t>
            </w:r>
          </w:p>
        </w:tc>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73,322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(1,759)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24"/>
                <w:szCs w:val="2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September 30, 2005</w:t>
            </w:r>
          </w:p>
        </w:tc>
        <w:tc>
          <w:tcPr>
            <w:tcW w:w="620" w:type="dxa"/>
            <w:vAlign w:val="bottom"/>
            <w:gridSpan w:val="2"/>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(decrease)</w:t>
            </w:r>
          </w:p>
        </w:tc>
        <w:tc>
          <w:tcPr>
            <w:tcW w:w="36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September 30, 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560" w:type="dxa"/>
            <w:vAlign w:val="bottom"/>
            <w:gridSpan w:val="3"/>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12,749</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(3,296)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2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8"/>
                <w:szCs w:val="18"/>
                <w:color w:val="auto"/>
              </w:rPr>
              <w:t>(5,216)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(4,964)</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source of funds is from operations. Cash provided by operating activities for the first nine months of 2005 was $12.7 million as compared to $4.9 million in the first nine months of 2004. The increase in cash provided by operating activities for the nine months ended September 30, 2005 compared to the nine months ended September 30, 2004 was primarily driven by a significant increase in inventories during the nine months ended September 30, 2004. During the nine months ended September 30, 2004, inventories increased by approximately $9.6 million compared to an increase of $3.2 million during the nine months ended September 30, 2005. We increased our inventories in order to meet the increased demand for our products as well as maintain high customer service levels.</w:t>
      </w:r>
    </w:p>
    <w:p>
      <w:pPr>
        <w:spacing w:after="0" w:line="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used for investing activities for the first nine months of 2005 was $3.3 million as compared to $4.7 million for the first nine months of 2004. The decrease in cash used for investing activities was primarily due to a $2.0 million certificate of deposit being purchased in 2004 offset partially by an increase in capital expenditures in 2005. Capital expenditures in the first nine months of 2005 and 2004 were approximately $2.6 million and $1.9 million, respectively. These expenditures related primarily to our acquisition of product tooling. We expect that our future capital expenditures will approximate historical levels of spending.</w:t>
      </w:r>
    </w:p>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Cash used for financing activities for the first nine months of 2005 was $4.4 million as compared to $4.5 million for the first nine months of 2004. Proceeds from stock option exercises were $1.7 million during the nine months ended September 30, 2005, compared to proceeds of $1.4 million during the nine months ended September 30, 2004. We purchased 356,285 shares of our common stock at a cost of $6.1 million during the nine months ended September 30, 2005, compared to 445,807 shares at a cost of $5.9 million during the nine months ended September 30, 2004.</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hold these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 million shares of our common stock in market purchases. Between the date of execution of the Credit Facility and September 30, 2005, we purchased 897,019 shares of our common stock leaving 602,981 remaining shares authorized for purchase under the credit facility. In the fourth quarter of 2005 we may continue to purchase shares of our common stock if we believe conditions are favorable.</w:t>
      </w:r>
    </w:p>
    <w:p>
      <w:pPr>
        <w:spacing w:after="0" w:line="8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On September 15, 2003, we entered into a three-year $15.0 million unsecured revolving credit agreement (the “Credit Facility”) with Comerica Bank (“Comerica”). Under the Credit Facility, the interest payable is variable and is based on the bank’s cost of funds or the LIBOR rate plus a fixed margin of</w:t>
      </w:r>
    </w:p>
    <w:p>
      <w:pPr>
        <w:ind w:right="40"/>
        <w:spacing w:after="0" w:line="252" w:lineRule="auto"/>
        <w:rPr>
          <w:sz w:val="20"/>
          <w:szCs w:val="20"/>
          <w:color w:val="auto"/>
        </w:rPr>
      </w:pPr>
      <w:r>
        <w:rPr>
          <w:rFonts w:ascii="Arial" w:cs="Arial" w:eastAsia="Arial" w:hAnsi="Arial"/>
          <w:sz w:val="18"/>
          <w:szCs w:val="18"/>
          <w:color w:val="auto"/>
        </w:rPr>
        <w:t>1.25%. The interest rate in effect as of September 30, 2005 using the LIBOR Rate option plus a fixed margin of 1.25% was 5.11%. We pay a commitment fee ranging from zero to a maximum rate of 1/4 of 1% per year on the unused portion of the credit line depending on the amount of cash investment retained with Comerica during each quarter. Under the terms of this Credit Facility, dividend payments are allowed for up to 100% of the prior fiscal year’s net income, to be paid within 90 days of year end. We are subject to certain financial covenants related to our net worth, quick ratio, and net income. Amounts available for borrowing under this Credit Facility are reduced by the outstanding balance of import letters of credit. As of September 30, 2005, we did not have any amounts outstanding under this credit facility or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outstanding import letters of credit. Furthermore, as of September 30, 2005, we were in compliance with all financial covenants required by the Credit Facility.</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FASB Staff Position (“FSP”) No. 109-1, “Application of FASB Statement No. 109, Accounting for Income Taxes, to the Tax Deduction on Qualified Production Activities Provided by the American Jobs Creation Act of 2004,” (“FSP 109-1”), provides guidance under SFAS No. 109, “Accounting for Income Taxes,” with respect to the provision within the American Jobs Creation Act of 2004 (the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 utilization of any net operating loss carryforwards). This tax deduction is limited to 50 percent of W-2 wages paid by the taxpayer. FSP 109-1 states that an enterprise should account for the deduction as a special deduction in accordance with Statement 109. In addition, FSP 109-1 requires that the special deduction be considered by an enterprise in (a) measuring deferred taxes when graduated tax rates are a significant factor and (b) assessing whether a valuation allowance is necessary as required by paragraph 232 of Statement 109. We are currently evaluating the effect that the adoption of FSP 109-1 will have on our consolidated results of operations and financial condition but do not expect it will have a material impact.</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FASB Staff Position (“FSP”) No. 109-2, “Accounting and Disclosure Guidance for the Foreign Earnings Repatriation Provision within the American Jobs Creation Act of 2004” (“FSP 109-2”), provides guidance under SFAS No. 109, “Accounting for Income Taxes,” with respect to recording the potential impact of the repatriation provisions of the American Jobs Creation Act of 2004 (the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No. 109. The undistributed earnings of our foreign subsidiaries are considered to be indefinitely reinvested. Consequently, we do not expect this standard to have a material impact on our consolidated results of operations and financial condition.</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do not expect this standard to have a material impact on our consolidated results of operations and financial condition.</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SFAS 123R will significantly change existing accounting practice and will have a material effect on our reported earnings. The pro forma disclosures previously permitted under SFAS 123, no longer will be an alternative to financial statement recognition. 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plan to apply the modified prospective method, which requires that compensation expense be recorded for all unvested stock options and restricted stock at the beginning of the first quarter of adoption of SFAS 123R. We have not yet determined the effect of adopting SFAS 123R, and we have not determined whether the adoption will result in amounts that are similar to the current pro forma disclosures under SFAS 123.</w:t>
      </w:r>
    </w:p>
    <w:p>
      <w:pPr>
        <w:spacing w:after="0" w:line="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2005, the SEC issued Staff Accounting Bulletin No. 107 (“SAB 107”) regarding the SEC’s interpretation of SFAS 123R and the valuation of share-based payments for public companies. We are evaluating the requirements of SFAS 123R and SAB 107 and expect that the adoption of SFAS 123R on January 1, 2006 will have a material impact on our consolidated results of operations and earnings per share. We plan to apply the modified prospective method, which requires that compensation expense be recorded for all unvested stock options and restricted stock at the beginning of the first quarter of adoption of SFAS 123R. We have not yet determined the effect of adopting SFAS 123R, and we have not determined whether the adoption will result in amounts that are similar to the current pro forma disclosures under SFAS 123.</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and we are required to adopt the standard in the first quarter of fiscal 2006. We do not expect this standard to have a material impact on our consolidated results of operations and financial condition.</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2005, the FASB issued FSP FAS 143-1, “Accounting for Electronic Equipment Waste Obligations” (“FSP 143-1”), which provides guidance on the accounting for certain obligations associated with the Directive on Waste Electrical and Electronic Equipment (the “Directive”), which was adopted by the European Union (“EU”). Under the Directive, the financing of historical waste held by private households is to be borne collectively by producers that are selling in the market during each measurement period (to be defined by each EU-member country). The volume of equipment that qualifies as historical waste that those producers have sold in the market prior to the measurement period is not considered. Producers will be required to contribute proportionately based on their participation in the market (for example, in proportion to their respective shares of the market by type of equipment). However, the exact method to be used to compute the respective proportions to be contributed by producers will be determined by each EU-member country. For commercial users, the waste management obligation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historical equipment (products put on the market on or prior to August 13, 2005) remains with these entities until the equipment is replaced. FSP 143-1 is required to be applied to the later of the first reporting period ending after June 8, 2005 or the date of the Directive’s adoption into law by the applicable EU member countries in which we have significant operations. We are currently evaluating the effect that the adoption of FSP 143-1 will have on our consolidated results of operations and financial condition. Such effects will depend on the respective laws adopted by the EU member countries.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the “Management’s Discussion and Analysis of Financial Condition and Results of Operations,” as well as those factors discussed in the 2004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are subject to a number of risks and uncertainties, including the failure of our customers and markets to continue growing and expanding in the manner we anticipated;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inability to maintain the strength of our balance sheet; our inability to continue selling our products or licensing our technologies at higher or profitable margins;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Euro and other foreign currencies could have on our financial results; and other factors listed from time to time in our press releases and filings with the Securities and Exchange Commission.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and home theater solutions, to name only a few, has transformed control of the home entertainment center into a complex challenge for the consumer. 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existing infrared technology and emerging radio frequency standards, adding to our portfolio of patented or patent pending technologies and developing new platform products. We also are developing new ways to enhance remote controls and other accessory products.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2005, we continue to develop new products featuring our Kameleon® interface technology, a display technology that provides ease of use by illuminating only the keys needed to control each entertainment device. We are continuing development of our Nevo® technology, an embedded solution that transforms an electronic display into a sophisticated and easy-to-use wireless home control and automation device. We are continuing to seek ways to integrate these platform technologies into other forms and devices. Nevo 2.0® was launched in July of 2004 as a feature on a series of HP’s handheld devices, which reached its end of life during the third quarter of 2005. Building on this platform, we used some components of the Nevo 2.0® technology in a new product named “Nevo SL”® which we began to ship in the second quarter of the current year. This product is designed for use in the home. In addition, we are working on product line extensions to our One For All® audio/video accessories which include digital antennas, signal boosters, television brackets and A/V cleaning products.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are also seeking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for approximately $12.8 million in cash, plus a performance-based payment of our unregistered common stock, tied to achieving certain future financial objectives.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we look to build upon these relationships and the software’s potential in future product and customer announcements.</w:t>
      </w:r>
    </w:p>
    <w:p>
      <w:pPr>
        <w:spacing w:after="0" w:line="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2005,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September 30, 2005 we had wholly owned subsidiaries in The Netherlands, United Kingdom, Germany, France, Argentina and Spain.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September 30, 2005, we believe that movements in foreign currency rates could have a material affect on our financial position. We estimate that if the exchange rates for the Euro and the British Pound relative to the U.S. Dollar fluctuate 10% from September 30, 2005, fourth quarter net income and cash flows would fluctuate by approximately $0.4 million and $4.8 million, respectively.</w:t>
      </w:r>
    </w:p>
    <w:p>
      <w:pPr>
        <w:spacing w:after="0" w:line="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as well as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There are currently three contracts in place with a combined notional value of $38 million in order to minimize risk to reported income associated with these types of exposures.</w:t>
      </w:r>
    </w:p>
    <w:p>
      <w:pPr>
        <w:spacing w:after="0" w:line="8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estimate that if the exchange rate for the Euro relative to the U.S. Dollar fluctuates 10% from September 30, 2005, fourth quarter net income relating to the $13 million in forward contracts would fluctuate by approximately $0.9 million, and net income relating to the $25 million participating forward would fluctuate by approximately $0.7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performed under the supervision and with the participation of our management team, including our Chief Executive Officer and Chief Accounting Officer (principal financial officer), of the effectiveness of the design and operation of our disclosure controls and procedures as of the end of the period covered by this report. Based on that evaluation, our Chief Executive Officer and Chief Accounting Officer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materially affected or is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$102,000. The subsidiary has not yet decided whether it will appeal this decision, however, it will ask the court to stay the execution of the judgment as it is part of the overall litigation matters between the various parties. The amount of this judgment was recorded as a liability as of June 30, 2005. With respect to the remaining matters before the court, the parties are scheduled to meet with the court appointed expert in late November 2005, after which we expect the expert to finalize his pre-trial report to the court, the filing of which is expected to occur during the quarter ending March 31, 2006. We will continue to seek a settlement of all of these matters, but if settlement is not possible, each of the subsidiaries will continue to disagree with the allegations of the former distributor and will vigorously defended itself against the counterclaims.</w:t>
      </w:r>
    </w:p>
    <w:p>
      <w:pPr>
        <w:spacing w:after="0" w:line="6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which has been scheduled for hearing in late 2006. It is our intention to seek a settlement of this matter with the ex-employee. If a settlement is not possible, our subsidiary will again vigorously defend itself.</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September 30, 2005.</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to the above, there were no material developments or terminations with respect to any previously reported legal proceeding, during the period covered by this report. Reference is made to the description of the legal proceedings in Note 19 contained in our Annual Report on Form 10-K for the year ended December 31, 2004 for information regarding reportable legal proceedings pending as of that date.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Most of the components used in our products are available from multiple sources. However, we have elected to purchase integrated circuits, used principally in our wireless control products, other components, and finished products from three main sources, each of which provides in excess of ten percent (10%) of the microprocessors used in our products. We have identified alternative sources of supply for these integrated circuit components, but there can be no assurance that we will be able to continue to obtain these components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Factors such as quarterly variations in financial results could have a material adverse affect on the volatility and market price of our common stock.</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7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If this happens the price of our common stock will likely be materially adversely affected.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Our Kameleon® and Nevo® line of products have more features and are more complex than our older products and therefore may require more end-user technical support. For our Nevo® product line, we currently rely, and intend to continue to rely, on the distributor or dealers to provide first line technical support to the end-users. However, we provide the second level of technical support for bug fixes and other issues at no additional charge. Therefore, as the mix of our products includes Nevo® and other more complex product lines, support costs could increase, which would have an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remain competitive in the wireless control and audio/video accessory products market will depend considerably upon our ability to successfully identify new product opportunities, as well as developing and introducing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economic strength and weakness of our worldwide customers affect our performance. We sell our wireless control products, audio/video accessory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each of the first three quarters of 2005 and the year ended December 31, 2004, we had sales to one customer that amounted to more than ten percent of our net sales for the respective period. In addition, for the same periods, we had sales to a customer and its sub-contractors, that when combined, exceeded 10% of net sales for the respective period. The future loss of these customers or any key customer, either in the United States or abroad, due to their financial weakness, bankruptcy, or our inability to maintain order volume with these customers, may have an adverse effect on our financial condition, results of operations and cash flows.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SimpleDevices Inc.</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October 1, 2004, we acquired SimpleDevices Inc. for approximately $12.8 million in cash including direct acquisition costs, plus a performance-based payment of our unregistered common stock to be paid in the future, if certain financial objectives are achieved.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The success of SimpleDevices will depend upon a variety of factors including, (i) our ability to bring SimpleDevices’ products to market in a timely and cost effective manner; (ii) the market accepting SimpleDevices’ products and technology to the extent anticipated by us; (iii) our ability to integrate SimpleDevices’ products and business into our own product offerings and business in a cost effective manner; and (iv) our ability to control the overall costs associated with SimpleDevices in the manner we anticipate. The failure of any of these items could have a material effect on our financial condition, results of operations and cash flows.</w:t>
      </w:r>
    </w:p>
    <w:p>
      <w:pPr>
        <w:spacing w:after="0" w:line="7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may enter into contracts to perform customization of our software on behalf of a customer, where the agreement’s terms allow an initial trial period, after which the customer has the option to purchase a license for the finished product at a contracted rate (also known as a “try and buy” agreement). There can be no assurance that these products will achieve customer acceptance. In addition, management may enter into contracts to provide a software product to a reseller for a nominal licensing fee, while making an optional premium upgrade available to the end user for an additional charge. It is impossible to predict with complete accuracy the occurrence and effect of fluctuations in consumer demand for these premium upgrades over a products life cycle.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2004 we hired a small number of personnel to develop and market additional products that are part of the Nevo® platform family. In addition, outside resources were used, and will continue to be used, to develop these products. Furthermore, there is certain minimum inventory purchases associated with these products. Since software based media control products are an extension from our traditional business, there is greater financial risk associated with these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any strategic alliances, if any, will achieve the type, extent, and amount of success or business that we expect them to achieve – in that sales of our products and technology may not occur or grow in the manner expected by us, and thus we may not recoup cost incurred in the research and development of these products as quickly as we expect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on Universal Due to International Operations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risks of doing business internationally could adversely affect our sales, operations, earnings and cash flows due to a variety of factors, including, but not limited to:</w:t>
      </w:r>
    </w:p>
    <w:p>
      <w:pPr>
        <w:spacing w:after="0" w:line="62" w:lineRule="exact"/>
        <w:rPr>
          <w:sz w:val="20"/>
          <w:szCs w:val="20"/>
          <w:color w:val="auto"/>
        </w:rPr>
      </w:pPr>
    </w:p>
    <w:p>
      <w:pPr>
        <w:ind w:left="220" w:right="56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75" w:lineRule="exact"/>
        <w:rPr>
          <w:rFonts w:ascii="Arial" w:cs="Arial" w:eastAsia="Arial" w:hAnsi="Arial"/>
          <w:sz w:val="18"/>
          <w:szCs w:val="18"/>
          <w:b w:val="1"/>
          <w:bCs w:val="1"/>
          <w:color w:val="auto"/>
        </w:rPr>
      </w:pPr>
    </w:p>
    <w:p>
      <w:pPr>
        <w:ind w:left="220" w:right="66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220" w:right="60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30" w:lineRule="exact"/>
        <w:rPr>
          <w:rFonts w:ascii="Arial" w:cs="Arial" w:eastAsia="Arial" w:hAnsi="Arial"/>
          <w:sz w:val="18"/>
          <w:szCs w:val="18"/>
          <w:b w:val="1"/>
          <w:bCs w:val="1"/>
          <w:color w:val="auto"/>
        </w:rPr>
      </w:pPr>
    </w:p>
    <w:p>
      <w:pPr>
        <w:ind w:left="220" w:right="34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natural and medical disasters.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Terrorism and Acts of War</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Terrorism and acts of war (wherever occurring throughout the world) may cause damage or disruption to us, our employees, facilities, partners, suppliers, distributors, resellers or customers, which could significantly impact our revenue, costs, expenses and financial condition. We are predominately uninsured for losses and interruptions caused by terrorist acts and acts of war.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lease all of the properties used in our business. During 2005, our lease for the property located in Cypress California will expire. We are currently negotiating a new or renewal lease, and we believe that a new or renewed lease will be entered into before the current lease expires, and that when entered into, the lease will be satisfactory for our needs and purposes. However, we can give no assurance that we will enter into the new or renewal lease,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currently derive substantial revenue from the sale of wireless remote controls based on infrared (IR) technology. Other control technologies exist or could be developed that could compete with IR. In addition, we develop and maintain our own database of IR and RF codes. There is a number of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lower sales, earnings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Retain and Recruit Key Personnel Would Harm Our Ability to Grow and Meet Key Objectives.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ability to achieve growth in the future will depend, in part, on our success at retaining highly skilled engineering, managerial, sales, and marketing personnel. In addition, our corporate office, including our advance technology engineering group, is based in Southern California. The high cost of living in Southern California makes it difficult to attract talent from outside the region and may also put pressure on overall employment related expense. The inability to retain and attract qualified personnel in a timely manner, or the loss of any key personnel, could make it difficult to meet key objectives, such as timely and effective product introductions.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manufacturers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and, as a result, products may be shipped via air which is more costly than ocean shipments. Often, we cannot recover the increased cost of airfreight from our customers. The inability to predict swings in demand can increase the cost of freight which could have a material adverse effect on our product margins.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remotes and audio-video accessories. The second form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Proprietary Technologies May Include Design or Performance Defects and May Not Achieve Their Intended Results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 operations. There can be no assurance that our testing programs will detect all defects, either in individual products or defects that could affect numerous shipments. The presence of defects may harm customer satisfaction, reduce sales opportunities, or increase returns. An inability to cure or repair a product defect could result in the failure of a product line, temporary or permanent withdrawal from a product or market, damage to our reputation, increased inventory costs, or product reengineering expenses, any of which could have a material impact on our revenues, margins and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from time to time, pursue the acquisition of businesses, products or technologies that complement or expand our existing operations, including those that could be material in size and scope. Acquisitions involve many risks, including the diversion of management’s attention away from day-to-day operations. There is also the risk that we will not be able to successfully assimilate the operations, personnel, customer base, products or technologies of an acquired business. Such acquisitions could also have adverse short-term effects on our operating results, and could result in dilutive issuances of equity securities, the incurrence of debt, and the loss of key employees. In addition,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acquisitions will occur or, if such acquisitions do occur, that the acquired businesses, customer bases, products or technologies will generate sufficient revenue to offset the associated costs or effects.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2005 we did not sell any equity securities that were not registered under the Securities Act of 1934.</w:t>
      </w:r>
    </w:p>
    <w:p>
      <w:pPr>
        <w:spacing w:after="0" w:line="11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have authority under the Credit Facility to acquire up to 1.5 million shares of our common stock in market purchases. Between the date of execution of the Credit Facility and September 30, 2005, we purchased 897,019 shares of our common stock leaving 602,981 remaining shares authorized for purchase under the credit facility. In 2005 we may continue to purchase shares of our common stock if we believe conditions are favorable. Purchase information for the quarter is set forth by month in the following table: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4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4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98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4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color w:val="auto"/>
              </w:rPr>
              <w:t>July 1, 2005 – July 31, 2005</w:t>
            </w:r>
          </w:p>
        </w:tc>
        <w:tc>
          <w:tcPr>
            <w:tcW w:w="48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46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6"/>
                <w:szCs w:val="16"/>
                <w:color w:val="auto"/>
              </w:rPr>
            </w:pPr>
          </w:p>
        </w:tc>
        <w:tc>
          <w:tcPr>
            <w:tcW w:w="1460" w:type="dxa"/>
            <w:vAlign w:val="bottom"/>
          </w:tcPr>
          <w:p>
            <w:pPr>
              <w:jc w:val="center"/>
              <w:spacing w:after="0" w:line="195" w:lineRule="exact"/>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August 1, 2005 – August 31, 2005</w:t>
            </w:r>
          </w:p>
        </w:tc>
        <w:tc>
          <w:tcPr>
            <w:tcW w:w="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September 1, 2005 – September 30, 2005</w:t>
            </w:r>
          </w:p>
        </w:tc>
        <w:tc>
          <w:tcPr>
            <w:tcW w:w="4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Q3 2005</w:t>
            </w:r>
          </w:p>
        </w:tc>
        <w:tc>
          <w:tcPr>
            <w:tcW w:w="48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340" w:type="dxa"/>
            <w:vAlign w:val="bottom"/>
            <w:gridSpan w:val="2"/>
          </w:tcPr>
          <w:p>
            <w:pPr>
              <w:jc w:val="right"/>
              <w:ind w:right="438"/>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1520" w:type="dxa"/>
            <w:vAlign w:val="bottom"/>
          </w:tcPr>
          <w:p>
            <w:pPr>
              <w:ind w:left="420"/>
              <w:spacing w:after="0"/>
              <w:rPr>
                <w:sz w:val="20"/>
                <w:szCs w:val="20"/>
                <w:color w:val="auto"/>
              </w:rPr>
            </w:pPr>
            <w:r>
              <w:rPr>
                <w:rFonts w:ascii="Arial" w:cs="Arial" w:eastAsia="Arial" w:hAnsi="Arial"/>
                <w:sz w:val="18"/>
                <w:szCs w:val="18"/>
                <w:color w:val="auto"/>
                <w:w w:val="89"/>
              </w:rPr>
              <w:t>Rule 13a-14(a)</w:t>
            </w:r>
          </w:p>
        </w:tc>
        <w:tc>
          <w:tcPr>
            <w:tcW w:w="8580" w:type="dxa"/>
            <w:vAlign w:val="bottom"/>
          </w:tcPr>
          <w:p>
            <w:pPr>
              <w:ind w:left="20"/>
              <w:spacing w:after="0"/>
              <w:rPr>
                <w:sz w:val="20"/>
                <w:szCs w:val="20"/>
                <w:color w:val="auto"/>
              </w:rPr>
            </w:pPr>
            <w:r>
              <w:rPr>
                <w:rFonts w:ascii="Arial" w:cs="Arial" w:eastAsia="Arial" w:hAnsi="Arial"/>
                <w:sz w:val="18"/>
                <w:szCs w:val="18"/>
                <w:color w:val="auto"/>
              </w:rPr>
              <w:t>Certifications of Paul D. Arling, Chief Executive Officer of Universal Electronics Inc.</w:t>
            </w:r>
          </w:p>
        </w:tc>
      </w:tr>
      <w:tr>
        <w:trPr>
          <w:trHeight w:val="432"/>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1520" w:type="dxa"/>
            <w:vAlign w:val="bottom"/>
          </w:tcPr>
          <w:p>
            <w:pPr>
              <w:ind w:left="420"/>
              <w:spacing w:after="0"/>
              <w:rPr>
                <w:sz w:val="20"/>
                <w:szCs w:val="20"/>
                <w:color w:val="auto"/>
              </w:rPr>
            </w:pPr>
            <w:r>
              <w:rPr>
                <w:rFonts w:ascii="Arial" w:cs="Arial" w:eastAsia="Arial" w:hAnsi="Arial"/>
                <w:sz w:val="18"/>
                <w:szCs w:val="18"/>
                <w:color w:val="auto"/>
                <w:w w:val="89"/>
              </w:rPr>
              <w:t>Rule 13a-14(a)</w:t>
            </w:r>
          </w:p>
        </w:tc>
        <w:tc>
          <w:tcPr>
            <w:tcW w:w="8580" w:type="dxa"/>
            <w:vAlign w:val="bottom"/>
          </w:tcPr>
          <w:p>
            <w:pPr>
              <w:ind w:left="20"/>
              <w:spacing w:after="0"/>
              <w:rPr>
                <w:sz w:val="20"/>
                <w:szCs w:val="20"/>
                <w:color w:val="auto"/>
              </w:rPr>
            </w:pPr>
            <w:r>
              <w:rPr>
                <w:rFonts w:ascii="Arial" w:cs="Arial" w:eastAsia="Arial" w:hAnsi="Arial"/>
                <w:sz w:val="18"/>
                <w:szCs w:val="18"/>
                <w:color w:val="auto"/>
                <w:w w:val="94"/>
              </w:rPr>
              <w:t>Certifications of Bryan Hackworth, Chief Accounting Officer (principal financial officer) of Universal Electronics Inc.</w:t>
            </w:r>
          </w:p>
        </w:tc>
      </w:tr>
    </w:tbl>
    <w:p>
      <w:pPr>
        <w:spacing w:after="0" w:line="202" w:lineRule="exact"/>
        <w:rPr>
          <w:sz w:val="20"/>
          <w:szCs w:val="20"/>
          <w:color w:val="auto"/>
        </w:rPr>
      </w:pPr>
    </w:p>
    <w:p>
      <w:pPr>
        <w:ind w:left="1160" w:hanging="115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(principal financial officer) of Universal Electronics Inc. pursuant to 18 U.S.C. Section 1350</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November 9, 2005</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Accounting Officer (principal financial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6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24"/>
                <w:szCs w:val="24"/>
                <w:color w:val="auto"/>
              </w:rPr>
            </w:pPr>
          </w:p>
        </w:tc>
        <w:tc>
          <w:tcPr>
            <w:tcW w:w="1006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of Universal Electronics Inc.</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Rule 13a-14(a) Certifications of Bryan M. Hackworth, Chief Accounting Officer (principal financial officer) of Universal Electronics Inc.</w:t>
            </w:r>
          </w:p>
        </w:tc>
      </w:tr>
    </w:tbl>
    <w:p>
      <w:pPr>
        <w:spacing w:after="0" w:line="202" w:lineRule="exact"/>
        <w:rPr>
          <w:sz w:val="20"/>
          <w:szCs w:val="20"/>
          <w:color w:val="auto"/>
        </w:rPr>
      </w:pPr>
    </w:p>
    <w:p>
      <w:pPr>
        <w:ind w:left="1360" w:right="440" w:hanging="1352"/>
        <w:spacing w:after="0" w:line="308" w:lineRule="auto"/>
        <w:tabs>
          <w:tab w:leader="none" w:pos="1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Section 1350 Certifications of Paul D. Arling, Chief Executive Officer of Universal Electronics Inc., and Bryan M. Hackworth, Chief Accounting Officer (principal financial officer) of Universal Electronics Inc. pursuant to 18 U.S.C. Section 1350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00" w:right="240" w:hanging="276"/>
        <w:spacing w:after="0" w:line="264"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00" w:right="40" w:hanging="276"/>
        <w:spacing w:after="0" w:line="264"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00" w:right="80" w:hanging="276"/>
        <w:spacing w:after="0" w:line="308" w:lineRule="auto"/>
        <w:tabs>
          <w:tab w:leader="none" w:pos="5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00" w:right="320" w:hanging="276"/>
        <w:spacing w:after="0" w:line="342" w:lineRule="auto"/>
        <w:tabs>
          <w:tab w:leader="none" w:pos="5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500" w:right="400" w:hanging="276"/>
        <w:spacing w:after="0" w:line="277"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00" w:right="260" w:hanging="276"/>
        <w:spacing w:after="0" w:line="277"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12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00" w:right="240" w:hanging="276"/>
        <w:spacing w:after="0" w:line="264"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00" w:right="40" w:hanging="276"/>
        <w:spacing w:after="0" w:line="264"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00" w:right="80" w:hanging="276"/>
        <w:spacing w:after="0" w:line="308" w:lineRule="auto"/>
        <w:tabs>
          <w:tab w:leader="none" w:pos="5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00" w:right="320" w:hanging="276"/>
        <w:spacing w:after="0" w:line="342" w:lineRule="auto"/>
        <w:tabs>
          <w:tab w:leader="none" w:pos="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500" w:right="400" w:hanging="276"/>
        <w:spacing w:after="0" w:line="277"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00" w:right="260" w:hanging="276"/>
        <w:spacing w:after="0" w:line="277" w:lineRule="auto"/>
        <w:tabs>
          <w:tab w:leader="none" w:pos="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(principal financial officer)</w:t>
      </w:r>
    </w:p>
    <w:p>
      <w:pPr>
        <w:sectPr>
          <w:pgSz w:w="11900" w:h="16838" w:orient="portrait"/>
          <w:cols w:equalWidth="0" w:num="1">
            <w:col w:w="11420"/>
          </w:cols>
          <w:pgMar w:left="240" w:top="9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Company’s Form 10-Q for the fiscal quarter ended September 30, 2005 (the “Report”) fully complies with the requirements of Section 13(a) or 15(d), as applicable, of the Securities Exchange Act of 1934 and that the information contained in the Report fairly presents, in all material respects, the financial condition and results of operations of the Company. The foregoing certification is being furnished solely pursuant to 18 U.S.C. Section 1350 and is not being filed as part of the Report or as a separate disclosure document.</w:t>
      </w:r>
    </w:p>
    <w:p>
      <w:pPr>
        <w:spacing w:after="0" w:line="188"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November 9, 2005</w:t>
      </w:r>
      <w:r>
        <w:rPr>
          <w:sz w:val="20"/>
          <w:szCs w:val="20"/>
          <w:color w:val="auto"/>
        </w:rPr>
        <w:tab/>
      </w:r>
      <w:r>
        <w:rPr>
          <w:rFonts w:ascii="Arial" w:cs="Arial" w:eastAsia="Arial" w:hAnsi="Arial"/>
          <w:sz w:val="17"/>
          <w:szCs w:val="17"/>
          <w:color w:val="auto"/>
        </w:rPr>
        <w:t>By: /s/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14605</wp:posOffset>
            </wp:positionV>
            <wp:extent cx="31730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financial officer)</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emdash "/>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32"/>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2019-12-12T10:23:46Z</dcterms:created>
  <dcterms:modified xsi:type="dcterms:W3CDTF">2019-12-12T10:23:46Z</dcterms:modified>
</cp:coreProperties>
</file>