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52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2381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40"/>
        <w:spacing w:after="0" w:line="207" w:lineRule="exact"/>
        <w:tabs>
          <w:tab w:leader="none" w:pos="5040" w:val="left"/>
          <w:tab w:leader="none" w:pos="6720" w:val="left"/>
        </w:tabs>
        <w:rPr>
          <w:sz w:val="20"/>
          <w:szCs w:val="20"/>
          <w:color w:val="auto"/>
        </w:rPr>
      </w:pPr>
      <w:r>
        <w:rPr>
          <w:rFonts w:ascii="Arial" w:cs="Arial" w:eastAsia="Arial" w:hAnsi="Arial"/>
          <w:sz w:val="18"/>
          <w:szCs w:val="18"/>
          <w:color w:val="auto"/>
        </w:rPr>
        <w:t>Large accelerated filer o</w:t>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p>
    <w:p>
      <w:pPr>
        <w:spacing w:after="0" w:line="1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14,415,833 shares of Common Stock, par value $.01 per share, of the registrant were outstanding on May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4"/>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vMerge w:val="restart"/>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4"/>
            <w:vMerge w:val="continue"/>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4. Controls and Procedures</w:t>
              </w:r>
            </w:hyperlink>
          </w:p>
        </w:tc>
        <w:tc>
          <w:tcPr>
            <w:tcW w:w="8300" w:type="dxa"/>
            <w:vAlign w:val="bottom"/>
            <w:gridSpan w:val="9"/>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PART II. OTHER INFORMATION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9040" w:type="dxa"/>
            <w:vAlign w:val="bottom"/>
            <w:gridSpan w:val="12"/>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5720" w:type="dxa"/>
            <w:vAlign w:val="bottom"/>
            <w:gridSpan w:val="3"/>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Signature</w:t>
              </w:r>
            </w:hyperlink>
          </w:p>
        </w:tc>
        <w:tc>
          <w:tcPr>
            <w:tcW w:w="460" w:type="dxa"/>
            <w:vAlign w:val="bottom"/>
            <w:tcBorders>
              <w:top w:val="single" w:sz="8" w:color="0000EE"/>
            </w:tcBorders>
            <w:gridSpan w:val="5"/>
          </w:tcPr>
          <w:p>
            <w:pPr>
              <w:spacing w:after="0"/>
              <w:rPr>
                <w:sz w:val="17"/>
                <w:szCs w:val="17"/>
                <w:color w:val="auto"/>
              </w:rPr>
            </w:pPr>
          </w:p>
        </w:tc>
        <w:tc>
          <w:tcPr>
            <w:tcW w:w="9480" w:type="dxa"/>
            <w:vAlign w:val="bottom"/>
            <w:gridSpan w:val="13"/>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Exhibit Index</w:t>
              </w:r>
            </w:hyperlink>
          </w:p>
        </w:tc>
        <w:tc>
          <w:tcPr>
            <w:tcW w:w="9640" w:type="dxa"/>
            <w:vAlign w:val="bottom"/>
            <w:gridSpan w:val="16"/>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EXHIBIT 31.1</w:t>
            </w:r>
          </w:p>
        </w:tc>
        <w:tc>
          <w:tcPr>
            <w:tcW w:w="952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20"/>
          </w:tcPr>
          <w:p>
            <w:pPr>
              <w:spacing w:after="0" w:line="196" w:lineRule="exact"/>
              <w:rPr>
                <w:sz w:val="20"/>
                <w:szCs w:val="20"/>
                <w:color w:val="auto"/>
              </w:rPr>
            </w:pPr>
            <w:r>
              <w:rPr>
                <w:rFonts w:ascii="Arial" w:cs="Arial" w:eastAsia="Arial" w:hAnsi="Arial"/>
                <w:sz w:val="18"/>
                <w:szCs w:val="18"/>
                <w:color w:val="0000EE"/>
              </w:rPr>
              <w:t>EXHIBIT 31.2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w:t>
            </w:r>
          </w:p>
        </w:tc>
        <w:tc>
          <w:tcPr>
            <w:tcW w:w="120" w:type="dxa"/>
            <w:vAlign w:val="bottom"/>
            <w:tcBorders>
              <w:top w:val="single" w:sz="8" w:color="0000EE"/>
            </w:tcBorders>
            <w:gridSpan w:val="2"/>
          </w:tcPr>
          <w:p>
            <w:pPr>
              <w:spacing w:after="0"/>
              <w:rPr>
                <w:sz w:val="17"/>
                <w:szCs w:val="17"/>
                <w:color w:val="auto"/>
              </w:rPr>
            </w:pPr>
          </w:p>
        </w:tc>
        <w:tc>
          <w:tcPr>
            <w:tcW w:w="95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020" w:type="dxa"/>
            <w:vAlign w:val="bottom"/>
            <w:gridSpan w:val="20"/>
          </w:tcPr>
          <w:p>
            <w:pPr>
              <w:jc w:val="center"/>
              <w:ind w:left="4310"/>
              <w:spacing w:after="0"/>
              <w:rPr>
                <w:sz w:val="20"/>
                <w:szCs w:val="20"/>
                <w:color w:val="auto"/>
              </w:rPr>
            </w:pPr>
            <w:r>
              <w:rPr>
                <w:rFonts w:ascii="Arial" w:cs="Arial" w:eastAsia="Arial" w:hAnsi="Arial"/>
                <w:sz w:val="18"/>
                <w:szCs w:val="18"/>
                <w:color w:val="auto"/>
                <w:w w:val="99"/>
              </w:rPr>
              <w:t>2</w:t>
            </w:r>
          </w:p>
        </w:tc>
        <w:tc>
          <w:tcPr>
            <w:tcW w:w="3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44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78,213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50,934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25,875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3,045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163,734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150,192</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Equipment, furniture and fixtures, net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6,044</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5,443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191,352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25,048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discounts/rebates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38,938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44,013</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6,676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 term liability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45,981</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ind w:left="200"/>
              <w:spacing w:after="0" w:line="201" w:lineRule="exact"/>
              <w:rPr>
                <w:sz w:val="20"/>
                <w:szCs w:val="20"/>
                <w:color w:val="auto"/>
              </w:rPr>
            </w:pPr>
            <w:r>
              <w:rPr>
                <w:rFonts w:ascii="Arial" w:cs="Arial" w:eastAsia="Arial" w:hAnsi="Arial"/>
                <w:sz w:val="18"/>
                <w:szCs w:val="18"/>
                <w:color w:val="auto"/>
                <w:w w:val="99"/>
              </w:rPr>
              <w:t>Common stock, $.01 par value, 50,000,000 shares authorized; 17,846,668 and 17,543,235 shares issued at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March 31, 2007 and December 31, 2006,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100,556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3,531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72,981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177,246</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Less cost of common stock in treasury, 3,522,889 and 3,528,827 shares at March 31, 2007 and December 31, 2006,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(31,875)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145,371</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191,352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66,019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sales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41,678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35,685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24,341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18,488</w:t>
            </w: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15,833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13,512</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6,186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(2,231)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14,130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14,908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4,637</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(recovery) for doubtful accounts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0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(1,090)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4,285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12,138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66,075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43,641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78,213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significant intercompany accounts and transactions have been eliminated in the consolidated financial statements. Certain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results of operations for the three months ended March 31, 2007 are not necessarily indicative of the results to be expected for the full year. These financial statements should be read in conjunction with the consolidated financial statements and related notes contained in our Annual Report on Form 10-K for our fiscal year ended December 31, 2006. The financial information presented in the accompanying statements reflects all adjustments that are, in the opinion of management, necessary for a fair presentation of financial position, operations and cash flows for the periods presented. All such adjustments are of a normal recurring nature. As used herein, the terms “Company”, “we”, “us” and “our” refer to Universal Electronics Inc. and its subsidiaries, unless the context indicates to the contrary.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Realignment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third quarter of 2006, we integrated the SimpleDevices business segment into our Core Business segment in order to more closely align our financial reporting with our business structure. The segment integration did not impact previously reported consolidated net revenue, income from operations, net income or net earnings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amounts reported in our consolidated financial statements and accompanying notes. Actual results may differ from these estimates and judgments.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2007, the Financial Accounting Standards Board (“FASB”) issued Statement of Financial Accounting Standards (“SFAS”) No. 159, </w:t>
      </w:r>
      <w:r>
        <w:rPr>
          <w:rFonts w:ascii="Arial" w:cs="Arial" w:eastAsia="Arial" w:hAnsi="Arial"/>
          <w:sz w:val="18"/>
          <w:szCs w:val="18"/>
          <w:i w:val="1"/>
          <w:iCs w:val="1"/>
          <w:color w:val="auto"/>
        </w:rPr>
        <w:t>The 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Option for Financial Assets and Financial Liabilities—Including an amendment of FASB Statement No. 115 </w:t>
      </w:r>
      <w:r>
        <w:rPr>
          <w:rFonts w:ascii="Arial" w:cs="Arial" w:eastAsia="Arial" w:hAnsi="Arial"/>
          <w:sz w:val="18"/>
          <w:szCs w:val="18"/>
          <w:color w:val="auto"/>
        </w:rPr>
        <w:t>(“SFAS 159”), which permits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A business entity shall report unrealized gains and losses on items for which the fair value option has been elected in earnings (or another performance indicator if the business entity does not report earnings) at each subsequent reporting date. SFAS 159 is effective for the Company beginning January 1, 2008. We are currently evaluating the effect that the adoption of SFAS 159 will have on our consolidated results of operations and financial condition.</w:t>
      </w:r>
    </w:p>
    <w:p>
      <w:pPr>
        <w:spacing w:after="0" w:line="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the Company beginning January 1, 2008. We are currently evaluating the effect that the adoption of SFAS 157 will have on our consolidated results of operations and financial condition.</w:t>
      </w:r>
    </w:p>
    <w:p>
      <w:pPr>
        <w:spacing w:after="0" w:line="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Effective January 1, 2007, we applied the opinion reached by the FASB’s Emerging Issues Task Force (“EITF”) on EITF Issue 06-3, </w:t>
      </w:r>
      <w:r>
        <w:rPr>
          <w:rFonts w:ascii="Arial" w:cs="Arial" w:eastAsia="Arial" w:hAnsi="Arial"/>
          <w:sz w:val="17"/>
          <w:szCs w:val="17"/>
          <w:i w:val="1"/>
          <w:iCs w:val="1"/>
          <w:color w:val="auto"/>
        </w:rPr>
        <w:t>How Taxes Collected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Customers and Remitted to Governmental Authorities Should Be Presented in the Income Statement (That Is, Gross versus Net Presentation).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consensus in EITF Issue 06-3 does not require us to reevaluate our existing accounting policies for income statement presentation. Application of EITF 06-3 resulted in additional disclosure, but did not change the method in which we account for taxes collected.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Effective January 1, 2007, we adopted FASB Interpretation 48 (“FIN 48”), </w:t>
      </w:r>
      <w:r>
        <w:rPr>
          <w:rFonts w:ascii="Arial" w:cs="Arial" w:eastAsia="Arial" w:hAnsi="Arial"/>
          <w:sz w:val="18"/>
          <w:szCs w:val="18"/>
          <w:i w:val="1"/>
          <w:iCs w:val="1"/>
          <w:color w:val="auto"/>
        </w:rPr>
        <w:t>Accounting for Uncertainty in Income Taxes- an interpretation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109 </w:t>
      </w:r>
      <w:r>
        <w:rPr>
          <w:rFonts w:ascii="Arial" w:cs="Arial" w:eastAsia="Arial" w:hAnsi="Arial"/>
          <w:sz w:val="18"/>
          <w:szCs w:val="18"/>
          <w:color w:val="auto"/>
        </w:rPr>
        <w:t>(“SFAS 109”). Refer to Note 6 below for further discussion regarding the financial effects of adopting FIN 48.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Effective January 1, 2006, we adopted the fair value recognition provisions of SFAS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using the modified-prospective transition method. Stock-based compensation expense is presented in the same income statement line as cash compensation paid to the same employees or directors. During the three months ended March 31, 2007 and 2006, we recorded $0.7 million and $0.9 million, respectively in pre-tax stock-based compensation expense. Included in SG&amp;A stock-based compensation expense is $117 thousand and $81 thousand in pre-tax compensation expense related to stock awards granted to outside directors for the three months ended March 31, 2007 and 2006, respectively. The income tax benefit as a result of implementation of SFAS 123R was $0.2 million and $0.3 million for the three months ended March 31, 2007 and 2006,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attributable to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estimate the fair value of share-based payment awards using the Black-Scholes option pricing model with the following assumptions and weighted average fair values:</w:t>
      </w:r>
    </w:p>
    <w:p>
      <w:pPr>
        <w:spacing w:after="0" w:line="16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 xml:space="preserve">March 31, </w:t>
      </w:r>
      <w:r>
        <w:rPr>
          <w:rFonts w:ascii="Arial" w:cs="Arial" w:eastAsia="Arial" w:hAnsi="Arial"/>
          <w:sz w:val="12"/>
          <w:szCs w:val="12"/>
          <w:b w:val="1"/>
          <w:bCs w:val="1"/>
          <w:color w:val="auto"/>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$ 8.79</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$ 8.10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4.57%</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4.58%</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44.16%</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43.51%</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5.37</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5660" w:right="5200" w:hanging="5652"/>
        <w:spacing w:after="0" w:line="571" w:lineRule="auto"/>
        <w:tabs>
          <w:tab w:leader="none" w:pos="445" w:val="left"/>
        </w:tabs>
        <w:numPr>
          <w:ilvl w:val="0"/>
          <w:numId w:val="3"/>
        </w:numPr>
        <w:rPr>
          <w:rFonts w:ascii="Arial" w:cs="Arial" w:eastAsia="Arial" w:hAnsi="Arial"/>
          <w:sz w:val="14"/>
          <w:szCs w:val="14"/>
          <w:color w:val="auto"/>
        </w:rPr>
      </w:pPr>
      <w:r>
        <w:rPr>
          <w:rFonts w:ascii="Arial" w:cs="Arial" w:eastAsia="Arial" w:hAnsi="Arial"/>
          <w:sz w:val="16"/>
          <w:szCs w:val="16"/>
          <w:color w:val="auto"/>
        </w:rPr>
        <w:t>The fair value calculation was based on stock options granted during the period.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as of March 31, 2007 and changes for the three months ended March 31, 2007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34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52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2,480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13.73</w:t>
            </w:r>
          </w:p>
        </w:tc>
        <w:tc>
          <w:tcPr>
            <w:tcW w:w="13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19.02</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14.36</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11.04</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2007</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13.74</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5.27</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30,259</w:t>
            </w:r>
          </w:p>
        </w:tc>
        <w:tc>
          <w:tcPr>
            <w:tcW w:w="0" w:type="dxa"/>
            <w:vAlign w:val="bottom"/>
          </w:tcPr>
          <w:p>
            <w:pPr>
              <w:spacing w:after="0"/>
              <w:rPr>
                <w:sz w:val="1"/>
                <w:szCs w:val="1"/>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color w:val="auto"/>
              </w:rPr>
              <w:t>Vested and expected to vest at March 31, 2007</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13.66</w:t>
            </w:r>
          </w:p>
        </w:tc>
        <w:tc>
          <w:tcPr>
            <w:tcW w:w="1380" w:type="dxa"/>
            <w:vAlign w:val="bottom"/>
          </w:tcPr>
          <w:p>
            <w:pPr>
              <w:jc w:val="right"/>
              <w:ind w:right="242"/>
              <w:spacing w:after="0"/>
              <w:rPr>
                <w:sz w:val="20"/>
                <w:szCs w:val="20"/>
                <w:color w:val="auto"/>
              </w:rPr>
            </w:pPr>
            <w:r>
              <w:rPr>
                <w:rFonts w:ascii="Arial" w:cs="Arial" w:eastAsia="Arial" w:hAnsi="Arial"/>
                <w:sz w:val="18"/>
                <w:szCs w:val="18"/>
                <w:color w:val="auto"/>
              </w:rPr>
              <w:t>5.21</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2007</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12.95</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4.55</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aggregate intrinsic value in the table above represents total pre-tax intrinsic value (difference between Universal Electronics Inc.’s average of the high and low trades of the last trading day of the first quarter of 2007 (March 30, 2007) and the option exercise price, multiplied by the number of the in-the-money options) that option holders would have received had all option holders exercised their options on March 30, 2007. This amount changes based on the fair market value of our common stock. The total intrinsic value of options exercised for the three months ended March 31, 2007 and 2006 was $3.2 million and $1.2 million, respectively.</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2007, we expect to recognize $3.6 million of total unrecognized compensation expense related to non-vested employee stock options over a weighted-average life of 1.7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as of March 31, 2007 and changes during the three months ended March 31, 2007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3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68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2007</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As of March 31, 2007, we expect to recognize $117 thousand in unrecognized compensation expense related to non-vested restricted stock awards over a weighted-average life of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73"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At March 31, 2007, we had approximately $18.7 million and $59.5 million of cash and cash equivalents in the United States and Europe, respectively. At December 31, 2006, we had approximately $6.1 million and $60.0 million of cash and cash equivalents in the United States and Europe,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at March 31, 2007 and December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53,733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55,726</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(2,262)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(2,602)</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50,186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51,230</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 xml:space="preserve">Note receivable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50,934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 April 1999, we provided a $200 thousand non-recourse interest bearing secured loan to our chief executive officer, which is due by December 15, 2007. The note and related interest are classified as a current asset.</w:t>
      </w:r>
    </w:p>
    <w:p>
      <w:pPr>
        <w:spacing w:after="0" w:line="21" w:lineRule="exact"/>
        <w:rPr>
          <w:rFonts w:ascii="Arial" w:cs="Arial" w:eastAsia="Arial" w:hAnsi="Arial"/>
          <w:sz w:val="15"/>
          <w:szCs w:val="15"/>
          <w:color w:val="auto"/>
        </w:rPr>
      </w:pPr>
    </w:p>
    <w:p>
      <w:pPr>
        <w:ind w:left="460" w:right="24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receivables as of March 31, 2007 and December 31, 2006 consisted primarily of a tenant improvement allowance provided by our landlord for the renovation and expansion of our corporate headquarters in Cypress, California. Construction is expected to be complete by the end of 2007. The tenant improvement allowance will be paid upon completion of construction.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had sales to one significant customer that contributed more than 10% of total net sales. Sales made to this customer were $10.1 million and $7.0 million, representing 15.3% and 12.9% of our total net sales for the three months ended March 31, 2007 and 2006, respectively. Trade receivables with this customer amounted to $4.7 million and $3.1 million, or 9.3% and 6.0% of our net trade receivable at March 31, 2007 and December 31, 2006, respectively. In addition, we had sales to another customer and its sub-contractors that, when combined, totaled $10.9 million and $12.0 million, accounting for 16.5% and 22.2% of net sales for the three months ended March 31, 2007 and 2006, respectively. Trade receivables with this customer and its sub-contractors amounted to $7.3 million and $6.2 million, or 14.5% and 12.2% of our net trade receivable at March 31, 2007 and December 31, 2006, respectively. The future loss of either of these customers or of any other key customer (in the United States or abroad, for any reason, including the financial weakness or bankruptcy of the customer or our inability to obtain orders or our inability to maintain order volume) would have an adverse effect on our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Inventories, which consist of wireless control devices, including universal remote controls, antennas and related component parts, and are valued at the lower of cost or market. Cost, which is determined using the first-in, first-out method includes the purchase of integrated circuits, sub-contractor costs and freight-in. We carry inventory in amounts necessary to satisfy our customers’ inventory requirements on a timely basis.</w:t>
      </w:r>
    </w:p>
    <w:p>
      <w:pPr>
        <w:spacing w:after="0" w:line="5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inventory to control inventory levels and dispose of any excess or obsolete inventories on hand. We write down our inventory for estimated obsolescence or unmarketable inventory, in an amount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consisted of the following at March 31, 2007 and December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20,490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22,537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Inventory,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25,875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26,459</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2007 and 2006 inventory write-downs totaled $0.5 million and $0.1 million, respectively. Inventory write-downs are a normal part of our business and result primarily from product life cycle estimation variances.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Most of the components used in our products are available from multiple sources. We have elected to purchase integrated circuits (“IC”), used principally in our wireless control products, from two main sources. Purchases from one supplier amounted to more than 10% of total inventory purchases during 2007. Purchases from this major supplier amounted to $5.3 million and $2.5 million, representing 14.9% and 9.4% of total inventory purchases for the three months ended March 31, 2007 and 2006, respectively. Accounts payable with that supplier amounted to $2.8 million and $0.8 million, representing 11.0% and 3.9% of total accounts payable at March 31, 2007 and December 31, 2006, respectively. For the three months ended March 31, 2006, a different IC supplier provided more than 10% of total inventory purchases. Purchases from that supplier amounted to $2.9 million, representing 10.9% of total inventory purchases for the three months ended March 31, 2006.</w:t>
      </w:r>
    </w:p>
    <w:p>
      <w:pPr>
        <w:spacing w:after="0" w:line="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addition, during the three months ended March 31, 2007, we purchased component and finished good products from three major suppliers. Purchases from these three major suppliers amounted to $9.8 million, $5.3 million and $3.9 million, representing 27.6%, 15.0% and 11.0%, respectively, of total inventory purchases for the three months ended March 31, 2007. During the three months ended March 31, 2006 purchases from the same three suppliers amounted to $8.4 million, $1.4 million and $0.6 million, representing 31.9%, 5.4% and 2.2%, respectively, of total inventory purchases. For the three months ended March 31, 2006, two other suppliers provided more than 10% of total inventory purchases. Purchases from those two suppliers amounted to $2.9 million and $2.8 million, representing 11.0% and 10.7%, respectively, of total inventory purchases for the three months ended March 31, 2006.</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Accounts payable with the aforementioned three suppliers of component and finished good products amounted to $8.0 million, $3.5 million and $3.1 million, representing 31.9%, 13.9% and 12.4%, respectively, of total accounts payable at March 31, 2007. At December 31, 2006, accounts payable with the same suppliers amounted to $8.2 million, $2.0 million and $3.4 million, representing 40.4%, 9.8% and 17.1%, respectively, of total accounts payable. No other component and finished goods supplier accounted for inventory purchases exceeding ten percent of the total inventory purchases for the three months ended March 31, 2007 or 2006.</w:t>
      </w:r>
    </w:p>
    <w:p>
      <w:pPr>
        <w:spacing w:after="0" w:line="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identified alternative sources of supply for these integrated circuits, components, and finished goods; however, there can be no assurance that we will be able to continue to purchase inventory on a timely basis from any of these sources. We generally maintain inventories of our integrated chips, which could be used in part to mitigate, but not eliminate, delays resulting from supply interruptions. An extended interruption, a shortage or termination in the supply of any of the components used in our products, a reduction in their quality or reliability, or a significant increase in prices of components, would have an adverse effect on our business,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the estimated annual effective tax rate to determine our provision for income taxes for interim periods. We recorded income tax expense of</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$2.2 million for the three months ended March 31, 2007 compared to $1.1 million for the same period last year. Our estimated effective tax rate was 32.5% and 34.1% during the three months ended March 31, 2007 and 2006, respectively. The decrease in our effective tax rate is due primarily to the re-enactment of the federal research and development tax credit statute which was passed by Congress in the fourth quarter of 2006 as well as the Netherlands’ statutory tax rate decreasing from 31.5% in 2006 to 25.5% in 2007, offset partially by increased pre-tax income in higher tax rate jurisdictions.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We adopted the provisions of FASB Interpretation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an interpretation of FASB Statement No. 109</w:t>
      </w:r>
      <w:r>
        <w:rPr>
          <w:rFonts w:ascii="Arial" w:cs="Arial" w:eastAsia="Arial" w:hAnsi="Arial"/>
          <w:sz w:val="17"/>
          <w:szCs w:val="17"/>
          <w:color w:val="auto"/>
        </w:rPr>
        <w:t xml:space="preserve"> (“FIN 48”) effective January 1, 2007. FIN 48 clarifies the accounting for uncertainty in income taxes recognized in an enterprise’s financial statements in accordance with FASB Statement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and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w:t>
      </w:r>
    </w:p>
    <w:p>
      <w:pPr>
        <w:spacing w:after="0" w:line="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accordance with the adoption of FIN 48 effective January 1, 2007, we evaluate our tax positions to determine if it is more likely than not that a tax position is sustainable, based on its technical merits. If a tax position does not meet the more likely than not standard, a full reserve is established. Additionally, for a position that is determined to, more likely than not, be sustainable, we measure the benefit at the greatest cumulative probability of being realized and establish a reserve for the balance. A material change in our tax reserves could have a significant impact on our results.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accordance with FIN 48, paragraph 19, we have decided to classify interest and penalties as components of tax expense. As a result of the implementation of FIN 48, we recognized $0.2 million increase in liability for unrecognized tax benefits, which was accounted for as a reduction to the January 1, 2007 balance of retained earnings. We have unrecognized tax benefits of approximately $6.8 million as of January 1, 2007, of which $6.3 million if recognized would result in the reduction of our effective tax rate. Interest and penalties are $0.6 million at the date of adoption and are included in the unrecognized tax benefits. We recorded an increase of our unrecognized tax benefits of approximately $0.4 million as of March 31, 2007. The open statute of limitations for our significant tax jurisdiction are as follows: federal and state 2002 through 2006 and non-U.S. 2001 through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March 31, 2007 and 2006, 4,375 and 1,108,833 stock options, respectively, with exercise prices greater than the average market price of the underlying common stock, were excluded because their inclusion would have been antidilutive.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months ended March 31, 2007 and 2006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4,637</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4,637</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14,130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14,908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Comprehensive Income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listed below:</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220" w:hanging="452"/>
        <w:spacing w:after="0" w:line="264"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foreign currency translation gains of $0.8 million and $1.7 million for the three months ended March 31, 2007 and March 31, 2006, respectively, were due to the weakening of the U.S. dollar versus the Euro. The U.S. dollar/Euro spot rate was 1.34 and 1.32 at March 31, 2007 and December 31, 2006, respectively, and 1.21 and 1.18 at March 31, 2006 and December 31, 2005, respectively.</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Income (Expense), Net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March 31, 2007, we had a pre-tax net gain of $94 thousand on foreign currency exchange transactions compared to a pre-tax net loss of $161 thousand on foreign exchange transactions during the three months ended March 31, 2006.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Revolving Credit Line</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Effective August 31, 2006, we amended our original Credit Facility with Comerica, extending our line of credit through August 31, 2009. The amended Credit Facility provides a $15 million unsecured revolving credit agreement with Comerica for an additional three years, expiring on August 31, 2009. Under the Credit Facility, the interest payable is variable and is based on the bank’s cost of funds or LIBOR plus a fixed margin of 1.25%. The interest rate in effect as of March 31, 2007 using LIBOR plus a fixed margin of 1.25% was 6.57%. We pay a commitment fee ranging from zero to a maximum rate of 1/4 of 1% per year on the unused portion of the credit line depending on the amount of cash investment retained with Comerica during each quarter. At March 31, 2007, the commitment rate was 0.25%.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March 31, 2007, we did not have any amounts outstanding under the Credit Facility or any outstanding import letters of credit. Furthermore, as of March 31, 2007, we were in compliance with all financial covenants required by the Credit Facility.</w:t>
      </w:r>
    </w:p>
    <w:p>
      <w:pPr>
        <w:spacing w:after="0" w:line="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Under the amended Credit Facility, we have authority to acquire up to an additional 2.0 million shares of our common stock in the open market. We did not purchase any shares of our common stock during the three months ended March 31, 2007. As of March 31, 2007, 1,903,400 were shares available for purchase under the terms of the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warranties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w:t>
            </w:r>
          </w:p>
        </w:tc>
        <w:tc>
          <w:tcPr>
            <w:tcW w:w="3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7,449</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Treasury Stock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2007 and 2006, we did not repurchase any shares of our common stock. Repurchased shares are recorded as shares held in treasury at cost. We generally hold shares for future use as management and the Board of Directors deem appropriate, including compensating outside directors of the Company. During the three months ended March 31, 2007 and 2006, we issued 5,938 and 5,000 shares, respectively, to outside directors for services performed.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Goodwill and Intangible Assets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Under the requirements of SFAS 142,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the unit of accounting for goodwill is at a level of reporting referred to as a “reporting unit.” SFAS 142 defines a reporting unit as either (1) an operating segment, as defined in SFAS 131, </w:t>
      </w:r>
      <w:r>
        <w:rPr>
          <w:rFonts w:ascii="Arial" w:cs="Arial" w:eastAsia="Arial" w:hAnsi="Arial"/>
          <w:sz w:val="18"/>
          <w:szCs w:val="18"/>
          <w:i w:val="1"/>
          <w:iCs w:val="1"/>
          <w:color w:val="auto"/>
        </w:rPr>
        <w:t>Disclosures about Segments of an Enterprise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Related Information </w:t>
      </w:r>
      <w:r>
        <w:rPr>
          <w:rFonts w:ascii="Arial" w:cs="Arial" w:eastAsia="Arial" w:hAnsi="Arial"/>
          <w:sz w:val="18"/>
          <w:szCs w:val="18"/>
          <w:color w:val="auto"/>
        </w:rPr>
        <w:t>or (2) one level below an operating segment, referred to as a component. Our domestic and international components are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units” within our one operating segment “Core Business.” Goodwill is reviewed for impairment during the fourth quarter of each year. Goodwill of a reporting unit is tested for impairment between annual tests, if an event occurs or circumstances change that would more likely than not reduce the fair value of a reporting unit below its carrying amount.</w:t>
      </w:r>
    </w:p>
    <w:p>
      <w:pPr>
        <w:spacing w:after="0" w:line="8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reported earlier, during the fourth quarter of 2004 we purchased SimpleDevices for approximately $12.8 million in cash, including direct acquisition costs and a potential performance-based payment of our unregistered common stock, if certain future financial objectives were achieved. As a result of the performance-based incentive and other factors, our chief operating decision maker (“CODM”) reviewed SimpleDevices’ discrete operating results through the second quarter of 2006. Consequently, SimpleDevices was defined as an “operating segment” and a “reporting unit” through the second quarter of 2006.</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Effective the end of the second quarter of 2006, we completed our integration of SimpleDevices’ technologies with our existing technologies and merged SimpleDevices’ sales, engineering and administrative functions into our “domestic” reporting unit. The performance-based payment related to the acquisition also expired. In addition, commencing in the third quarter of 2006, our CODM no longer reviewed SimpleDevices’ financial statements on a stand alone basis. Accordingly, SimpleDevices became part of the “domestic” reporting unit within our single operating segment in the third quarter of 2006.</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and the acquisition of a software and firmware solutions company, SimpleDevices, in 2004. Goodwill for international operations resulted from the acquisition of remote control distributors in the UK in 1998, Spain in 1999 and France in 2000.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Domestic and international goodwill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10,668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March 31, 2007, as compared to the goodwill reported at December 31, 2006, was the result of fluctuations in the foreign currency exchange rates used to translate the balance into U.S. dollars.</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March 31, 2007</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December 31, 2006</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8"/>
                <w:szCs w:val="18"/>
                <w:color w:val="auto"/>
              </w:rPr>
            </w:pP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Capitalized software (2 years)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carrying amount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300" w:type="dxa"/>
            <w:vAlign w:val="bottom"/>
          </w:tcPr>
          <w:p>
            <w:pPr>
              <w:spacing w:after="0"/>
              <w:rPr>
                <w:sz w:val="18"/>
                <w:szCs w:val="18"/>
                <w:color w:val="auto"/>
              </w:rPr>
            </w:pP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expense, including the amortization of capitalized software (which is recorded in cost of sales), for the three months ended March 31, 2007 and 2006 was approximately $0.3 million and $0.3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for existing intangible assets for each of the five succeeding years ending December 31 and thereafter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9 months)</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2008</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2010</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Segments</w:t>
      </w:r>
    </w:p>
    <w:p>
      <w:pPr>
        <w:spacing w:after="0" w:line="11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 xml:space="preserve">SFAS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defines an operating segment, in part, as a component of an enterprise whose operating results are regularly reviewed by the chief operating decision maker (“CODM”). The CODM makes decisions about resources to be allocated to the segment and assesses its performance. Operating segments may be aggregated only to the limited extent permitted by the standard.</w:t>
      </w:r>
    </w:p>
    <w:p>
      <w:pPr>
        <w:spacing w:after="0" w:line="3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a result of the performance-based incentive and other factors, management reviewed SimpleDevices’ discrete operating results through the second quarter of 2006, and as a result, defined SimpleDevices as a separate segment. Since acquiring SimpleDevices, we have integrated SimpleDevices’ technologies with and into our own technology. In addition, we have integrated SimpleDevices’ sales, engineering and administrative functions into our own. Accordingly, commencing in the third quarter of 2006, we merged SimpleDevices into our Core Business segment, and now we operate in a single industry segment.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sales to external customers and long-lived tangible assets by geographic area for three months ended March 31, 2007 and 2006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39,679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32,174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9,266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1,604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1,339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Africa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Australia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26,340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21,999</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66,019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March 31, 2007</w:t>
            </w:r>
          </w:p>
        </w:tc>
        <w:tc>
          <w:tcPr>
            <w:tcW w:w="1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2006</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4,169</w:t>
            </w:r>
          </w:p>
        </w:tc>
        <w:tc>
          <w:tcPr>
            <w:tcW w:w="300" w:type="dxa"/>
            <w:vAlign w:val="bottom"/>
          </w:tcPr>
          <w:p>
            <w:pPr>
              <w:spacing w:after="0"/>
              <w:rPr>
                <w:sz w:val="18"/>
                <w:szCs w:val="18"/>
                <w:color w:val="auto"/>
              </w:rPr>
            </w:pP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3,921</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and cash flows.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w:t>
      </w:r>
    </w:p>
    <w:p>
      <w:pPr>
        <w:spacing w:after="0" w:line="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held foreign currency exchange contracts which resulted in a net pre-tax gain of approximately $183 thousand and $194 thousand for the three months ended March 31, 2007 and March 31, 2006, respectively. We had one foreign currency exchange contract outstanding at March 31, 2007, a forward contract with a notional value of $17.5 million. We had two foreign currency exchange contracts outstanding at December 31, 2006, known as participating forwards, both with a notional value of $6.25 million each.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held a USD/Euro forward contract with a notional value of $17.5 million and a forward rate of $1.3393/Euro as of March 31, 2007, due for settlement on April 25, 2007. We held the Euro position on this contract. The fair value of this contract was a $36 thousand loss at March 31, 2007; and this contract value is included in other accrued expenses. At December 31, 2006, we had a loss on participating forward contracts of approximately $0.6 million, which was included in other accrued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Guarantees and Product Warranties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for claims made against the directors and officers during the applicable policy periods. The amounts and types of coverage have varied from period to period as dictated by market conditions.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Since warranty expense is a forecast primarily based on historical claims experience, actual claim costs may differ from the amounts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warranties are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Balance at</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Accruals for</w:t>
            </w:r>
          </w:p>
        </w:tc>
        <w:tc>
          <w:tcPr>
            <w:tcW w:w="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40" w:type="dxa"/>
            <w:vAlign w:val="bottom"/>
          </w:tcPr>
          <w:p>
            <w:pPr>
              <w:spacing w:after="0"/>
              <w:rPr>
                <w:sz w:val="12"/>
                <w:szCs w:val="12"/>
                <w:color w:val="auto"/>
              </w:rPr>
            </w:pPr>
          </w:p>
        </w:tc>
        <w:tc>
          <w:tcPr>
            <w:tcW w:w="9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Period</w:t>
            </w:r>
          </w:p>
        </w:tc>
        <w:tc>
          <w:tcPr>
            <w:tcW w:w="5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540" w:type="dxa"/>
            <w:vAlign w:val="bottom"/>
          </w:tcPr>
          <w:p>
            <w:pPr>
              <w:spacing w:after="0" w:line="195" w:lineRule="exact"/>
              <w:rPr>
                <w:sz w:val="20"/>
                <w:szCs w:val="20"/>
                <w:color w:val="auto"/>
              </w:rPr>
            </w:pPr>
            <w:r>
              <w:rPr>
                <w:rFonts w:ascii="Arial" w:cs="Arial" w:eastAsia="Arial" w:hAnsi="Arial"/>
                <w:sz w:val="18"/>
                <w:szCs w:val="18"/>
                <w:color w:val="auto"/>
              </w:rPr>
              <w:t>Three Months Ended March 31, 2007</w:t>
            </w:r>
          </w:p>
        </w:tc>
        <w:tc>
          <w:tcPr>
            <w:tcW w:w="52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$416</w:t>
            </w:r>
          </w:p>
        </w:tc>
        <w:tc>
          <w:tcPr>
            <w:tcW w:w="540" w:type="dxa"/>
            <w:vAlign w:val="bottom"/>
          </w:tcPr>
          <w:p>
            <w:pPr>
              <w:spacing w:after="0"/>
              <w:rPr>
                <w:sz w:val="16"/>
                <w:szCs w:val="16"/>
                <w:color w:val="auto"/>
              </w:rPr>
            </w:pPr>
          </w:p>
        </w:tc>
        <w:tc>
          <w:tcPr>
            <w:tcW w:w="900" w:type="dxa"/>
            <w:vAlign w:val="bottom"/>
          </w:tcPr>
          <w:p>
            <w:pPr>
              <w:jc w:val="right"/>
              <w:ind w:right="284"/>
              <w:spacing w:after="0" w:line="195"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0"/>
              </w:rPr>
              <w:t>$(82)</w:t>
            </w:r>
          </w:p>
        </w:tc>
        <w:tc>
          <w:tcPr>
            <w:tcW w:w="54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Three Months Ended March 31, 2006</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$414</w:t>
            </w:r>
          </w:p>
        </w:tc>
        <w:tc>
          <w:tcPr>
            <w:tcW w:w="1440" w:type="dxa"/>
            <w:vAlign w:val="bottom"/>
            <w:gridSpan w:val="2"/>
          </w:tcPr>
          <w:p>
            <w:pPr>
              <w:jc w:val="right"/>
              <w:ind w:right="284"/>
              <w:spacing w:after="0"/>
              <w:rPr>
                <w:sz w:val="20"/>
                <w:szCs w:val="20"/>
                <w:color w:val="auto"/>
              </w:rPr>
            </w:pPr>
            <w:r>
              <w:rPr>
                <w:rFonts w:ascii="Arial" w:cs="Arial" w:eastAsia="Arial" w:hAnsi="Arial"/>
                <w:sz w:val="18"/>
                <w:szCs w:val="18"/>
                <w:color w:val="auto"/>
              </w:rPr>
              <w:t>$92</w:t>
            </w:r>
          </w:p>
        </w:tc>
        <w:tc>
          <w:tcPr>
            <w:tcW w:w="150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$(50)</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decrease in the warranty accrual and the warranty provision of approximately $0.1 million for the three months ended March 31, 2007 compared to the three months ended March 31, 2006 was primarily due to a decrease in the per unit warranty cost of approximately 13%, despite an increase in net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(“UEBV”) and One For All Iberia SL. As a result, the single action covers all claims and counterclaims between the various parties. The partiers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the parties met with the court appointed expert in December 2006 and at that time, the expert again asked the court for an extension to finalize and file his pre-trial report with the court and the court granted this request. We are awaiting the expert to finalize his pre-trial report with the court and when completed, we will respond.</w:t>
      </w:r>
    </w:p>
    <w:p>
      <w:pPr>
        <w:spacing w:after="0" w:line="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20, 2006, we filed suit against Remote Technologies, Inc. (“RTI”) alleging that RTI has infringed certain of our patents. On July 28, 2006, we served RTI with a complaint, and RTI answered our complaint on August 28, 2006, denying our claims of infringement. In its answer, RTI also filed a counterclaim alleging that our patents are invalid and not infringed. On September 19, 2006, we answered RTI’s counterclaim by denying its allegations and reasserting our original complaint. Principals of both companies have been involved in settlement discussions, and those discussions will continue. Because of the settlement discussions, we have not yet commenced significant discovery in this matter. If we are not able to settle this matter, we will vigorously pursue this matter against RTI and will defend against RTI’s counterclaims.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incidental to the ordinary course of our business, to which we or any of our subsidiaries is a party or of which our respective property is the subject. We do not believe that any of the claims made against us in any of the pending matters has merit and we intend to vigorously defend ourselves against each claim.</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maintain directors’ and officers’ liability insurance to insure our individual directors and officers against certain claims, including the payment of claims such as those alleged in the above lawsuits and attorney’s fees and related expenses incurred in connection with the defense of such claims.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(Custom Electronic Design and Installation Association)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6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Beginning in 1986 and continuing today, we have compiled an extensive library that covers nearly 307,000 individual device functions and over 3,150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Since the third quarter of 2006, we have been operating as one business segment. We have nine international subsidiaries established in the Netherlands, Germany, United Kingdom, Argentina, Spain, Italy, Singapore and France.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Some of our strategic business objectives for 2007 include the following:</w:t>
      </w:r>
    </w:p>
    <w:p>
      <w:pPr>
        <w:spacing w:after="0" w:line="117" w:lineRule="exact"/>
        <w:rPr>
          <w:sz w:val="20"/>
          <w:szCs w:val="20"/>
          <w:color w:val="auto"/>
        </w:rPr>
      </w:pPr>
    </w:p>
    <w:p>
      <w:pPr>
        <w:ind w:left="660" w:right="3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expand our sales and marketing efforts, including increasing our sales force, to subscription broadcasters and OEMs in Asia, Latin America and Europe;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focus on developing and marketing additional products that are based on the Zigbee, Z-Wave</w:t>
      </w:r>
      <w:r>
        <w:rPr>
          <w:rFonts w:ascii="Arial" w:cs="Arial" w:eastAsia="Arial" w:hAnsi="Arial"/>
          <w:sz w:val="15"/>
          <w:szCs w:val="15"/>
          <w:color w:val="auto"/>
        </w:rPr>
        <w:t>®</w:t>
      </w:r>
      <w:r>
        <w:rPr>
          <w:rFonts w:ascii="Arial" w:cs="Arial" w:eastAsia="Arial" w:hAnsi="Arial"/>
          <w:sz w:val="18"/>
          <w:szCs w:val="18"/>
          <w:color w:val="auto"/>
        </w:rPr>
        <w:t xml:space="preserve"> and other radio frequency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continue to seek strategic business opportunities that will compliment our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continue to enhance the Nevo</w:t>
      </w:r>
      <w:r>
        <w:rPr>
          <w:rFonts w:ascii="Arial" w:cs="Arial" w:eastAsia="Arial" w:hAnsi="Arial"/>
          <w:sz w:val="15"/>
          <w:szCs w:val="15"/>
          <w:color w:val="auto"/>
        </w:rPr>
        <w:t>®</w:t>
      </w:r>
      <w:r>
        <w:rPr>
          <w:rFonts w:ascii="Arial" w:cs="Arial" w:eastAsia="Arial" w:hAnsi="Arial"/>
          <w:sz w:val="18"/>
          <w:szCs w:val="18"/>
          <w:color w:val="auto"/>
        </w:rPr>
        <w:t xml:space="preserve"> product line, which first began shipping in October 2005.</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intend for the following discussion of our financial condition and results of operations that follows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of factors that could impact operating results, see the section below captioned “Factors That Could Affect Future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consolidated financial statements, which we have prepared in accordance with U.S. generally accepted accounting principles. The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our Board of Directors. Actual results may differ from these estimates under different assumptions or conditions.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that, other than the adoption of FASB Interpretation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w:t>
      </w:r>
      <w:r>
        <w:rPr>
          <w:rFonts w:ascii="Arial" w:cs="Arial" w:eastAsia="Arial" w:hAnsi="Arial"/>
          <w:sz w:val="16"/>
          <w:szCs w:val="16"/>
          <w:i w:val="1"/>
          <w:iCs w:val="1"/>
          <w:color w:val="auto"/>
        </w:rPr>
        <w:t xml:space="preserve"> an interpretation of FASB Statement No. 109 </w:t>
      </w:r>
      <w:r>
        <w:rPr>
          <w:rFonts w:ascii="Arial" w:cs="Arial" w:eastAsia="Arial" w:hAnsi="Arial"/>
          <w:sz w:val="16"/>
          <w:szCs w:val="16"/>
          <w:color w:val="auto"/>
        </w:rPr>
        <w:t>(“FIN 48”), there have been no significant changes during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to the items that we disclosed as our critical accounting policies and estimates in Item 7, Management’s Discussion and Analysis of Financial Condition and Results of Operations, in our Annual Report on Form 10-K for the fiscal year ended December 31, 2006.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accordance with the adoption of FIN 48 effective January 1, 2007, we evaluate our tax positions to determine if it is more likely than not that a tax position is sustainable, based on its technical merits. If a tax position does not meet the more likely than not standard, a full reserve is established. Additionally, for a position that is determined to, more likely than not, be sustainable, we measure the benefit at the greatest cumulative probability of being realized and establish a reserve for the balance. A material change in our tax reserves could have a significant impact on our results. Refer to Note 6 captioned “Income Taxes” included in the “Notes to the Consolidated Financial Statements” set forth above for additional disclosure regarding adoption of FIN 48.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Effective January 1, 2006, we adopted the fair value recognition provisions of Statement of Financial Accounting Standards (“SFAS”) No. 123R, </w:t>
      </w:r>
      <w:r>
        <w:rPr>
          <w:rFonts w:ascii="Arial" w:cs="Arial" w:eastAsia="Arial" w:hAnsi="Arial"/>
          <w:sz w:val="16"/>
          <w:szCs w:val="16"/>
          <w:i w:val="1"/>
          <w:iCs w:val="1"/>
          <w:color w:val="auto"/>
        </w:rPr>
        <w:t>Share 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w:t>
      </w:r>
      <w:r>
        <w:rPr>
          <w:rFonts w:ascii="Arial" w:cs="Arial" w:eastAsia="Arial" w:hAnsi="Arial"/>
          <w:sz w:val="16"/>
          <w:szCs w:val="16"/>
          <w:color w:val="auto"/>
        </w:rPr>
        <w:t>(“SFAS 123R”) using the modified-prospective transition method. Stock-based compensation expense is presented in the same income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line as cash compensation paid to the same employees or directors. During the three months ended March 31, 2007 and 2006, we recorded $0.7 million and $0.9 million, respectively in pre-tax stock-based compensation expense. Included in SG&amp;A stock-based compensation expense is $117 thousand and $81 thousand in pre-tax compensation expense related to stock awards granted to directors for the three months ended March 31, 2007 and 2006,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attributable to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As of March 31, 2007, we expect to recognize $3.6 million of total unrecognized compensation expense related to non-vested employee stock options over a weighted-average life of 1.7 years.</w:t>
      </w:r>
    </w:p>
    <w:p>
      <w:pPr>
        <w:spacing w:after="0" w:line="6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issue restricted stock awards to the outside directors for services performed. Under SFAS No. 123R, compensation expense related to restricted stock awards is based on the fair value of the shares awarded as of the grant date. Compensation expense for the restricted stock awards is recognized on a straight-line basis over the requisite service period of one year. The fair value of nonvested shares is determined based on the closing trade price of the Company’s shares on the grant date. During the three months ended March 31, 2007 and 2006, shares totaling 5,938 and 5,000 were issued, respectively.</w:t>
      </w:r>
    </w:p>
    <w:p>
      <w:pPr>
        <w:spacing w:after="0" w:line="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March 31, 2007, we expect to recognize $117 thousand in unrecognized compensation expense related to non-vested restricted stock awards over a weighted-average life of three months.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with respect to the expected life of the share-based payment awards and stock price volatility. Management determined that historical volatility calculated based on our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 If our actual forfeiture rate is materially different from our estimate, the amount of stock-based compensation expense could be significantly different from the amount recorded. If the forfeiture rate decreased by 1%, stock-based compensation expense would have increased by approximately 3% for the three months ended March 31, 2007. During the three months ended March 31, 2007, we granted 14,000 stock options to employees. Due to the minimal amount of stock options granted during the first three months of 2007, our stock-based compensation expense relating to these stock options will not be materially affected by changes in our assumptions.</w:t>
      </w:r>
    </w:p>
    <w:p>
      <w:pPr>
        <w:spacing w:after="0" w:line="7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Refer to Note 2 captioned “Stock-based Compensation” included in the “Notes to the Consolidated Financial Statements” set forth above for additional disclosure regarding stock-based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Refer to Note 1 to the Consolidated Financial Statements in Part 1, Item I for a full description of recent accounting pronouncements, including the expected dates of adoption and estimated effects on results of operations and financial condition. Note 1 is incorporated in this discussion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expressed as a percentage of net sales for the three months ended March 31, 2007 and 2006:</w:t>
      </w:r>
    </w:p>
    <w:p>
      <w:pPr>
        <w:spacing w:after="0" w:line="228"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Cost of sales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Interest income, net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gridSpan w:val="2"/>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7.0%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2007 versus Three Months Ended March 31,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three months ended March 31,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Business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76.0%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42.7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11.5</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3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54.2</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140" w:type="dxa"/>
            <w:vAlign w:val="bottom"/>
            <w:vMerge w:val="restart"/>
          </w:tcPr>
          <w:p>
            <w:pPr>
              <w:jc w:val="right"/>
              <w:ind w:right="570"/>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sales for the first quarter of 2007 were $66.0 million, an increase of 22% compared to $54.2 million for the first quarter of 2006. Net income for the first quarter of 2007 was $4.6 million or $0.33 per share (basic) and $0.31 per share (diluted) compared to $2.1 million or $0.16 per share (basic) and $0.15 per share (diluted) for the first quarter of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76% of net sales in the first quarter of 2007 compared to approximately 79% in the first quarter of 2006. Net sales in our Business lines for the first quarter of 2007 increased by 18% to $50.2 million from $42.7 million in the first quarter of 2006. This increase in sales resulted primarily from an increase in the volume of remote control sales.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 As a result, we expect Business category revenue to range between $210 and $220 million in 2007.</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4"/>
          <w:szCs w:val="14"/>
          <w:i w:val="1"/>
          <w:iCs w:val="1"/>
          <w:color w:val="auto"/>
        </w:rPr>
        <w:t>®</w:t>
      </w:r>
      <w:r>
        <w:rPr>
          <w:rFonts w:ascii="Arial" w:cs="Arial" w:eastAsia="Arial" w:hAnsi="Arial"/>
          <w:sz w:val="17"/>
          <w:szCs w:val="17"/>
          <w:color w:val="auto"/>
        </w:rPr>
        <w:t xml:space="preserve"> retail, private label, custom installers and direct import) were approximately 24% of net sales for the first quarter of 2007 compared to approximately 21% for the first quarter of 2006. Net sales in our Consumer lines for the first quarter of 2007 increased by 38% to $15.8 million, from $11.5 million in the first quarter of 2006. European retail sales increased by $2.8 million compared to 2006, driven by strength in the UK, Germany and the Nordic countries. The increase in Europe retail sales was also driven by the strengthening of both the Euro and the British Pound compared to the U.S. Dollar, which resulted in an increase in net sales of approximately $1.1 million. Net of this positive currency effect, Europe retail sales increased by $1.7 million. This increase in our consumer lines was also driven by our expanding presence in the CEDIA market, as CEDIA sales increased by $2.3 million from 2006. Partially offsetting these increases were private label sales, which decreased by $0.2 million or 25%, to $0.6 million in 2007 from $0.8 million in 2006. Additionally, United States direct import licensing and product revenues for 2007 decreased by $0.3 million or 50%, to $0.3 million in 2007 from $0.6 million in 2006, due to a decline in Kameleon sales in North America. We expect Consumer category revenue to range between $60 and $70 million in 2007.</w:t>
      </w:r>
    </w:p>
    <w:p>
      <w:pPr>
        <w:spacing w:after="0" w:line="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Gross profit for the first quarter of 2007 was $24.3 million compared to $18.5 million for the first quarter of 2006. Gross profit as a percent of sales for the first quarter of 2007 was 36.9% compared to 34.1% for the same period in the prior year. The increase in gross profit as a percentage of net sales was primarily attributable to sales in our consumer lines, which generally have a higher gross profit rate as compared to our other sales, representing a larger percentage of our total business. This change in mix resulted in a 3.0% increase in the gross profit rate. Gross profit was also favorably impacted by the strengthening of both the Euro and British Pound compared to the U.S. Dollar, which resulted in an increase in gross profit of approximately $1.0 million and an increase of 0.9% in the gross profit rate. A reduction of sub-contract labor increased the gross profit rate by 0.5%, and a reduced royalty rate on certain products in our consumer lines added 0.2% to the gross profit rate. Partially offsetting these increases in the gross profit rate was an increase of $0.9 million of freight expense recorded in 2007 as compared to 2006. In 2007, there was an increase in the percentage of units shipped by air; air freight is significantly more costly than ocean freight. Higher freight expense reduced the gross profit rate by 1.1%. In addition, an increase in inventory scrap expense of $0.4 million reduced the gross profit rate by 0.7%.</w:t>
      </w:r>
    </w:p>
    <w:p>
      <w:pPr>
        <w:spacing w:after="0" w:line="7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Research and development expenses increased 26% from $1.8 million in the first quarter of 2006 to $2.3 million in the first quarter of 2007. The increase is related to the continued expansion of the Nevo</w:t>
      </w:r>
      <w:r>
        <w:rPr>
          <w:rFonts w:ascii="Arial" w:cs="Arial" w:eastAsia="Arial" w:hAnsi="Arial"/>
          <w:sz w:val="13"/>
          <w:szCs w:val="13"/>
          <w:color w:val="auto"/>
        </w:rPr>
        <w:t>®</w:t>
      </w:r>
      <w:r>
        <w:rPr>
          <w:rFonts w:ascii="Arial" w:cs="Arial" w:eastAsia="Arial" w:hAnsi="Arial"/>
          <w:sz w:val="16"/>
          <w:szCs w:val="16"/>
          <w:color w:val="auto"/>
        </w:rPr>
        <w:t xml:space="preserve"> platform, development efforts taking place at our San Mateo location, and the development of products for sale in our retail channel. We expect research and development expenses to decline slightly from current levels for the remaining quarters of 2007.</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expenses increased 17% from $13.5 million in the first quarter of 2006 to $15.8 million in the first quarter of 2007. Payroll and benefits increased by $1.0 million due to new hires and merit increases, the strengthening of both the Euro and British Pound compared to the U.S. Dollar resulted in an increase of $0.5 million, additional use of external tax and legal services resulted in an increase of $0.4 million and additional travel resulted in an increase of $0.2 million. We expect that selling, general and administrative expenses will range between $66.0 and $69.0 million for the full year 2007.</w:t>
      </w:r>
    </w:p>
    <w:p>
      <w:pPr>
        <w:spacing w:after="0" w:line="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first quarter of 2007, we recorded $0.6 million of interest income compared to $0.3 million in the first quarter of 2006. This increase is due to higher money market rates and a higher average cash balance. Net interest income will range between $2.3 and $2.8 million in 2007.</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first quarter of 2007, other income, net was $0.1 million which resulted from a foreign currency gain as compared to other expense, net of $0.2 million in the first quarter of 2006 which resulted from a foreign currency loss.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recorded income tax expense of $2.2 million in the first quarter of 2007 compared to $1.1 million in the first quarter of 2006. Our effective tax rate was 32.5% in the first quarter of 2007 compared to 34.1% in the first quarter of 2006. The decrease in our effective tax rate is due primarily to the re-enactment of the federal research and development tax credit statute which was passed by Congress in the fourth quarter of 2006 as well as the Netherlands’ statutory tax rate decreasing from 31.5% in 2006 to 25.5% in 2007, offset partially by increased pre-tax income in higher tax rate jurisdictions. We estimate that our effective tax rate will range between 31.5% and 33.5% for the full year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42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Increase</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0"/>
              </w:rPr>
              <w:t>Three months ended</w:t>
            </w:r>
          </w:p>
        </w:tc>
      </w:tr>
      <w:tr>
        <w:trPr>
          <w:trHeight w:val="171"/>
        </w:trPr>
        <w:tc>
          <w:tcPr>
            <w:tcW w:w="7000" w:type="dxa"/>
            <w:vAlign w:val="bottom"/>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March 31, 2007</w:t>
            </w:r>
          </w:p>
        </w:tc>
        <w:tc>
          <w:tcPr>
            <w:tcW w:w="420" w:type="dxa"/>
            <w:vAlign w:val="bottom"/>
          </w:tcPr>
          <w:p>
            <w:pPr>
              <w:spacing w:after="0"/>
              <w:rPr>
                <w:sz w:val="14"/>
                <w:szCs w:val="1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14"/>
                <w:szCs w:val="1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March 31, 2006</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$ 8,096</w:t>
            </w:r>
          </w:p>
        </w:tc>
        <w:tc>
          <w:tcPr>
            <w:tcW w:w="1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$2,062</w:t>
            </w:r>
          </w:p>
        </w:tc>
        <w:tc>
          <w:tcPr>
            <w:tcW w:w="16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$ 6,034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280" w:type="dxa"/>
            <w:vAlign w:val="bottom"/>
          </w:tcPr>
          <w:p>
            <w:pPr>
              <w:jc w:val="right"/>
              <w:ind w:right="276"/>
              <w:spacing w:after="0"/>
              <w:rPr>
                <w:sz w:val="20"/>
                <w:szCs w:val="20"/>
                <w:color w:val="auto"/>
              </w:rPr>
            </w:pPr>
            <w:r>
              <w:rPr>
                <w:rFonts w:ascii="Arial" w:cs="Arial" w:eastAsia="Arial" w:hAnsi="Arial"/>
                <w:sz w:val="18"/>
                <w:szCs w:val="18"/>
                <w:color w:val="auto"/>
              </w:rPr>
              <w:t>(1,090)</w:t>
            </w:r>
          </w:p>
        </w:tc>
        <w:tc>
          <w:tcPr>
            <w:tcW w:w="1480" w:type="dxa"/>
            <w:vAlign w:val="bottom"/>
            <w:gridSpan w:val="2"/>
          </w:tcPr>
          <w:p>
            <w:pPr>
              <w:jc w:val="right"/>
              <w:ind w:right="248"/>
              <w:spacing w:after="0"/>
              <w:rPr>
                <w:sz w:val="20"/>
                <w:szCs w:val="20"/>
                <w:color w:val="auto"/>
              </w:rPr>
            </w:pPr>
            <w:r>
              <w:rPr>
                <w:rFonts w:ascii="Arial" w:cs="Arial" w:eastAsia="Arial" w:hAnsi="Arial"/>
                <w:sz w:val="18"/>
                <w:szCs w:val="18"/>
                <w:color w:val="auto"/>
              </w:rPr>
              <w:t>280</w:t>
            </w:r>
          </w:p>
        </w:tc>
        <w:tc>
          <w:tcPr>
            <w:tcW w:w="1660" w:type="dxa"/>
            <w:vAlign w:val="bottom"/>
            <w:gridSpan w:val="2"/>
          </w:tcPr>
          <w:p>
            <w:pPr>
              <w:jc w:val="right"/>
              <w:ind w:right="268"/>
              <w:spacing w:after="0"/>
              <w:rPr>
                <w:sz w:val="20"/>
                <w:szCs w:val="20"/>
                <w:color w:val="auto"/>
              </w:rPr>
            </w:pPr>
            <w:r>
              <w:rPr>
                <w:rFonts w:ascii="Arial" w:cs="Arial" w:eastAsia="Arial" w:hAnsi="Arial"/>
                <w:sz w:val="18"/>
                <w:szCs w:val="18"/>
                <w:color w:val="auto"/>
              </w:rPr>
              <w:t>(1,370)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4,635</w:t>
            </w:r>
          </w:p>
        </w:tc>
        <w:tc>
          <w:tcPr>
            <w:tcW w:w="1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2,680</w:t>
            </w:r>
          </w:p>
        </w:tc>
        <w:tc>
          <w:tcPr>
            <w:tcW w:w="16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1,955</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tcPr>
          <w:p>
            <w:pPr>
              <w:jc w:val="right"/>
              <w:ind w:right="336"/>
              <w:spacing w:after="0"/>
              <w:rPr>
                <w:sz w:val="20"/>
                <w:szCs w:val="20"/>
                <w:color w:val="auto"/>
              </w:rPr>
            </w:pPr>
            <w:r>
              <w:rPr>
                <w:rFonts w:ascii="Arial" w:cs="Arial" w:eastAsia="Arial" w:hAnsi="Arial"/>
                <w:sz w:val="18"/>
                <w:szCs w:val="18"/>
                <w:color w:val="auto"/>
              </w:rPr>
              <w:t>497</w:t>
            </w: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(622)</w:t>
            </w:r>
          </w:p>
        </w:tc>
        <w:tc>
          <w:tcPr>
            <w:tcW w:w="1660" w:type="dxa"/>
            <w:vAlign w:val="bottom"/>
            <w:gridSpan w:val="2"/>
          </w:tcPr>
          <w:p>
            <w:pPr>
              <w:jc w:val="right"/>
              <w:ind w:right="328"/>
              <w:spacing w:after="0"/>
              <w:rPr>
                <w:sz w:val="20"/>
                <w:szCs w:val="20"/>
                <w:color w:val="auto"/>
              </w:rPr>
            </w:pPr>
            <w:r>
              <w:rPr>
                <w:rFonts w:ascii="Arial" w:cs="Arial" w:eastAsia="Arial" w:hAnsi="Arial"/>
                <w:sz w:val="18"/>
                <w:szCs w:val="18"/>
                <w:color w:val="auto"/>
              </w:rPr>
              <w:t>1,119</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March 31, 2007</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Increase</w:t>
            </w:r>
          </w:p>
        </w:tc>
        <w:tc>
          <w:tcPr>
            <w:tcW w:w="400" w:type="dxa"/>
            <w:vAlign w:val="bottom"/>
          </w:tcPr>
          <w:p>
            <w:pPr>
              <w:spacing w:after="0"/>
              <w:rPr>
                <w:sz w:val="14"/>
                <w:szCs w:val="14"/>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95"/>
        </w:trPr>
        <w:tc>
          <w:tcPr>
            <w:tcW w:w="6580" w:type="dxa"/>
            <w:vAlign w:val="bottom"/>
            <w:vMerge w:val="continue"/>
          </w:tcPr>
          <w:p>
            <w:pPr>
              <w:spacing w:after="0"/>
              <w:rPr>
                <w:sz w:val="16"/>
                <w:szCs w:val="16"/>
                <w:color w:val="auto"/>
              </w:rPr>
            </w:pPr>
          </w:p>
        </w:tc>
        <w:tc>
          <w:tcPr>
            <w:tcW w:w="1400" w:type="dxa"/>
            <w:vAlign w:val="bottom"/>
          </w:tcPr>
          <w:p>
            <w:pPr>
              <w:jc w:val="right"/>
              <w:ind w:right="316"/>
              <w:spacing w:after="0" w:line="195" w:lineRule="exact"/>
              <w:rPr>
                <w:sz w:val="20"/>
                <w:szCs w:val="20"/>
                <w:color w:val="auto"/>
              </w:rPr>
            </w:pPr>
            <w:r>
              <w:rPr>
                <w:rFonts w:ascii="Arial" w:cs="Arial" w:eastAsia="Arial" w:hAnsi="Arial"/>
                <w:sz w:val="18"/>
                <w:szCs w:val="18"/>
                <w:color w:val="auto"/>
              </w:rPr>
              <w:t>$ 78,213</w:t>
            </w:r>
          </w:p>
        </w:tc>
        <w:tc>
          <w:tcPr>
            <w:tcW w:w="420" w:type="dxa"/>
            <w:vAlign w:val="bottom"/>
          </w:tcPr>
          <w:p>
            <w:pPr>
              <w:spacing w:after="0"/>
              <w:rPr>
                <w:sz w:val="16"/>
                <w:szCs w:val="16"/>
                <w:color w:val="auto"/>
              </w:rPr>
            </w:pPr>
          </w:p>
        </w:tc>
        <w:tc>
          <w:tcPr>
            <w:tcW w:w="1020" w:type="dxa"/>
            <w:vAlign w:val="bottom"/>
          </w:tcPr>
          <w:p>
            <w:pPr>
              <w:jc w:val="right"/>
              <w:ind w:right="179"/>
              <w:spacing w:after="0" w:line="195" w:lineRule="exact"/>
              <w:rPr>
                <w:sz w:val="20"/>
                <w:szCs w:val="20"/>
                <w:color w:val="auto"/>
              </w:rPr>
            </w:pPr>
            <w:r>
              <w:rPr>
                <w:rFonts w:ascii="Arial" w:cs="Arial" w:eastAsia="Arial" w:hAnsi="Arial"/>
                <w:sz w:val="18"/>
                <w:szCs w:val="18"/>
                <w:color w:val="auto"/>
              </w:rPr>
              <w:t>$12,138</w:t>
            </w:r>
          </w:p>
        </w:tc>
        <w:tc>
          <w:tcPr>
            <w:tcW w:w="400" w:type="dxa"/>
            <w:vAlign w:val="bottom"/>
          </w:tcPr>
          <w:p>
            <w:pPr>
              <w:spacing w:after="0"/>
              <w:rPr>
                <w:sz w:val="16"/>
                <w:szCs w:val="16"/>
                <w:color w:val="auto"/>
              </w:rPr>
            </w:pPr>
          </w:p>
        </w:tc>
        <w:tc>
          <w:tcPr>
            <w:tcW w:w="1600" w:type="dxa"/>
            <w:vAlign w:val="bottom"/>
          </w:tcPr>
          <w:p>
            <w:pPr>
              <w:jc w:val="right"/>
              <w:ind w:right="419"/>
              <w:spacing w:after="0" w:line="195" w:lineRule="exact"/>
              <w:rPr>
                <w:sz w:val="20"/>
                <w:szCs w:val="20"/>
                <w:color w:val="auto"/>
              </w:rPr>
            </w:pPr>
            <w:r>
              <w:rPr>
                <w:rFonts w:ascii="Arial" w:cs="Arial" w:eastAsia="Arial" w:hAnsi="Arial"/>
                <w:sz w:val="18"/>
                <w:szCs w:val="18"/>
                <w:color w:val="auto"/>
              </w:rPr>
              <w:t>$ 66,075</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Working capital</w:t>
            </w:r>
          </w:p>
        </w:tc>
        <w:tc>
          <w:tcPr>
            <w:tcW w:w="1400" w:type="dxa"/>
            <w:vAlign w:val="bottom"/>
          </w:tcPr>
          <w:p>
            <w:pPr>
              <w:jc w:val="right"/>
              <w:ind w:right="316"/>
              <w:spacing w:after="0"/>
              <w:rPr>
                <w:sz w:val="20"/>
                <w:szCs w:val="20"/>
                <w:color w:val="auto"/>
              </w:rPr>
            </w:pPr>
            <w:r>
              <w:rPr>
                <w:rFonts w:ascii="Arial" w:cs="Arial" w:eastAsia="Arial" w:hAnsi="Arial"/>
                <w:sz w:val="18"/>
                <w:szCs w:val="18"/>
                <w:color w:val="auto"/>
              </w:rPr>
              <w:t>124,796</w:t>
            </w:r>
          </w:p>
        </w:tc>
        <w:tc>
          <w:tcPr>
            <w:tcW w:w="1440" w:type="dxa"/>
            <w:vAlign w:val="bottom"/>
            <w:gridSpan w:val="2"/>
          </w:tcPr>
          <w:p>
            <w:pPr>
              <w:jc w:val="right"/>
              <w:ind w:right="179"/>
              <w:spacing w:after="0"/>
              <w:rPr>
                <w:sz w:val="20"/>
                <w:szCs w:val="20"/>
                <w:color w:val="auto"/>
              </w:rPr>
            </w:pPr>
            <w:r>
              <w:rPr>
                <w:rFonts w:ascii="Arial" w:cs="Arial" w:eastAsia="Arial" w:hAnsi="Arial"/>
                <w:sz w:val="18"/>
                <w:szCs w:val="18"/>
                <w:color w:val="auto"/>
              </w:rPr>
              <w:t>18,617</w:t>
            </w:r>
          </w:p>
        </w:tc>
        <w:tc>
          <w:tcPr>
            <w:tcW w:w="2000" w:type="dxa"/>
            <w:vAlign w:val="bottom"/>
            <w:gridSpan w:val="2"/>
          </w:tcPr>
          <w:p>
            <w:pPr>
              <w:jc w:val="right"/>
              <w:ind w:right="419"/>
              <w:spacing w:after="0"/>
              <w:rPr>
                <w:sz w:val="20"/>
                <w:szCs w:val="20"/>
                <w:color w:val="auto"/>
              </w:rPr>
            </w:pPr>
            <w:r>
              <w:rPr>
                <w:rFonts w:ascii="Arial" w:cs="Arial" w:eastAsia="Arial" w:hAnsi="Arial"/>
                <w:sz w:val="18"/>
                <w:szCs w:val="18"/>
                <w:color w:val="auto"/>
              </w:rPr>
              <w:t>106,179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for the first three months of 2007 was $8.1 million as compared to $6.0 million in the first three months of 2006.</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cash provided by operating activities was primarily driven by an increase in sales of 22% in the first three months of 2007 compared to the first three months of 2006 which resulted in lower inventory levels, coupled by an increase in accounts payable.</w:t>
      </w:r>
    </w:p>
    <w:p>
      <w:pPr>
        <w:spacing w:after="0" w:line="5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for the first three months of 2007 was $1.1 million as compared to $1.4 million for the first three months of 2006.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cash used for investing activities was primarily due to a decrease in acquisition of fixed assets. Capital expenditures in the first three months of 2007 and 2006 were approximately $0.9 million and $1.1 million, respectively.</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order to accommodate the growth of our company, we plan to renovate and expand our corporate headquarters during 2007. Costs of this renovation are estimated to be approximately $1.0 million and will be financed through our current operations as well as a $0.4 million tenant improvement allowance. We are currently evaluating our existing and future information system requirements, and we may make a significant investment to upgrade our systems in 2007.</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cash provided by financing activities </w:t>
      </w:r>
      <w:r>
        <w:rPr>
          <w:rFonts w:ascii="Arial" w:cs="Arial" w:eastAsia="Arial" w:hAnsi="Arial"/>
          <w:sz w:val="17"/>
          <w:szCs w:val="17"/>
          <w:color w:val="auto"/>
        </w:rPr>
        <w:t>for the first three months of 2007 was $4.6 million as compared to cash provided by financing activities of</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$2.0 million for the first three months of 2006. The increase in cash provided by financing activities was due to an increase in the proceeds from stock options exercised in the first three months of 2007 compared to the first three months of 2006. We hold repurchased shares as treasury stock and they are available for reissue. Presently, except for using a small number of these treasury shares to compensate our outside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board members, we have no plans to distribute these shares. However, we may change these plans if necessary to fulfill our on-going business objectives. Under our amended Credit Facility with Comerica Bank, we have authority to acquire up to an additional 2.0 million shares of our common stock in the open market. We did not purchase any shares of our common stock during the three months ended March 31, 2007 or 2006. As of March 31, 2007, 1,903,400 shares were available for purchase under the Credit Facility. During 2007 we may purchase shares of our common stock if we believe conditions are favorable or to manage the dilutive effect of stock option exercises.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March 31, 2007 our contractual obligations were $20.1 million compared to $26.9 million as previously reported on our Annual Report on Form 10-K. Purchase obligations primarily consist of an agreement with a specific vendor to purchase approximately 80% of our integrated circuits through December 31, 2007 from this vendor. Included in our contractual obligations are future obligations on existing operating leases. On January 31, 2007, we amended our existing lease agreement for our consumer and customer call center facility located in Twinsburg, Ohio to increase our leased square footage, which is effective after certain leasehold improvements have been made. We expect the amended lease to become effective in May 2007. The future obligations related to the amended lease was $0.3 million and $0.3 million as of March 31, 2007 and December 31, 2006,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use cash provided by operations as our primary source of liquidity, since internally generated cash flows are typically sufficient to support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cash balances are held in the United States and Europe. At March 31, 2007, we had approximately $18.7 million and $59.5 million of cash and cash equivalents in the United States and Europe, respectively. At December 31, 2006, we had approximately $6.1 million and $60.0 million of cash and cash equivalents in the United States and Europe, respectively.</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 $15 million unsecured revolving credit agreement (“Credit Facility”) with Comerica Bank, which expires on August 31, 2009. Under the Credit Facility, the interest payable is variable and is based on the bank’s cost of funds or LIBOR plus a fixed margin of 1.25%. The interest rate in effect as of March 31, 2007 using LIBOR plus a fixed margin of 1.25% was 6.57%.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March 31, 2007, we did not have any amounts outstanding under the Credit Facility or any outstanding import letters of credit. Furthermore, as of March 31, 2007, we were in compliance with all financial covenants required by the Credit Facility.</w:t>
      </w:r>
    </w:p>
    <w:p>
      <w:pPr>
        <w:spacing w:after="0" w:line="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As previously mentioned, we believe that cash generated from our operations and funds available from our borrowing facility will be sufficient to fund current business operations and anticipated growth at least over the next twelve months; however, there can be no assurance that such funds will be adequate for that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“Management’s Discussion and Analysis of Financial Condition and Results of Operations,” as well as factors discussed in our 2006 Annual Report on Form 10-K, or in our other reports filed from time to time with the Securities and Exchange Commission (“SEC”)),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New factors emerge from time to time, and it is not possible for us to predict all such factors, nor can we assess the impact of each such factor on our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7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of a war or terrorist activities on us or the economy; the economic environment’s effect on us and our customers; the growth of, acceptance of and demand for our products and technologies in various markets and geographical regions, including cable, satellite, consumer electronics, retail and interactive TV and home automation, not materializing as we believe;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the failure of various markets and industries to grow or emerge as rapidly or as successfully as we believe;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the effect the value of the Euro and other foreign currencies relative to the U.S. dollar could have on our financial results; and other factors that may be listed from time to time in our press releases and filings with the SEC.</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Throughout 2007, we will continue development of our Nevo</w:t>
      </w:r>
      <w:r>
        <w:rPr>
          <w:rFonts w:ascii="Arial" w:cs="Arial" w:eastAsia="Arial" w:hAnsi="Arial"/>
          <w:sz w:val="14"/>
          <w:szCs w:val="14"/>
          <w:color w:val="auto"/>
        </w:rPr>
        <w:t>®</w:t>
      </w:r>
      <w:r>
        <w:rPr>
          <w:rFonts w:ascii="Arial" w:cs="Arial" w:eastAsia="Arial" w:hAnsi="Arial"/>
          <w:sz w:val="17"/>
          <w:szCs w:val="17"/>
          <w:color w:val="auto"/>
        </w:rPr>
        <w:t xml:space="preserve"> technology, an embedded solution that transforms an electronic display into a sophisticated and easy-to-use wireless home control and automation device. New Nevo</w:t>
      </w:r>
      <w:r>
        <w:rPr>
          <w:rFonts w:ascii="Arial" w:cs="Arial" w:eastAsia="Arial" w:hAnsi="Arial"/>
          <w:sz w:val="14"/>
          <w:szCs w:val="14"/>
          <w:color w:val="auto"/>
        </w:rPr>
        <w:t>®</w:t>
      </w:r>
      <w:r>
        <w:rPr>
          <w:rFonts w:ascii="Arial" w:cs="Arial" w:eastAsia="Arial" w:hAnsi="Arial"/>
          <w:sz w:val="17"/>
          <w:szCs w:val="17"/>
          <w:color w:val="auto"/>
        </w:rPr>
        <w:t xml:space="preserve"> products will help us to increase the strength we have built in our custom installation business worldwide. 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14"/>
          <w:szCs w:val="14"/>
          <w:color w:val="auto"/>
        </w:rPr>
        <w:t>®</w:t>
      </w:r>
      <w:r>
        <w:rPr>
          <w:rFonts w:ascii="Arial" w:cs="Arial" w:eastAsia="Arial" w:hAnsi="Arial"/>
          <w:sz w:val="17"/>
          <w:szCs w:val="17"/>
          <w:color w:val="auto"/>
        </w:rPr>
        <w:t xml:space="preserve"> branded products which include digital antennas, signal boosters and other A/V accessories.</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2007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2007,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quantitative and qualitative disclosure about market risk affecting the Company, refer to “Quantitative and Qualitative Disclosures About Market Risk” in Item 7A of Part II, of our Annual Report on Form 10-K for the year ended December 31, 2006, which is incorporated herein by reference. Our exposure to market risk has not changed materially since December 31,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(“UEBV”) and One For All Iberia SL. As a result, the single action covers all claims and counterclaims between the various parties. The partiers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the parties met with the court appointed expert in December 2006 and at that time, the expert again asked the court for an extension to finalize and file his pre-trial report with the court and the court granted this request. We are awaiting the expert to finalize his pre-trial report with the court and when completed, we will respond.</w:t>
      </w:r>
    </w:p>
    <w:p>
      <w:pPr>
        <w:spacing w:after="0" w:line="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20, 2006, we filed suit against Remote Technologies, Inc. (“RTI”) alleging that RTI has infringed certain of our patents. On July 28, 2006, we served RTI with a complaint, and RTI answered our complaint on August 28, 2006, denying our claims of infringement. In its answer, RTI also filed a counterclaim alleging that our patents are invalid and not infringed. On September 19, 2006, we answered RTI’s counterclaim by denying its allegations and reasserting our original complaint. Principals of both companies have been involved in settlement discussions, and those discussions will continue. Because of the settlement discussions, we have not yet commenced significant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discovery in this matter. If we are not able to settle this matter, we will vigorously pursue this matter against RTI and will defend against RTI’s counterclaims.</w:t>
      </w:r>
    </w:p>
    <w:p>
      <w:pPr>
        <w:spacing w:after="0" w:line="14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incidental to the ordinary course of our business, to which we or any of our subsidiaries is a party or of which our respective property is the subject. We do not believe that any of the claims made against us in any of the pending matters has merit and we intend to vigorously defend ourselves against each claim.</w:t>
      </w:r>
    </w:p>
    <w:p>
      <w:pPr>
        <w:spacing w:after="0" w:line="7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maintain directors’ and officers’ liability insurance to insure our individual directors and officers against certain claims, including the payment of claims such as those alleged in the above lawsuits and attorney’s fees and related expenses incurred in connection with the defense of such claims.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risk factors, see “Risk Factors” in Part 1, Item 1A, of our Annual Report on Form 10-K for the fiscal year ended December 31, 2006,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quarter ended March 31, 2007, we did not sell any equity securities that were not registered under the Securities Act of 1934. In addition, we did not repurchase any shares of our common stock during the quarter ended March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225" w:lineRule="exact"/>
        <w:rPr>
          <w:sz w:val="20"/>
          <w:szCs w:val="20"/>
          <w:color w:val="auto"/>
        </w:rPr>
      </w:pPr>
    </w:p>
    <w:p>
      <w:pPr>
        <w:ind w:left="1160" w:right="280" w:hanging="881"/>
        <w:spacing w:after="0" w:line="277" w:lineRule="auto"/>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Rule 13a-14(a) Certifications of Bryan Hackworth, Chief Financial Officer (principal financial officer and principal accounting officer) of Universal Electronics Inc.</w:t>
      </w:r>
    </w:p>
    <w:p>
      <w:pPr>
        <w:spacing w:after="0" w:line="170" w:lineRule="exact"/>
        <w:rPr>
          <w:sz w:val="20"/>
          <w:szCs w:val="20"/>
          <w:color w:val="auto"/>
        </w:rPr>
      </w:pPr>
    </w:p>
    <w:p>
      <w:pPr>
        <w:jc w:val="both"/>
        <w:ind w:left="1160" w:right="120" w:hanging="751"/>
        <w:spacing w:after="0" w:line="264"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10, 2007</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Bryan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209" w:lineRule="exact"/>
        <w:rPr>
          <w:sz w:val="20"/>
          <w:szCs w:val="20"/>
          <w:color w:val="auto"/>
        </w:rPr>
      </w:pPr>
    </w:p>
    <w:p>
      <w:pPr>
        <w:ind w:left="1160" w:hanging="543"/>
        <w:spacing w:after="0" w:line="277" w:lineRule="auto"/>
        <w:tabs>
          <w:tab w:leader="none" w:pos="1140" w:val="left"/>
        </w:tabs>
        <w:rPr>
          <w:sz w:val="20"/>
          <w:szCs w:val="20"/>
          <w:color w:val="auto"/>
        </w:rPr>
      </w:pPr>
      <w:r>
        <w:rPr>
          <w:rFonts w:ascii="Arial" w:cs="Arial" w:eastAsia="Arial" w:hAnsi="Arial"/>
          <w:sz w:val="18"/>
          <w:szCs w:val="18"/>
          <w:color w:val="auto"/>
        </w:rPr>
        <w:t>31.2</w:t>
        <w:tab/>
        <w:t>Rule 13a-14(a) Certifications of Bryan M. Hackworth, Chief Financial Officer (principal financial officer and principal accounting officer) of Universal Electronics Inc.</w:t>
      </w:r>
    </w:p>
    <w:p>
      <w:pPr>
        <w:spacing w:after="0" w:line="170" w:lineRule="exact"/>
        <w:rPr>
          <w:sz w:val="20"/>
          <w:szCs w:val="20"/>
          <w:color w:val="auto"/>
        </w:rPr>
      </w:pPr>
    </w:p>
    <w:p>
      <w:pPr>
        <w:jc w:val="both"/>
        <w:ind w:left="1160" w:right="60" w:hanging="414"/>
        <w:spacing w:after="0" w:line="264"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19"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93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March 31, 2007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Dated: May 10, 2007</w:t>
            </w: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By: /s/ Paul D. Arling</w:t>
            </w:r>
          </w:p>
        </w:tc>
      </w:tr>
      <w:tr>
        <w:trPr>
          <w:trHeight w:val="195"/>
        </w:trPr>
        <w:tc>
          <w:tcPr>
            <w:tcW w:w="3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3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Bryan M. Hackworth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accounting officer)</w:t>
      </w:r>
    </w:p>
    <w:p>
      <w:pPr>
        <w:spacing w:after="0" w:line="31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32"/>
    </w:lvl>
  </w:abstractNum>
  <w:abstractNum w:abstractNumId="8">
    <w:nsid w:val="4DB127F8"/>
    <w:multiLevelType w:val="hybridMultilevel"/>
    <w:lvl w:ilvl="0">
      <w:lvlJc w:val="left"/>
      <w:lvlText w:val="%1"/>
      <w:numFmt w:val="decimal"/>
      <w:start w:val="32"/>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2019-12-13T07:51:43Z</dcterms:created>
  <dcterms:modified xsi:type="dcterms:W3CDTF">2019-12-13T07:51:43Z</dcterms:modified>
</cp:coreProperties>
</file>