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216"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380"/>
        <w:spacing w:after="0"/>
        <w:tabs>
          <w:tab w:leader="none" w:pos="4620" w:val="left"/>
          <w:tab w:leader="none" w:pos="5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66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0-21044</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spacing w:after="0"/>
              <w:rPr>
                <w:sz w:val="20"/>
                <w:szCs w:val="20"/>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89" w:lineRule="exact"/>
        <w:rPr>
          <w:sz w:val="20"/>
          <w:szCs w:val="20"/>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w:t>
      </w:r>
      <w:r>
        <w:rPr>
          <w:rFonts w:ascii="MS PGothic" w:cs="MS PGothic" w:eastAsia="MS PGothic" w:hAnsi="MS PGothic"/>
          <w:sz w:val="18"/>
          <w:szCs w:val="18"/>
          <w:color w:val="auto"/>
        </w:rPr>
        <w:t>☑</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440" w:space="720"/>
            <w:col w:w="1460" w:space="720"/>
            <w:col w:w="3340" w:space="460"/>
            <w:col w:w="2280"/>
          </w:cols>
          <w:pgMar w:left="240" w:top="1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13,654,691 shares of Common Stock, par value $0.01 per share, of the registrant were outstanding on May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0" w:type="dxa"/>
            <w:vAlign w:val="bottom"/>
            <w:gridSpan w:val="4"/>
          </w:tcPr>
          <w:p>
            <w:pPr>
              <w:jc w:val="center"/>
              <w:ind w:right="2720"/>
              <w:spacing w:after="0"/>
              <w:rPr>
                <w:sz w:val="20"/>
                <w:szCs w:val="20"/>
                <w:color w:val="auto"/>
              </w:rPr>
            </w:pPr>
            <w:r>
              <w:rPr>
                <w:rFonts w:ascii="Arial" w:cs="Arial" w:eastAsia="Arial" w:hAnsi="Arial"/>
                <w:sz w:val="18"/>
                <w:szCs w:val="18"/>
                <w:b w:val="1"/>
                <w:bCs w:val="1"/>
                <w:color w:val="auto"/>
              </w:rPr>
              <w:t>UNIVERSAL ELECTRONICS 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2"/>
          </w:tcPr>
          <w:p>
            <w:pPr>
              <w:jc w:val="center"/>
              <w:ind w:right="3700"/>
              <w:spacing w:after="0"/>
              <w:rPr>
                <w:sz w:val="20"/>
                <w:szCs w:val="20"/>
                <w:color w:val="auto"/>
              </w:rPr>
            </w:pPr>
            <w:r>
              <w:rPr>
                <w:rFonts w:ascii="Arial" w:cs="Arial" w:eastAsia="Arial" w:hAnsi="Arial"/>
                <w:sz w:val="18"/>
                <w:szCs w:val="18"/>
                <w:b w:val="1"/>
                <w:bCs w:val="1"/>
                <w:color w:val="auto"/>
              </w:rPr>
              <w:t>INDEX</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280" w:type="dxa"/>
            <w:vAlign w:val="bottom"/>
            <w:gridSpan w:val="7"/>
            <w:vMerge w:val="restart"/>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280" w:type="dxa"/>
            <w:vAlign w:val="bottom"/>
            <w:gridSpan w:val="7"/>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20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9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9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96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96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8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1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Controls and Procedures</w:t>
              </w:r>
            </w:hyperlink>
          </w:p>
        </w:tc>
        <w:tc>
          <w:tcPr>
            <w:tcW w:w="784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180" w:type="dxa"/>
            <w:vAlign w:val="bottom"/>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PART II. OTHER INFORMATION</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7600" w:type="dxa"/>
            <w:vAlign w:val="bottom"/>
            <w:gridSpan w:val="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8580" w:type="dxa"/>
            <w:vAlign w:val="bottom"/>
            <w:gridSpan w:val="1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526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6.</w:t>
              </w:r>
            </w:hyperlink>
          </w:p>
        </w:tc>
        <w:tc>
          <w:tcPr>
            <w:tcW w:w="9640" w:type="dxa"/>
            <w:vAlign w:val="bottom"/>
            <w:gridSpan w:val="16"/>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Signature</w:t>
              </w:r>
            </w:hyperlink>
          </w:p>
        </w:tc>
        <w:tc>
          <w:tcPr>
            <w:tcW w:w="460" w:type="dxa"/>
            <w:vAlign w:val="bottom"/>
            <w:tcBorders>
              <w:top w:val="single" w:sz="8" w:color="0000EE"/>
            </w:tcBorders>
            <w:gridSpan w:val="2"/>
          </w:tcPr>
          <w:p>
            <w:pPr>
              <w:spacing w:after="0"/>
              <w:rPr>
                <w:sz w:val="17"/>
                <w:szCs w:val="17"/>
                <w:color w:val="auto"/>
              </w:rPr>
            </w:pPr>
          </w:p>
        </w:tc>
        <w:tc>
          <w:tcPr>
            <w:tcW w:w="9020" w:type="dxa"/>
            <w:vAlign w:val="bottom"/>
            <w:gridSpan w:val="1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Exhibit Index</w:t>
              </w:r>
            </w:hyperlink>
          </w:p>
        </w:tc>
        <w:tc>
          <w:tcPr>
            <w:tcW w:w="9180" w:type="dxa"/>
            <w:vAlign w:val="bottom"/>
            <w:gridSpan w:val="1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44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79,432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55,923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41,875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182,562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Equipment, furniture and fixtures,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9,825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11,563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226,345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6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35,366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3,702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55,064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Income tax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56,643</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$0.01 par value, 50,000,000 shares authorized; 19,190,797 and 19,140,232 shares issued at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March 31, 2010 and December 31, 2009,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130,390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120,825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118,989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250,750</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Less cost of common stock in treasury, 5,501,129 and 5,449,962 shares at March 31, 2010 and December 31, 2009,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(81,048)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169,702</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226,345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71,376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sales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49,312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49,689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22,064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21,437</w:t>
            </w: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2,769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16,608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17,791</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2,687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6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Basic</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13,700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14,093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1,836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doubtful accounts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Provision for inventory write-downs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Tax benefit from exercise of stock options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 from stock-based compensation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Shares issued for employee benefit plan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(6,209)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for) investing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Term deposit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49,246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Acquisition of intangible assets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assets from Zilog, Inc.</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Net cash provided by (used for) investing activities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47,586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(59,330)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financing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(999)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50,416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(57,881)</w:t>
            </w:r>
          </w:p>
        </w:tc>
        <w:tc>
          <w:tcPr>
            <w:tcW w:w="0" w:type="dxa"/>
            <w:vAlign w:val="bottom"/>
          </w:tcPr>
          <w:p>
            <w:pPr>
              <w:spacing w:after="0"/>
              <w:rPr>
                <w:sz w:val="1"/>
                <w:szCs w:val="1"/>
                <w:color w:val="auto"/>
              </w:rPr>
            </w:pPr>
          </w:p>
        </w:tc>
      </w:tr>
      <w:tr>
        <w:trPr>
          <w:trHeight w:val="432"/>
        </w:trPr>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29,016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75,238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79,432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Supplemental Cash Flow Information — </w:t>
      </w:r>
      <w:r>
        <w:rPr>
          <w:rFonts w:ascii="Arial" w:cs="Arial" w:eastAsia="Arial" w:hAnsi="Arial"/>
          <w:sz w:val="18"/>
          <w:szCs w:val="18"/>
          <w:i w:val="1"/>
          <w:iCs w:val="1"/>
          <w:color w:val="auto"/>
        </w:rPr>
        <w:t>We had net income tax payments of $0.2 million and net income tax refunds of $0.7 million during the three months</w:t>
      </w:r>
      <w:r>
        <w:rPr>
          <w:rFonts w:ascii="Arial" w:cs="Arial" w:eastAsia="Arial" w:hAnsi="Arial"/>
          <w:sz w:val="18"/>
          <w:szCs w:val="18"/>
          <w:color w:val="auto"/>
        </w:rPr>
        <w:t xml:space="preserve"> </w:t>
      </w:r>
      <w:r>
        <w:rPr>
          <w:rFonts w:ascii="Arial" w:cs="Arial" w:eastAsia="Arial" w:hAnsi="Arial"/>
          <w:sz w:val="18"/>
          <w:szCs w:val="18"/>
          <w:i w:val="1"/>
          <w:iCs w:val="1"/>
          <w:color w:val="auto"/>
        </w:rPr>
        <w:t>ended March 31, 2010 and 2009,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prior-year amounts in order to conform to the current-year presentation.</w:t>
      </w:r>
    </w:p>
    <w:p>
      <w:pPr>
        <w:ind w:right="120"/>
        <w:spacing w:after="0" w:line="254" w:lineRule="auto"/>
        <w:rPr>
          <w:sz w:val="20"/>
          <w:szCs w:val="20"/>
          <w:color w:val="auto"/>
        </w:rPr>
      </w:pPr>
      <w:r>
        <w:rPr>
          <w:rFonts w:ascii="Arial" w:cs="Arial" w:eastAsia="Arial" w:hAnsi="Arial"/>
          <w:sz w:val="18"/>
          <w:szCs w:val="18"/>
          <w:color w:val="auto"/>
        </w:rPr>
        <w:t>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82"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Our results of operations for the three months ended March 31, 2010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2009 for a summary of our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 on accounting pronouncements includes those that may apply to the historical financial statements.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October 2009, the Financial Accounting Standards Board (“FASB”) issued Accounting Standards Update (“ASU”) No. 2009-14 to address accounting for arrangements that contain tangible products and software. The amendments in this update clarify what guidance should be utilized in allocating and measuring revenue for products that contain software that is “more than incidental” to the product as a whole. Currently, products that contain software that is “more than incidental” to the product as a whole are within the scope of software accounting guidance. Software accounting guidance requires a vendor to use vendor-specific objective evidence (“VSOE”) of selling price to separate the software from the product and account for the two elements as a multiple-element arrangement. A vendor must sell, or intend to sell, a particular element separately to assert VSOE for that element. Third-party evidence for selling price is not allowed under the software accounting model. If a vendor does not have VSOE for the undelivered elements in the arrangement, the revenue associated with both the delivered and undelivered elements is combined into one unit of accounting. Any revenue attributable to the delivered elements is then deferred and recognized at a later date, which in many cases is as the undelivered elements are delivered by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vendor. This ASU addresses concerns that the current accounting model may not appropriately reflect the economics of the underlying transactions because no revenue is recognized for some products for which the vendor has already completed the related performance. In addition, this ASU addresses the concern that more software enabled products fall within the scope of the current software accounting model than was originally intended because of ongoing technical advancements.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October 2009, the FASB issued ASU No. 2009-13 to address the accounting for multiple-deliverable arrangements to enable vendors to account for products or services (deliverables) separately rather than as a combined accounting unit. Current accounting guidance requires a vendor to use VSOE or third-party evidence (“TPE”) of selling price to separate deliverables in a multiple-deliverable arrangement. VSOE of selling price is the price charged for a deliverable when it is sold separately or, for a deliverable not yet being sold separately, the price established by management with the appropriate authority. If a vendor does not have VSOE for the undelivered elements in the arrangement, the revenue associated with both the delivered and undelivered elements is combined into one unit of accounting. Any revenue attributable to the delivered products is then deferred and recognized at a later date, which in many cases is as the undelivered elements are delivered by the vendor. An exception to this guidance exists if the vendor has VSOE or TPE of selling price for the undelivered elements in the arrangement but not for the delivered elements. In those situations, the vendor uses the residual value method to allocate revenue to the delivered element, which results in the allocation of the entire discount in the arrangement, if any, to the delivered element. This ASU addresses concerns that the current accounting model may not appropriately reflect the economics of the underlying transactions because sometimes no revenue is recognized for products for which the vendor has already completed the related performance. As a result of this amendment, multiple element arrangements will be separated in more circumstances than under the existing accounting model. This amendment establishes a selling price hierarchy for determining the selling price of a deliverable. The selling price utilized for each deliverable will be based on VSOE if available, TPE if VSOE is not available, or estimated selling price if neither VSOE or TPE evidence is available. The residual method is eliminated. The amendments in the update are effective prospectively for revenue arrangements entered into or materially modified in fiscal years beginning on or after June 15, 2010. Early adoption is permitted, however, if early adoption is elected, we would be required to apply the amendments retrospectively from the beginning of the fiscal year of adoption and make specific disclosures. We have not yet adopted this ASU, and we are currently evaluating the impact it may have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January 2010, the FASB issued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The amendments in the update are effective prospectively for interim and annual periods beginning on or after December 15, 2009, except for the separate disclosures about purchases, sales, issuances, and settlements relating to Level 3 measurements, which are effective for fiscal years beginning on or after December 15, 2010, and for interim periods within those fiscal years. Early adoption is permitted. We adopted this ASU beginning January 1, 2010. This adoption did not have a material effect on our consolidated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Term Deposit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that were accounted for at fair value on a recurring basis at March 31,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34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4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2010</w:t>
            </w:r>
          </w:p>
        </w:tc>
        <w:tc>
          <w:tcPr>
            <w:tcW w:w="12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(Level 1)</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79,432</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79,432</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79,432</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79,432</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March 31, 2010, we had approximately $12.0 million, $10.6 million, $56.3 million, and $0.5 million of cash and cash equivalents in the United States, Europe, Asia and Cayman Islands, respectively. At December 31, 2009, we had approximately $9.3 million, $14.2 million, $2.4 million and $3.1 million of cash and cash equivalents in the United States, Europe, Asia and Cayman Islands, respectively.</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December 31, 2009, we had a six-month term deposit cash account at Wells Fargo Bank denominated in Hong Kong dollars. The term began on July 21, 2009 and ended on January 21, 2010. The term deposit earned interest at an annual rate of 0.57%. The deposit amount and interest receivable related to this account as of December 31, 2009 was $49.2 million and 0.1 million, respectively.</w:t>
      </w:r>
    </w:p>
    <w:p>
      <w:pPr>
        <w:spacing w:after="0" w:line="7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Cash, Cash Equivalents, and Term Deposit</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at March 31, 2010 and December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59,693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68,458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(2,387)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(2,423)</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Trade receivable, net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55,753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64,036</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55,923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64,392</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Other receivables at March 31, 2010 includes $45 thousand in sales tax receivables and $95 thousand reimbursable from a vendor for quality issues. Other receivables at December 31, 2009 consisted primarily of a reimbursement due from a vendor for quality issues, sales tax receivables, and interest due from Wells Fargo Bank on our term deposit.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During the three months ended March 31, 2010 and 2009, we had net sales to two significant customers, that when combined with their subcontractors, each totaled to more than 10% of our net sales.</w:t>
      </w:r>
    </w:p>
    <w:p>
      <w:pPr>
        <w:spacing w:after="0" w:line="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sales to one significant customer and its sub-contractors were $10.5 million and $16.6 million, or 14.7% and 23.3% of our net sales for the three months ended March 31, 2010 and 2009, respectively. Trade receivables with this customer and its sub-contractors were $5.7 million and $7.0 million, or 10.1% and 10.9% of our accounts receivable, net at March 31, 2010 and December 31, 2009, respectively.</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to another significant customer and its sub-contractors were $8.4 million and $8.3 million, or 11.7% and 11.7% of our net sales for the three months ended March 31, 2010 and 2009, respectively. Trade receivables with this customer were $5.0 million and $6.5 million, or 9.0% and 10.1% of our accounts receivable, net at March 31, 2010 and December 31, 2009, respectively.</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had a third customer that accounted for greater than 10% of accounts receivable, net at December 31, 2009, but did not account for greater than 10% of net sales for the three months ended March 31, 2010 or 2009. Trade receivables with this customer amounted to $6.9 million, or 10.7%, of our accounts receivable, net at December 31, 2009.</w:t>
      </w:r>
    </w:p>
    <w:p>
      <w:pPr>
        <w:spacing w:after="0" w:line="7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net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at March 31, 2010 and December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35,527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35,420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41,875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40,947</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Provisions for inventory write-downs were $0.8 million and $0.9 million during the three months ended March 31, 2010 and 2009, respectively. Inventory write-downs are a normal part of our business and result primarily from product life cycle estimation variances and manufacturing scrap.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in our Annual Report on Form 10-K for further information regarding our accounting principles.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have elected to purchase integrated circuits, used principally in our wireless control products, from two main sources. Purchases from one of these suppliers were greater than 10% of our total inventory purchases.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Purchases from this integrated circuit supplier were $8.1 million and $6.3 million, or 17.7% and 14.7% of our total inventory purchases during the three months ended March 31, 2010 and 2009, respectively. Accounts payable with this supplier was $4.4 million and $3.6 million, or 12.4% and 9.1% of accounts payable at March 31, 2010 and December 31, 2009, respectively.</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March 31, 2010, purchases from three of our component and finished good suppliers each amounted to more than 10% of our total inventory purchases.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Purchases from the first significant component and finished good supplier were $9.5 million and $10.7 million, or 20.8% and 24.9% of our total inventory purchases during the three months ended March 31, 2010 and 2009, respectively. Accounts payable was $5.6 million and $8.3 million, or 15.9% and 21.0% of total accounts payable at March 31, 2010 and December 31, 2009, respectively.</w:t>
      </w:r>
    </w:p>
    <w:p>
      <w:pPr>
        <w:spacing w:after="0" w:line="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Purchases from the second significant component and finished good supplier were $7.6 million and $9.2 million, or 16.6% and 21.5% of our total inventory purchases during the three months ended March 31, 2010 and 2009, respectively. Accounts payable was $7.2 million and $11.9 million, or 20.2% and 30.1% of total accounts payable at March 31, 2010 and December 31, 2009, respectively.</w:t>
      </w:r>
    </w:p>
    <w:p>
      <w:pPr>
        <w:spacing w:after="0" w:line="7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Purchases from the third significant component and finished good supplier were $6.0 million and $7.6 million, or 13.2% and 17.7% of our total inventory purchases during the three months ended March 31, 2010 and 2009, respectively. Accounts payable was $5.5 million and $6.8 million, representing 15.4% and 17.1% of total accounts payable at March 31, 2010 and December 31, 2009, respectively.</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used in part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Inventory Purchase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2010, we had contractual obligations to purchase $36.2 million of inventory over the subsequent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Goodwill related to the domestic component was the result of our acquisition of a remote control company in 1998 and a software company in 2004. Goodwill related to our international component resulted from the acquisition of remote control distributors in the UK in 1998, Spain in 1999 and France in 2000 and the acquisition of certain assets and intellectual property from Zilog, Inc. during the first quarter of 2009.</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goodwill allocated to our domestic and international components at March 31, 2010 and the changes in the carrying amount of goodwill during the three months ended March 31, 2010 are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Domestic</w:t>
            </w:r>
          </w:p>
        </w:tc>
        <w:tc>
          <w:tcPr>
            <w:tcW w:w="18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0"/>
        </w:trPr>
        <w:tc>
          <w:tcPr>
            <w:tcW w:w="7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9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13,724</w:t>
            </w:r>
          </w:p>
        </w:tc>
      </w:tr>
      <w:tr>
        <w:trPr>
          <w:trHeight w:val="216"/>
        </w:trPr>
        <w:tc>
          <w:tcPr>
            <w:tcW w:w="7800" w:type="dxa"/>
            <w:vAlign w:val="bottom"/>
          </w:tcPr>
          <w:p>
            <w:pPr>
              <w:ind w:left="220"/>
              <w:spacing w:after="0"/>
              <w:rPr>
                <w:sz w:val="20"/>
                <w:szCs w:val="20"/>
                <w:color w:val="auto"/>
              </w:rPr>
            </w:pPr>
            <w:r>
              <w:rPr>
                <w:rFonts w:ascii="Arial" w:cs="Arial" w:eastAsia="Arial" w:hAnsi="Arial"/>
                <w:sz w:val="18"/>
                <w:szCs w:val="18"/>
                <w:color w:val="auto"/>
              </w:rPr>
              <w:t>Goodwill acquired during the period</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Balance at March 31, 2010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13,596</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adjustment recorded in international goodwill during the three months ended March 31, 2010, resulted from fluctuation of the foreign currency exchange rates used to translate the balance into U.S. dollars.</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regarding our accounting principles and the valuation methodology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at March 31, 2010 and December 31, 2009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March 31, 2010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 2009</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4"/>
          </w:tcPr>
          <w:p>
            <w:pPr>
              <w:ind w:left="64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120" w:type="dxa"/>
            <w:vAlign w:val="bottom"/>
            <w:gridSpan w:val="4"/>
          </w:tcPr>
          <w:p>
            <w:pPr>
              <w:ind w:left="6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Net</w:t>
            </w: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r>
              <w:rPr>
                <w:rFonts w:ascii="Arial" w:cs="Arial" w:eastAsia="Arial" w:hAnsi="Arial"/>
                <w:sz w:val="15"/>
                <w:szCs w:val="15"/>
                <w:color w:val="auto"/>
              </w:rPr>
              <w:t>(1)</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w:t>
            </w: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840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02"/>
        </w:trPr>
        <w:tc>
          <w:tcPr>
            <w:tcW w:w="36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Developed and core technology (5 -15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years)</w:t>
            </w:r>
            <w:r>
              <w:rPr>
                <w:rFonts w:ascii="Arial" w:cs="Arial" w:eastAsia="Arial" w:hAnsi="Arial"/>
                <w:sz w:val="15"/>
                <w:szCs w:val="15"/>
                <w:color w:val="auto"/>
              </w:rPr>
              <w:t>(2)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w:t>
            </w:r>
          </w:p>
        </w:tc>
      </w:tr>
      <w:tr>
        <w:trPr>
          <w:trHeight w:val="202"/>
        </w:trPr>
        <w:tc>
          <w:tcPr>
            <w:tcW w:w="3680" w:type="dxa"/>
            <w:vAlign w:val="bottom"/>
          </w:tcPr>
          <w:p>
            <w:pPr>
              <w:ind w:left="220"/>
              <w:spacing w:after="0" w:line="201" w:lineRule="exact"/>
              <w:rPr>
                <w:sz w:val="20"/>
                <w:szCs w:val="20"/>
                <w:color w:val="auto"/>
              </w:rPr>
            </w:pPr>
            <w:r>
              <w:rPr>
                <w:rFonts w:ascii="Arial" w:cs="Arial" w:eastAsia="Arial" w:hAnsi="Arial"/>
                <w:sz w:val="18"/>
                <w:szCs w:val="18"/>
                <w:color w:val="auto"/>
              </w:rPr>
              <w:t>Capitalized software development costs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80" w:type="dxa"/>
            <w:vAlign w:val="bottom"/>
          </w:tcPr>
          <w:p>
            <w:pPr>
              <w:ind w:left="420"/>
              <w:spacing w:after="0"/>
              <w:rPr>
                <w:sz w:val="20"/>
                <w:szCs w:val="20"/>
                <w:color w:val="auto"/>
              </w:rPr>
            </w:pPr>
            <w:r>
              <w:rPr>
                <w:rFonts w:ascii="Arial" w:cs="Arial" w:eastAsia="Arial" w:hAnsi="Arial"/>
                <w:sz w:val="18"/>
                <w:szCs w:val="18"/>
                <w:color w:val="auto"/>
              </w:rPr>
              <w:t>(1-2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1,597</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 (15 years)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w:t>
            </w: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17,461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11,563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17,081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11,572</w:t>
            </w:r>
          </w:p>
        </w:tc>
        <w:tc>
          <w:tcPr>
            <w:tcW w:w="10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This table excludes fully amortized intangible assets of $7.6 million and $7.6 million as of March 31, 2010 and December 31, 2009, respectively.</w:t>
      </w:r>
    </w:p>
    <w:p>
      <w:pPr>
        <w:spacing w:after="0" w:line="88" w:lineRule="exact"/>
        <w:rPr>
          <w:rFonts w:ascii="Arial" w:cs="Arial" w:eastAsia="Arial" w:hAnsi="Arial"/>
          <w:sz w:val="14"/>
          <w:szCs w:val="14"/>
          <w:color w:val="auto"/>
        </w:rPr>
      </w:pPr>
    </w:p>
    <w:p>
      <w:pPr>
        <w:ind w:left="460" w:right="28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During the first quarter of 2009, we purchased core technology from Zilog, Inc. valued at $3.5 million, which is being amortized ratably over fifteen years. Refer to Note 17 for further discussion regarding the purchase.</w:t>
      </w:r>
    </w:p>
    <w:p>
      <w:pPr>
        <w:spacing w:after="0" w:line="21" w:lineRule="exact"/>
        <w:rPr>
          <w:rFonts w:ascii="Arial" w:cs="Arial" w:eastAsia="Arial" w:hAnsi="Arial"/>
          <w:sz w:val="15"/>
          <w:szCs w:val="15"/>
          <w:color w:val="auto"/>
        </w:rPr>
      </w:pPr>
    </w:p>
    <w:p>
      <w:pPr>
        <w:ind w:left="460" w:right="22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During the first quarter of 2009, we purchased customer relationships from Zilog, Inc. valued at $3.1 million, which are being amortized ratably over fifteen years. Refer to Note 17 for further discussion regarding the purchase.</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recorded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in selling, general and administrative expenses for the three months ended March 31, 2010 and 2009 was $0.3 million. Amortization expense related to capitalized software development costs, which is recorded in cost of good sold, was $0.1 million for the three months ended March 31, 2010 and 2009.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timing of future amortization expense related to our intangible assets at March 31, 2010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2010 (remaining 9 months)</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2011</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1,649</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2013</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11,563</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recorded impairment charges related to our intangible assets of $4 thousand during the three months ended March 31, 2010 and 2009. Impairment charges are recorded in selling, general and administrative expenses as a component of amortization expense, except impairment charges related to capitalized software development costs which are recorded in cost of sales. The fair value adjustments for intangible assets measured at fair value on a nonrecurring basis during the three months ended March 31, 2010 were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ind w:right="1184"/>
              <w:spacing w:after="0"/>
              <w:rPr>
                <w:sz w:val="20"/>
                <w:szCs w:val="20"/>
                <w:color w:val="auto"/>
              </w:rPr>
            </w:pPr>
            <w:r>
              <w:rPr>
                <w:rFonts w:ascii="Arial" w:cs="Arial" w:eastAsia="Arial" w:hAnsi="Arial"/>
                <w:sz w:val="14"/>
                <w:szCs w:val="14"/>
                <w:b w:val="1"/>
                <w:bCs w:val="1"/>
                <w:color w:val="auto"/>
                <w:w w:val="99"/>
              </w:rPr>
              <w:t>Fair Value Measurement Using</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40" w:type="dxa"/>
            <w:vAlign w:val="bottom"/>
          </w:tcPr>
          <w:p>
            <w:pPr>
              <w:spacing w:after="0"/>
              <w:rPr>
                <w:sz w:val="12"/>
                <w:szCs w:val="12"/>
                <w:color w:val="auto"/>
              </w:rPr>
            </w:pPr>
          </w:p>
        </w:tc>
        <w:tc>
          <w:tcPr>
            <w:tcW w:w="15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Significant Other</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Assets</w:t>
            </w:r>
          </w:p>
        </w:tc>
        <w:tc>
          <w:tcPr>
            <w:tcW w:w="1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4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2010</w:t>
            </w:r>
          </w:p>
        </w:tc>
        <w:tc>
          <w:tcPr>
            <w:tcW w:w="4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224"/>
        </w:trPr>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Patents and trademarks</w:t>
            </w:r>
          </w:p>
        </w:tc>
        <w:tc>
          <w:tcPr>
            <w:tcW w:w="380" w:type="dxa"/>
            <w:vAlign w:val="bottom"/>
          </w:tcPr>
          <w:p>
            <w:pPr>
              <w:spacing w:after="0"/>
              <w:rPr>
                <w:sz w:val="19"/>
                <w:szCs w:val="19"/>
                <w:color w:val="auto"/>
              </w:rPr>
            </w:pPr>
          </w:p>
        </w:tc>
        <w:tc>
          <w:tcPr>
            <w:tcW w:w="1520" w:type="dxa"/>
            <w:vAlign w:val="bottom"/>
            <w:tcBorders>
              <w:top w:val="single" w:sz="8" w:color="auto"/>
            </w:tcBorders>
          </w:tcPr>
          <w:p>
            <w:pPr>
              <w:jc w:val="right"/>
              <w:ind w:right="482"/>
              <w:spacing w:after="0"/>
              <w:rPr>
                <w:sz w:val="20"/>
                <w:szCs w:val="20"/>
                <w:color w:val="auto"/>
              </w:rPr>
            </w:pPr>
            <w:r>
              <w:rPr>
                <w:rFonts w:ascii="Arial" w:cs="Arial" w:eastAsia="Arial" w:hAnsi="Arial"/>
                <w:sz w:val="18"/>
                <w:szCs w:val="18"/>
                <w:color w:val="auto"/>
              </w:rPr>
              <w:t>$4,345</w:t>
            </w:r>
          </w:p>
        </w:tc>
        <w:tc>
          <w:tcPr>
            <w:tcW w:w="4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Borders>
              <w:top w:val="single" w:sz="8" w:color="auto"/>
            </w:tcBorders>
          </w:tcPr>
          <w:p>
            <w:pPr>
              <w:jc w:val="right"/>
              <w:ind w:right="484"/>
              <w:spacing w:after="0"/>
              <w:rPr>
                <w:sz w:val="20"/>
                <w:szCs w:val="20"/>
                <w:color w:val="auto"/>
              </w:rPr>
            </w:pPr>
            <w:r>
              <w:rPr>
                <w:rFonts w:ascii="Arial" w:cs="Arial" w:eastAsia="Arial" w:hAnsi="Arial"/>
                <w:sz w:val="18"/>
                <w:szCs w:val="18"/>
                <w:color w:val="auto"/>
              </w:rPr>
              <w:t>$4,345</w:t>
            </w:r>
          </w:p>
        </w:tc>
        <w:tc>
          <w:tcPr>
            <w:tcW w:w="40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disposed of 1 patent and 8 trademarks with an aggregate carrying amount of $4 thousand resulting in impairment charges of $4 thousand during the three months ended March 31, 2010. We disposed of 2 patents with a carrying amount of $4 thousand during the three months ended March 31, 2009. These assets no longer held any probable future economic benefits and were written-off.</w:t>
      </w:r>
    </w:p>
    <w:p>
      <w:pPr>
        <w:spacing w:after="0" w:line="73" w:lineRule="exact"/>
        <w:rPr>
          <w:sz w:val="20"/>
          <w:szCs w:val="20"/>
          <w:color w:val="auto"/>
        </w:rPr>
      </w:pPr>
    </w:p>
    <w:p>
      <w:pPr>
        <w:jc w:val="both"/>
        <w:ind w:right="720"/>
        <w:spacing w:after="0" w:line="342" w:lineRule="auto"/>
        <w:rPr>
          <w:sz w:val="20"/>
          <w:szCs w:val="20"/>
          <w:color w:val="auto"/>
        </w:rPr>
      </w:pPr>
      <w:r>
        <w:rPr>
          <w:rFonts w:ascii="Arial" w:cs="Arial" w:eastAsia="Arial" w:hAnsi="Arial"/>
          <w:sz w:val="16"/>
          <w:szCs w:val="16"/>
          <w:color w:val="auto"/>
        </w:rPr>
        <w:t xml:space="preserve">Please see Note 2 under the captions </w:t>
      </w:r>
      <w:r>
        <w:rPr>
          <w:rFonts w:ascii="Arial" w:cs="Arial" w:eastAsia="Arial" w:hAnsi="Arial"/>
          <w:sz w:val="16"/>
          <w:szCs w:val="16"/>
          <w:i w:val="1"/>
          <w:iCs w:val="1"/>
          <w:color w:val="auto"/>
        </w:rPr>
        <w:t>Long-Lived Assets and Intangible Assets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Software Development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Fair-Value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in our Annual Report on Form 10-K for further information regarding our accounting principles and valuation methodology utilized.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for the first quarter 2010 is computed by taking the estimated annual effective tax rate and multiplying it by the year-to-date pre-tax book income. We recorded income tax expense of $1.0 million and $0.5 million for the three months ended March 31, 2010 and 2009, respectively. Our effective tax rate was 34.7% and 39.1% during the three months ended March 31, 2010 and 2009, respectively. The decrease in our effective tax rate during the three months ended March 31, 2010 as compared to the three months ended March 31, 2009 is the result of a decrease in the state effective tax rate coupled with a decrease in interest expense on tax contingencies.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2010, we had gross unrecognized tax benefits of approximately $3.0 million, including interest and penalties, of which approximately</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$2.4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$0.5 million within the next twelve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at March 31, 2010 and December 31, 2009 are included in our unrecognized tax benefits.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As of March 31, 2010, the open statutes of limitations in our significant tax jurisdictions are as follows: federal and state are 2005 through 2009 and non-U.S. are 2001 through 2009. As of March 31, 2010, our gross unrecognized tax benefits of $3.0 million are classified as long term because we do not anticipate payment of cash related to those unrecognized tax benefits within one year.</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see Note 2 under the caption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our Annual Report on Form 10-K for further information regarding our accounting principles.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at March 31, 2010 and December 31, 2009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1,283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Accrued sales taxes and VAT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Sales tax refundable to customers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Legal settlement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Revolving Credit Line</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Under the Credit Facility, we may elect to pay interest based on the bank’s prime rate or LIBOR plus a fixed margin of 1.8%. The applicable LIBOR (1, 3, 6, or 12-month LIBOR) corresponds with the loan period we select. At March 31, 2010, the 12-month LIBOR plus the fixed margin was 2.7%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59"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Presently, we have no debt; however, we cannot make any assurances that we will not need to borrow amounts under this Credit Facility.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 The “fair price” provisions require that holders of at least two-thirds of our outstanding shares of voting stock approve certain business combinations and significant transactions with interested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2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Accruals for</w:t>
            </w:r>
          </w:p>
        </w:tc>
        <w:tc>
          <w:tcPr>
            <w:tcW w:w="58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Settlements</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6"/>
              </w:rPr>
              <w:t>Warranties</w:t>
            </w:r>
          </w:p>
        </w:tc>
        <w:tc>
          <w:tcPr>
            <w:tcW w:w="2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20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Kind) During</w:t>
            </w:r>
          </w:p>
        </w:tc>
        <w:tc>
          <w:tcPr>
            <w:tcW w:w="100" w:type="dxa"/>
            <w:vAlign w:val="bottom"/>
          </w:tcPr>
          <w:p>
            <w:pPr>
              <w:spacing w:after="0"/>
              <w:rPr>
                <w:sz w:val="12"/>
                <w:szCs w:val="12"/>
                <w:color w:val="auto"/>
              </w:rPr>
            </w:pPr>
          </w:p>
        </w:tc>
        <w:tc>
          <w:tcPr>
            <w:tcW w:w="5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Period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8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the Period</w:t>
            </w:r>
          </w:p>
        </w:tc>
        <w:tc>
          <w:tcPr>
            <w:tcW w:w="10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5"/>
        </w:trPr>
        <w:tc>
          <w:tcPr>
            <w:tcW w:w="6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Three Months Ended March 31, 2010</w:t>
            </w:r>
          </w:p>
        </w:tc>
        <w:tc>
          <w:tcPr>
            <w:tcW w:w="5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ind w:right="56"/>
              <w:spacing w:after="0" w:line="195"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ind w:right="99"/>
              <w:spacing w:after="0" w:line="195" w:lineRule="exact"/>
              <w:rPr>
                <w:sz w:val="20"/>
                <w:szCs w:val="20"/>
                <w:color w:val="auto"/>
              </w:rPr>
            </w:pPr>
            <w:r>
              <w:rPr>
                <w:rFonts w:ascii="Arial" w:cs="Arial" w:eastAsia="Arial" w:hAnsi="Arial"/>
                <w:sz w:val="18"/>
                <w:szCs w:val="18"/>
                <w:color w:val="auto"/>
              </w:rPr>
              <w:t>1</w:t>
            </w:r>
          </w:p>
        </w:tc>
        <w:tc>
          <w:tcPr>
            <w:tcW w:w="580" w:type="dxa"/>
            <w:vAlign w:val="bottom"/>
          </w:tcPr>
          <w:p>
            <w:pPr>
              <w:spacing w:after="0"/>
              <w:rPr>
                <w:sz w:val="16"/>
                <w:szCs w:val="16"/>
                <w:color w:val="auto"/>
              </w:rPr>
            </w:pPr>
          </w:p>
        </w:tc>
        <w:tc>
          <w:tcPr>
            <w:tcW w:w="340" w:type="dxa"/>
            <w:vAlign w:val="bottom"/>
            <w:tcBorders>
              <w:top w:val="single" w:sz="8" w:color="auto"/>
            </w:tcBorders>
          </w:tcPr>
          <w:p>
            <w:pPr>
              <w:jc w:val="right"/>
              <w:ind w:right="102"/>
              <w:spacing w:after="0" w:line="195"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w:t>
            </w:r>
          </w:p>
        </w:tc>
        <w:tc>
          <w:tcPr>
            <w:tcW w:w="60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59"/>
              <w:spacing w:after="0" w:line="195"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Three Months Ended March 31, 2009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9"/>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2002, one of our subsidiaries (One For All France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were awaiting the expert to finalize and file his pre-trial report with the court. On November 15, 2009, the expert issued his draft report in which he preliminarily concluded that One For All France is owed €342,555 from the former distributor.. The expert asked us and the former distributor to each provide him with our comments regarding his draft report. After he receives each of our comments, he will finalize and file the report with the court. The former distributor has asked for and received an extension to respond until March 31, 2010. To date, we have not received the former distributor’s comments and we will ask the court to issue an order to compel the former distributor to submit its comments. Until the expert’s report is final and has been accepted and entered as judgment by the court, management will continue to pursue this matter in the courts and remains unable to estimate the likelihood of an unfavorable outcome, and the amount of loss, if any, in the case of an unfavorable outcome.</w:t>
      </w:r>
    </w:p>
    <w:p>
      <w:pPr>
        <w:spacing w:after="0" w:line="6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April 8, 2010, we received a letter from attorneys representing Remotech, LLC, informing us that on April 7, 2010, Remotech filed a patent infringement complaint against us with the U.S. District Court, Southern District of Florida, West Palm Beach Division, claiming that our Remote Extender product infringes Remotech’s patent. The Remotech patent expired on December 24, 2006. We have not yet been served with the complaint, and thus no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response is due from us. Nevertheless, we have contacted Remotech’s attorneys and advised them that our Remote Extender product does not infringe the Remotech patent and that the first sale of our product occurred after the expiration date of the Remotech patent. As such, we have demanded that the Remotech attorneys withdraw the complaint against us with no further action on our part. We are awaiting their response to our demand. Should they fail to do so, we will vigorously defend against the complaint.</w:t>
      </w:r>
    </w:p>
    <w:p>
      <w:pPr>
        <w:spacing w:after="0" w:line="7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There are no other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During the second quarter of 2007, we adopted an Executive Long-Term Incentive Plan (“ELTIP”). The ELTIP provided a bonus pool for our executive management team contingent on achieving certain performance goals during a two-year performance period commencing on January 1, 2007 and ending on December 31, 2008. The performance goals were based on the compound annual growth rate of net sales and earnings per diluted share during the performance period. The ELTIP had a maximum pay out of $12 million if the highest performance goals were met. Management did not earn a bonus under the ELTIP based on our results through December 31, 2008. As a result, we lowered our ELTIP accrual from $1.0 million at December 31, 2007 to $0 at December 31, 2008. This adjustment resulted in a $1.0 million benefit to pre-tax income for the twelve months ended December 31, 2008.</w:t>
      </w:r>
    </w:p>
    <w:p>
      <w:pPr>
        <w:spacing w:after="0" w:line="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light of the ELTIP results, our Compensation Committee awarded a discretionary cash bonus of $1.0 million, to be paid out quarterly during 2009 and 2010. The Compensation Committee made this decision after reviewing the economic environment and our relative financial and operating performance. The Compensation Committee believes this bonus was in alignment with our stockholders’ interests as well as our performance, alignment and retention objectives. Each participant’s earned award vests in eight equal quarterly installments beginning March 31, 2009 and ending December 31, 2010. Approximately $0.1 million was paid and expensed during the three months ended March 31, 2010 to our executive management team. At March 31, 2010 and December 31, 2009, $0.2 million and $0.3 million, respectively, have been included in accrued compensation for this discretionary bonus. In the event a participant terminates their employment during the remaining service period (April 1, 2010 through December 31, 2010), they will forfeit their right to any remaining installments where the payment date has not yet occurred.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At March 31, 2010, the amounts deferred under the plan were immaterial to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India subsidiary maintains a defined benefit pension plan (“India Plan”) for local employees, which is consistent with local statutes and practices. The India Plan was adequately funded as of March 31, 2010 based on its latest actuarial report. The India Plan has an independent external manager that advises us of the appropriate funding contribution requirements to which we comply. At March 31, 2010, approximately 30 percent of our India subsidiary employees had qualified for eligibility. Generally, an employee must be employed by the company for a minimum of five years before becoming eligible. At the time of eligibility we are liable, on termination, resignation or retirement, to pay the employee an amount equal to 15 days salary for each year of service completed. The total amount of liability outstanding at March 31, 2010 for the India Plan is not material. During the three months ended March 31, 2010, the net periodic benefit costs were also not material.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Treasury Stock</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During the three months ended March 31, 2010 and 2009, we repurchased 58,250 and 105,311 shares of our common stock at a cost of $1.3 million and $1.6 million, respectively. Repurchased shares are recorded as shares held in treasury at cost. We generally hold these shares for future use as our management and Board of Directors deem appropriate, including compensating our outside directors. During the three months ended March 31, 2010 and 2009, we issued 7,083 and 6,250 shares, respectively, to outside directors for services performed (see Note 13).</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whenever we deem a repurchase is a good use of our cash and the price to be paid is at or below a threshold approved by our Board. As of March 31, 2010, we have repurchased 25,684 shares of our common stock under this authorization, leaving 974,316 shares available for repurchase.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loss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(2,120)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660" w:type="dxa"/>
            <w:vAlign w:val="bottom"/>
            <w:gridSpan w:val="2"/>
          </w:tcPr>
          <w:p>
            <w:pPr>
              <w:jc w:val="right"/>
              <w:ind w:right="528"/>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foreign currency translation losses of $2.1 million and $1.9 million for the three months ended March 31, 2010 and 2009, respectively, were due to the strengthening of the U.S. dollar against the Euro. The U.S. dollar/Euro spot rate was 1.35 and 1.43 at March 31, 2010 and December 31, 2009, respectively, and 1.33 and 1.39 at March 31, 2009 and December 31, 2008, respectively.</w:t>
      </w:r>
    </w:p>
    <w:p>
      <w:pPr>
        <w:spacing w:after="0" w:line="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Please see Note 2 under the caption </w:t>
      </w:r>
      <w:r>
        <w:rPr>
          <w:rFonts w:ascii="Arial" w:cs="Arial" w:eastAsia="Arial" w:hAnsi="Arial"/>
          <w:sz w:val="18"/>
          <w:szCs w:val="18"/>
          <w:i w:val="1"/>
          <w:iCs w:val="1"/>
          <w:color w:val="auto"/>
        </w:rPr>
        <w:t>Foreign Currency Translation and Foreign Currency Transactions</w:t>
      </w:r>
      <w:r>
        <w:rPr>
          <w:rFonts w:ascii="Arial" w:cs="Arial" w:eastAsia="Arial" w:hAnsi="Arial"/>
          <w:sz w:val="18"/>
          <w:szCs w:val="18"/>
          <w:color w:val="auto"/>
        </w:rPr>
        <w:t xml:space="preserve"> in our Annual Report on Form 10-K for further information regarding our accounting principles.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U.S. GAAP. We operate in a single operating and reportable segment.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by geographic area were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41,623</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Asia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10,802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Argentina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484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Australia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460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Israel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1,004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Italy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508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South Africa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1,301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29,753</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71,376</w:t>
            </w:r>
          </w:p>
        </w:tc>
        <w:tc>
          <w:tcPr>
            <w:tcW w:w="14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$ 71,126</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Specific identification of the customer’s location was the basis used to attribute revenues to geographic areas.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color w:val="auto"/>
              </w:rPr>
              <w:t>Long-lived asset information by our domestic and international components is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7,271</w:t>
            </w:r>
          </w:p>
        </w:tc>
        <w:tc>
          <w:tcPr>
            <w:tcW w:w="140" w:type="dxa"/>
            <w:vAlign w:val="bottom"/>
          </w:tcPr>
          <w:p>
            <w:pPr>
              <w:spacing w:after="0"/>
              <w:rPr>
                <w:sz w:val="18"/>
                <w:szCs w:val="18"/>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3,716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$ 10,987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We recorded $1.2 million and $1.0 million (including stock-based compensation related to directors) of pre-tax stock-based compensation expense during the three months ended March 31, 2010 and 2009, respectively. The income tax benefit from the recognition of stock-based compensation for the three months ended March 31, 2010 and 2009 was $0.4 million and $0.3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income statement caption for the three months ended March 31, 2010 and 2009 is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Selling, general and administrative expense includes stock-based compensation related to restricted stock awards granted to outside directors of $0.1 million for the three months ended March 31, 2010 and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Selling, general and administrative expense also includes pre-tax stock-based compensation related to stock option awards granted to outside directors of $0.1 million for the three months ended March 31, 2010 and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three months ended March 31, 2010, the Compensation Committee and Board of Directors granted 99,900 stock options to our employees with an aggregate grant date fair value of $1.1 million under various stock incentive plans. The stock options granted to employees during the three months ended March 31, 2010 consisted of the following: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Grant</w:t>
            </w:r>
          </w:p>
        </w:tc>
        <w:tc>
          <w:tcPr>
            <w:tcW w:w="5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 Option</w:t>
            </w:r>
          </w:p>
        </w:tc>
        <w:tc>
          <w:tcPr>
            <w:tcW w:w="20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Date</w:t>
            </w:r>
          </w:p>
        </w:tc>
        <w:tc>
          <w:tcPr>
            <w:tcW w:w="5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00" w:type="dxa"/>
            <w:vAlign w:val="bottom"/>
          </w:tcPr>
          <w:p>
            <w:pPr>
              <w:spacing w:after="0"/>
              <w:rPr>
                <w:sz w:val="14"/>
                <w:szCs w:val="14"/>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Options</w:t>
            </w: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January 25, 2010</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99,900</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$1,134</w:t>
            </w:r>
          </w:p>
        </w:tc>
        <w:tc>
          <w:tcPr>
            <w:tcW w:w="400" w:type="dxa"/>
            <w:vAlign w:val="bottom"/>
          </w:tcPr>
          <w:p>
            <w:pPr>
              <w:spacing w:after="0"/>
              <w:rPr>
                <w:sz w:val="16"/>
                <w:szCs w:val="16"/>
                <w:color w:val="auto"/>
              </w:rPr>
            </w:pPr>
          </w:p>
        </w:tc>
        <w:tc>
          <w:tcPr>
            <w:tcW w:w="5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4 -Year Vesting Period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w w:val="96"/>
              </w:rPr>
              <w:t>(0% each quarter during year 1 and 8.33% each quarter during years 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1,134</w:t>
            </w:r>
          </w:p>
        </w:tc>
        <w:tc>
          <w:tcPr>
            <w:tcW w:w="4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values of stock option grants were the following:</w:t>
      </w:r>
    </w:p>
    <w:p>
      <w:pPr>
        <w:spacing w:after="0" w:line="162"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r>
              <w:rPr>
                <w:rFonts w:ascii="Arial" w:cs="Arial" w:eastAsia="Arial" w:hAnsi="Arial"/>
                <w:sz w:val="15"/>
                <w:szCs w:val="15"/>
                <w:color w:val="auto"/>
              </w:rPr>
              <w:t>(1)</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$11.35</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$ 7.01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2.37%</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1.94%</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50.01%</w:t>
            </w:r>
          </w:p>
        </w:tc>
        <w:tc>
          <w:tcPr>
            <w:tcW w:w="1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49.59%</w:t>
            </w: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4.95</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right="4320" w:firstLine="8"/>
        <w:spacing w:after="0" w:line="440" w:lineRule="auto"/>
        <w:tabs>
          <w:tab w:leader="none" w:pos="446" w:val="left"/>
        </w:tabs>
        <w:numPr>
          <w:ilvl w:val="0"/>
          <w:numId w:val="7"/>
        </w:numPr>
        <w:rPr>
          <w:rFonts w:ascii="Arial" w:cs="Arial" w:eastAsia="Arial" w:hAnsi="Arial"/>
          <w:sz w:val="14"/>
          <w:szCs w:val="14"/>
          <w:color w:val="auto"/>
        </w:rPr>
      </w:pPr>
      <w:r>
        <w:rPr>
          <w:rFonts w:ascii="Arial" w:cs="Arial" w:eastAsia="Arial" w:hAnsi="Arial"/>
          <w:sz w:val="17"/>
          <w:szCs w:val="17"/>
          <w:color w:val="auto"/>
        </w:rPr>
        <w:t>The fair value calculation was based on stock options granted during each respective period. Stock option activity during the three months ended March 31, 2010 was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Options</w:t>
            </w: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Term</w:t>
            </w:r>
          </w:p>
        </w:tc>
        <w:tc>
          <w:tcPr>
            <w:tcW w:w="13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years)</w:t>
            </w:r>
          </w:p>
        </w:tc>
        <w:tc>
          <w:tcPr>
            <w:tcW w:w="3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18.37</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24.91</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17.04</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Forfeited/cancelled/expired</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19.21</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2010</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18.74</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March 31, 2010</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18.66</w:t>
            </w:r>
          </w:p>
        </w:tc>
        <w:tc>
          <w:tcPr>
            <w:tcW w:w="138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5.43</w:t>
            </w:r>
          </w:p>
        </w:tc>
        <w:tc>
          <w:tcPr>
            <w:tcW w:w="440" w:type="dxa"/>
            <w:vAlign w:val="bottom"/>
            <w:gridSpan w:val="2"/>
            <w:vMerge w:val="restart"/>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1,733</w:t>
            </w:r>
          </w:p>
        </w:tc>
        <w:tc>
          <w:tcPr>
            <w:tcW w:w="6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2010</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17.46</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aggregate intrinsic value in the table above represents the total pre-tax value that option holders would have received had all option holders exercised their options on March 31, 2010. The aggregate intrinsic value is the difference between the closing price of Universal Electronics Inc.’s common stock on the last trading day of the first quarter of 2010 and the option exercise price, multiplied by the number of in-the-money options. This amount will change based on the fair market value of our stock. The total intrinsic value of options exercised for the three months ended March 31, 2010 and 2009, was $0.1 million and $0.2 million, respectively.</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March 31, 2010, there was $3.5 million of unrecognized pre-tax stock-based compensation expense related to non-vested stock options which we expect to recognize over a weighted-average period of 2.6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the three months ended March 31, 2010, the Compensation Committee and Board of Directors granted 45,500 restricted stock awards to our employees with an aggregate grant date fair value of $1.1 million under the 2006 Stock Incentive Plan. The restricted stock awards granted to employees during the three months ended March 31, 2010 consisted of the following: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Grant</w:t>
            </w:r>
          </w:p>
        </w:tc>
        <w:tc>
          <w:tcPr>
            <w:tcW w:w="5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20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Date</w:t>
            </w:r>
          </w:p>
        </w:tc>
        <w:tc>
          <w:tcPr>
            <w:tcW w:w="5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Fair</w:t>
            </w:r>
          </w:p>
        </w:tc>
        <w:tc>
          <w:tcPr>
            <w:tcW w:w="582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71"/>
        </w:trPr>
        <w:tc>
          <w:tcPr>
            <w:tcW w:w="1420" w:type="dxa"/>
            <w:vAlign w:val="bottom"/>
          </w:tcPr>
          <w:p>
            <w:pPr>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Granted</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5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25, 2010</w:t>
            </w:r>
          </w:p>
        </w:tc>
        <w:tc>
          <w:tcPr>
            <w:tcW w:w="20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45,500</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$1,133</w:t>
            </w:r>
          </w:p>
        </w:tc>
        <w:tc>
          <w:tcPr>
            <w:tcW w:w="420" w:type="dxa"/>
            <w:vAlign w:val="bottom"/>
          </w:tcPr>
          <w:p>
            <w:pPr>
              <w:spacing w:after="0"/>
              <w:rPr>
                <w:sz w:val="16"/>
                <w:szCs w:val="16"/>
                <w:color w:val="auto"/>
              </w:rPr>
            </w:pPr>
          </w:p>
        </w:tc>
        <w:tc>
          <w:tcPr>
            <w:tcW w:w="5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4-Year Vesting Period</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8"/>
              </w:rPr>
              <w:t>(0% each quarter during year 1 and 8.33% each quarter during years 2-4)</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1,133</w:t>
            </w:r>
          </w:p>
        </w:tc>
        <w:tc>
          <w:tcPr>
            <w:tcW w:w="4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Non-vested restricted stock award activity during the three months ended March 31, 2010 (including restricted stock issued to directors as described in Note 10) was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5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5"/>
              </w:rPr>
              <w:t>Shares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Granted</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31, 2010, we expect to recognize $4.8 million of unrecognized pre-tax stock-based compensation expense related to non-vested restricted stock awards over a weighted-average period of 2.2 years.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in our Annual Report on Form 10-K for further information regarding our accounting principles.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for the three months ended March 31, 2010 and 2009 are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on foreign currency exchange contracts</w:t>
            </w:r>
            <w:r>
              <w:rPr>
                <w:rFonts w:ascii="Arial" w:cs="Arial" w:eastAsia="Arial" w:hAnsi="Arial"/>
                <w:sz w:val="15"/>
                <w:szCs w:val="15"/>
                <w:color w:val="auto"/>
              </w:rPr>
              <w:t>(1)</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gain on foreign currency exchange transactions</w:t>
            </w: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6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This represents the losses incurred on foreign currency hedging derivatives (see Note 16 for further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7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In the computation of diluted earnings per common share for the three months ended March 31, 2010 and 2009, we have excluded 419,010 and 1,219,237 stock options, respectively, with exercise prices greater than the average market price of the underlying common stock, because their inclusion would have been anti-dilutive. Furthermore, for the three months ended March 31, 2010 and 2009, we have excluded 200,510 and 183,104 of unvested shares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restricted stock, respectively, whose combined unamortized fair value and excess tax benefits were greater in each of those periods than the average market price of the underlying common stock, as their effect would be anti-dilutive.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months ended March 31, 2010 and 2009 are calculated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ind w:left="4260"/>
              <w:spacing w:after="0"/>
              <w:rPr>
                <w:sz w:val="20"/>
                <w:szCs w:val="20"/>
                <w:color w:val="auto"/>
              </w:rPr>
            </w:pPr>
            <w:r>
              <w:rPr>
                <w:rFonts w:ascii="Arial" w:cs="Arial" w:eastAsia="Arial" w:hAnsi="Arial"/>
                <w:sz w:val="18"/>
                <w:szCs w:val="18"/>
                <w:b w:val="1"/>
                <w:bCs w:val="1"/>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13,700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14,093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5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gains and losses on foreign currency hedging derivatives are recorded as foreign currency exchange contract gains or losses in other income (expense), net (see Note 14). Derivatives are recorded on the balance sheet at fair value. The estimated fair value of our derivative financial instruments represent the amount required to enter into offsetting contracts with similar remaining maturities based on quoted market prices.</w:t>
      </w:r>
    </w:p>
    <w:p>
      <w:pPr>
        <w:spacing w:after="0" w:line="5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The fair value of our derivatives are determined utilizing level 2 inputs in the fair value hierarchy. See Note 2 under the captions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and </w:t>
      </w:r>
      <w:r>
        <w:rPr>
          <w:rFonts w:ascii="Arial" w:cs="Arial" w:eastAsia="Arial" w:hAnsi="Arial"/>
          <w:sz w:val="16"/>
          <w:szCs w:val="16"/>
          <w:i w:val="1"/>
          <w:iCs w:val="1"/>
          <w:color w:val="auto"/>
        </w:rPr>
        <w:t>Fair-Value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in our Annual Report on Form 10-K for further information concerning the accounting principles and valuation methodology utilized.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derivative that was accounted for at fair value on a recurring basis at March 31,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34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0" w:type="dxa"/>
            <w:vAlign w:val="bottom"/>
          </w:tcPr>
          <w:p>
            <w:pPr>
              <w:spacing w:after="0"/>
              <w:rPr>
                <w:sz w:val="12"/>
                <w:szCs w:val="12"/>
                <w:color w:val="auto"/>
              </w:rPr>
            </w:pPr>
          </w:p>
        </w:tc>
        <w:tc>
          <w:tcPr>
            <w:tcW w:w="12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3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March 31, 2010</w:t>
            </w:r>
          </w:p>
        </w:tc>
        <w:tc>
          <w:tcPr>
            <w:tcW w:w="12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(Level 1)</w:t>
            </w: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futures contract</w:t>
            </w:r>
          </w:p>
        </w:tc>
        <w:tc>
          <w:tcPr>
            <w:tcW w:w="5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w:t>
            </w:r>
          </w:p>
        </w:tc>
        <w:tc>
          <w:tcPr>
            <w:tcW w:w="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loss of approximately $0.03 million and $0.6 million for the three months ended March 31, 2010 and 2009,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held one US dollar/Euro futures contract with a notional value of $4.5 million and a forward rate of $1.3338 USD/Euro at March 31, 2010. We held the Euro position on this contract, which settled on April 23, 2010. The gain on this contract as of March 31, 2010 was $58 thousand and is included in prepaid expenses and other current assets.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held one US dollar/Euro futures contract with a notional value of $1.5 million and a forward rate of $1.4386 USD/Euro at December 31, 2009. We held the Euro position on this contract, which settled on January 15, 2010. The loss on this contract as of December 31, 2009 was $5 thousand and was included in other accrued expenses. This contract was settled at a loss of $11 thousand resulting in a loss of $6 thousand in January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July 2009, we entered into a USD/GBP put option with a notional value of $4.3 million. That contract expired on December 31, 2009 and settled on January 5, 2010. The fair value of this put option was approximately $2 thousand at December 31, 2009 and was included in accounts receivable, net (see Note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Business Acquisition</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software tools and certain fixed assets. We also hired 116 of Zilog’s sales and engineering personnel, including all 107 of Zilog’s personnel located in India. In a related transaction, Maxim Integrated Products (NASDAQ: MXIM) acquired two of Zilog’s product lines, namely, the hardware portion of Zilog’s remote control business and Zilog’s secured transaction product line.</w:t>
      </w:r>
    </w:p>
    <w:p>
      <w:pPr>
        <w:spacing w:after="0" w:line="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cross-licensed the remote control technology and intellectual property with Maxim Integrated Products for the purpose of conducting our respective businesses. The arrangement involves an agreement to source silicon chips from Maxim. In addition, during 2009 we agreed to be Maxim’s exclusive sales agent, selling the Zilog designs to Zilog’s former customers, in return for a sales agency fee. The sales agency fee during the three months ended March 31, 2010 and 2009 was $1.0 million and $0.6 million, respectively. This arrangement was mildly accretive to our earnings in 2009, excluding acquisition costs. During 2010, as the transition from the Zilog chip platform to the Maxim chip platform progresses, we will begin to take over full sales and distribution rights, procuring and selling the chips directly to Zilog’s former customers. We anticipate this position will lead to growth in revenue and earnings going forward. Our consolidated financial statements include the operating results of the acquired assets, employees hired, and the related agreement with Maxim from February 18, 2009.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of approximately $9.5 million was allocated to the net assets acquired based on their estimated fair values as follows: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Database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Purchase price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Of the total purchase price, approximately $6.6 million was allocated to the database and customer relationships intangible assets and are subject to amortization.</w:t>
      </w:r>
    </w:p>
    <w:p>
      <w:pPr>
        <w:spacing w:after="0" w:line="6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database intangible is composed of the estimated fair value of patents, intellectual property and other assets related to Zilog’s database of infrared codes, and software tools. When determining the fair value of the database, we utilized the cost approach. In our valuation, we estimated the total costs to recreate the database, including the associated opportunity costs (or revenue lost while recreating). We discounted the after-tax cash flows to present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value to arrive at our estimate of the fair value of the database. We are amortizing the database on a straight-line basis over an estimated useful life of fifteen years.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customer relationship intangible is composed of the fair value of customer relationships acquired as a result of the Zilog purchase. We utilized the income approach to estimate the fair value of the customer relationships intangible. We developed after-tax cash flows based on forecasted revenue from these customers assuming a customer attrition rate based on our analysis of customer data for UEI and Zilog. We discounted the after-tax cash flows to present value to arrive at our estimate of the fair value of the customer relationships intangible. We are amortizing the customer relationships intangible on a straight-line basis over an estimated useful life of fifteen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Goodwill represents the excess of the purchase price over the estimated fair value of the identifiable tangible and intangible assets acquired. Goodwill from this transaction of $2.9 million will not be amortized, but will be analyzed for impairment on at least an annual basis in accordance with U.S. GAAP. We review our goodwill for impairment annually as of December 31st and whenever events or changes in circumstances indicate that an impairment loss may have occurred. We have not recorded any impairment related to the goodwill recognized as a result of the Zilog acquisition. Of the total goodwill recorded, none is expected to be deductible for tax purposes.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is attributable to the following value we received from this acquisition:</w:t>
      </w:r>
    </w:p>
    <w:p>
      <w:pPr>
        <w:spacing w:after="0" w:line="117" w:lineRule="exact"/>
        <w:rPr>
          <w:sz w:val="20"/>
          <w:szCs w:val="20"/>
          <w:color w:val="auto"/>
        </w:rPr>
      </w:pPr>
    </w:p>
    <w:p>
      <w:pPr>
        <w:ind w:left="660" w:right="2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This acquisition will expand the breadth and depth of our customer base in both subscription broadcasting and original equipment manufacturing, particularly in Asia.</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believe integrating Zilog’s technologies with and into our own technology will reduce design cycle times, lower costs, and lead to improvements in our integrated circuit design, product quality and overall functional performance.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acquisition of former Zilog employees will allow us to leverage their experience to our advantage in the wireless control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recognized $1.1 million of total acquisition costs related to the Zilog transaction in selling, general and administrative expenses during the three months ended March 31, 2009 and the year ended December 31, 2009. The acquisition costs consisted of primarily legal and investment banking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the acquisition from Zilog as if the acquisition had occurred at January 1, 2009. Adjustments netting $0.1 million for the three months ended March 31, 2009 have been made to the combined results of operations, primarily reflecting net sales, salary costs and the amortization of purchased intangible assets. The adjustments are net of any related tax effects.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three months ended March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10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March 31, 2009</w:t>
            </w:r>
          </w:p>
        </w:tc>
      </w:tr>
      <w:tr>
        <w:trPr>
          <w:trHeight w:val="210"/>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7"/>
              </w:rPr>
              <w:t>71,613</w:t>
            </w:r>
          </w:p>
        </w:tc>
      </w:tr>
      <w:tr>
        <w:trPr>
          <w:trHeight w:val="216"/>
        </w:trPr>
        <w:tc>
          <w:tcPr>
            <w:tcW w:w="101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757</w:t>
            </w:r>
          </w:p>
        </w:tc>
      </w:tr>
      <w:tr>
        <w:trPr>
          <w:trHeight w:val="216"/>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100" w:type="dxa"/>
            <w:vAlign w:val="bottom"/>
          </w:tcPr>
          <w:p>
            <w:pPr>
              <w:ind w:left="22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0.06</w:t>
            </w:r>
          </w:p>
        </w:tc>
      </w:tr>
      <w:tr>
        <w:trPr>
          <w:trHeight w:val="216"/>
        </w:trPr>
        <w:tc>
          <w:tcPr>
            <w:tcW w:w="10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0.05</w:t>
            </w: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 presented, and should not be taken as a projection of the future consolidated results of our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customers operate in the consumer electronics market and include OEMs, MSOs (cable and satellite service providers), international retailers, CEDIA (Custom Electronic Design and Installation Association), North American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IR controlled TVs, DVD players, media players, cable converters, audio components and satellite receivers, as well as most other infrared remote controlled devices worldwide.</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467,000 individual device functions and over 4,000 individual consumer electronic equipment brand names. Our library is regularly updated with IR codes used in newly introduced video and audio devices. All such IR codes are captured from the original manufacturer’s remote control devices or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operate as one business segment. We have fourteen subsidiaries located in Argentina, Cayman Islands, China, France, Germany (2), Hong Kong (2), India, Italy, the Netherlands, Singapore, Spain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2010:</w:t>
      </w:r>
    </w:p>
    <w:p>
      <w:pPr>
        <w:spacing w:after="0" w:line="117" w:lineRule="exact"/>
        <w:rPr>
          <w:sz w:val="20"/>
          <w:szCs w:val="20"/>
          <w:color w:val="auto"/>
        </w:rPr>
      </w:pPr>
    </w:p>
    <w:p>
      <w:pPr>
        <w:ind w:left="660" w:hanging="436"/>
        <w:spacing w:after="0" w:line="302"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Our revenue grew 0.4% from $71.1 million for the three months ended March 31, 2009 to $71.4 million for the three months ended March 31, 2010. We acquired new domestic and international customers in our business category which offset the loss of sales from a significant customer who returned to a more traditional dual source arrangement beginning in the first quarter of 2010 compared to purchasing the majority of its remotes from us in 2009. In addition, sales in our consumer category improved due in part to a new partnership agreement with a distributor in the U.S. market.</w:t>
      </w:r>
    </w:p>
    <w:p>
      <w:pPr>
        <w:spacing w:after="0" w:line="46" w:lineRule="exact"/>
        <w:rPr>
          <w:rFonts w:ascii="Arial" w:cs="Arial" w:eastAsia="Arial" w:hAnsi="Arial"/>
          <w:sz w:val="16"/>
          <w:szCs w:val="16"/>
          <w:b w:val="1"/>
          <w:bCs w:val="1"/>
          <w:color w:val="auto"/>
        </w:rPr>
      </w:pPr>
    </w:p>
    <w:p>
      <w:pPr>
        <w:ind w:left="660" w:right="60" w:hanging="436"/>
        <w:spacing w:after="0" w:line="272"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Our operating income for the first three months of 2010 increased 74.9% to $2.7 million from operating income of $1.5 million in the first three months of 2009. Our operating margin percentage increased from 2.1% in the first three months of 2009 to 3.8% in the first three months of 2010 due to the increase in our gross margin percentage, as well as, the decrease in operating expenses as a percentage of revenue. Our gross margin percentage increased from 30.1% in the first three months of 2009 to 30.9% in the first three months of 2010 due primarily to the strengthening of the Euro and British pound compared to the U.S. dollar. Sales mix also contributed to the increase in our gross margin percentage, as a higher percentage of sales in our business category was comprised of higher-margin products. Operating expenses decreased from 28.0% of revenue for the three months ended March 31, 2009 to 27.1% for the three months ended March 31, 2010.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2010 include the following:</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acquisition and joint venture opportunities that may enhance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intend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2010 to the items that we disclosed as our critical accounting policies and estimates in Item 7, “Management’s Discussion and Analysis of Financial Condition and Results of Operations” contained in our Annual Report on Form 10-K for our fiscal year ended December 31,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Consolidated Financial Statements for a discussion of new and recently adopted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months ended March 31, 2010 and 2009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76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47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160" w:type="dxa"/>
            <w:vAlign w:val="bottom"/>
            <w:gridSpan w:val="3"/>
          </w:tcPr>
          <w:p>
            <w:pPr>
              <w:jc w:val="right"/>
              <w:ind w:right="720"/>
              <w:spacing w:after="0"/>
              <w:rPr>
                <w:sz w:val="20"/>
                <w:szCs w:val="20"/>
                <w:color w:val="auto"/>
              </w:rPr>
            </w:pPr>
            <w:r>
              <w:rPr>
                <w:rFonts w:ascii="Arial" w:cs="Arial" w:eastAsia="Arial" w:hAnsi="Arial"/>
                <w:sz w:val="18"/>
                <w:szCs w:val="18"/>
                <w:color w:val="auto"/>
              </w:rPr>
              <w:t>3.9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23.2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7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income, net</w:t>
            </w:r>
          </w:p>
        </w:tc>
        <w:tc>
          <w:tcPr>
            <w:tcW w:w="6160" w:type="dxa"/>
            <w:vAlign w:val="bottom"/>
            <w:gridSpan w:val="3"/>
          </w:tcPr>
          <w:p>
            <w:pPr>
              <w:jc w:val="right"/>
              <w:ind w:right="72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1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47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7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47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476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760" w:type="dxa"/>
            <w:vAlign w:val="bottom"/>
            <w:vMerge w:val="restart"/>
          </w:tcPr>
          <w:p>
            <w:pPr>
              <w:jc w:val="right"/>
              <w:ind w:right="3290"/>
              <w:spacing w:after="0"/>
              <w:rPr>
                <w:sz w:val="20"/>
                <w:szCs w:val="20"/>
                <w:color w:val="auto"/>
              </w:rPr>
            </w:pPr>
            <w:r>
              <w:rPr>
                <w:rFonts w:ascii="Arial" w:cs="Arial" w:eastAsia="Arial" w:hAnsi="Arial"/>
                <w:sz w:val="18"/>
                <w:szCs w:val="18"/>
                <w:color w:val="auto"/>
              </w:rPr>
              <w:t>23</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2010 versus Three Months Ended March 31,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March 31, 2010 and 2009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6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84.4%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60.9</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10.2</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4</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71.</w:t>
            </w:r>
            <w:r>
              <w:rPr>
                <w:rFonts w:ascii="Arial" w:cs="Arial" w:eastAsia="Arial" w:hAnsi="Arial"/>
                <w:sz w:val="18"/>
                <w:szCs w:val="18"/>
                <w:u w:val="single" w:color="auto"/>
                <w:color w:val="auto"/>
                <w:w w:val="79"/>
              </w:rPr>
              <w:t>1</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Net sales for the first quarter of 2010 were $71.4 million, an increase of 0.4% compared to $71.1 million for the first quarter of 2009. Net income for the first quarter of 2010 was $1.8 million or $0.13 per diluted share compared to $0.8 million or $0.06 per diluted share for the first quarter of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84% of net sales in the first quarter of 2010 compared to approximately 86% in the first quarter of 2009. Net sales in our Business lines for the first quarter of 2010 decreased by 1% to $60.2 million from $60.9 million in the first quarter of 2009. This was the result of a significant customer returning to a more traditional dual source arrangement during the first quarter of 2010 as compared to purchasing the majority of its remotes from us during the first quarter of 2009. We were able to offset this loss by acquiring new domestic and international customers.</w:t>
      </w:r>
    </w:p>
    <w:p>
      <w:pPr>
        <w:spacing w:after="0" w:line="8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Net sales in our Consumer lines (One For All</w:t>
      </w:r>
      <w:r>
        <w:rPr>
          <w:rFonts w:ascii="Arial" w:cs="Arial" w:eastAsia="Arial" w:hAnsi="Arial"/>
          <w:sz w:val="14"/>
          <w:szCs w:val="14"/>
          <w:color w:val="auto"/>
        </w:rPr>
        <w:t>®</w:t>
      </w:r>
      <w:r>
        <w:rPr>
          <w:rFonts w:ascii="Arial" w:cs="Arial" w:eastAsia="Arial" w:hAnsi="Arial"/>
          <w:sz w:val="17"/>
          <w:szCs w:val="17"/>
          <w:color w:val="auto"/>
        </w:rPr>
        <w:t xml:space="preserve"> retail, private label and custom installers) were approximately 16% of net sales for the first quarter of 2010 compared to approximately 14% for the first quarter of 2009. Net sales in our Consumer lines increased by 9% to $11.2 million in the first quarter of 2010 from $10.2 million in the first quarter of 2009. North American retail sales increased by $1.1 million compared to the first quarter of 2009, as a result of our new partnership agreement with a distributor in the U.S. market. International retail sales increased by $0.2 million from $8.4 million in the first quarter of 2009 to $8.6 million in the first quarter of 2010 due primarily to the strengthening of both the Euro and the British Pound compared to the U.S. dollar. This resulted in an increase in net sales of approximately $0.5 million. Net of this currency effect, international retail sales decreased $0.3 million. In addition, CEDIA sales decreased by $0.2 million compared to the first quarter of 2009.</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profit for the first quarter of 2010 was $22.1 million compared to $21.4 million for the first quarter of 2009. Gross profit as a percentage of sales for the first quarter of 2010 was 30.9% compared to 30.1% for the same period in the prior year, due to the following reasons:</w:t>
      </w:r>
    </w:p>
    <w:p>
      <w:pPr>
        <w:spacing w:after="0" w:line="62"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an increase of 0.5% in the gross margin rate;</w:t>
      </w:r>
    </w:p>
    <w:p>
      <w:pPr>
        <w:spacing w:after="0" w:line="117"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Sales of higher-margin chips represented a larger percentage of the overall sales in the Business category, which resulted in an increase of 0.4% in the gross margin rate;</w:t>
      </w:r>
    </w:p>
    <w:p>
      <w:pPr>
        <w:spacing w:after="0" w:line="62"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Decrease in inventory scrap expense as a result of a lower return rate in our European retail business resulted in an increase of 0.2% in the gross margin rate; and</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Increase in freight expense of $0.3 million due to more air shipments resulted in a decrease of 0.4% in the gross margin rate.</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Research and development expenses increased 31.2% from $2.1 million in the first quarter of 2009 to $2.8 million in the first quarter of 2010 due to additional investments in product development and the acquisition of certain operations from Zilog, Inc.</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Selling, general and administrative expenses decreased 6.6% from $17.8 million in the first quarter of 2009 to $16.6 million in the first quarter of 2010. The strengthening of the Euro compared to the U.S. dollar resulted in an increase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of $0.4 million. Net of this unfavorable currency effect, expenses decreased by $1.6 million, due primarily to the non-recurring professional service expenses of approximately $1.1 million related to the acquisition of certain assets and operations from Zilog, Inc. that occurred during the first quarter of 2009. In addition, bonus expense decreased by $0.3 million in the first quarter of 2010 compared to the first quarter of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2010 and 2009, we recorded $0.1 million of net interest income.</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first quarter of 2010, net other income was $43 thousand as compared to net other expense of $0.4 million for the first quarter of 2009 which was driven by foreign exchange fluctuations.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recorded income tax expense of $1.0 million in the first quarter of 2010 compared to $0.5 million in the first quarter of 2009. Our effective tax rate was 34.7% in the first quarter of 2010 compared to 39.1% in the first quarter of 2009. The decrease in our effective tax rate is due primarily to higher pre-tax income in the first quarter of 2010 compared to the first quarter of 2009 which enables interest expense related to tax contingencies to be absorbed more efficiently. In addition, quarterly interest expense related to tax contingencies decreased as a result of the settlement of our Dutch tax audit for the years 2002 through 2006.</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Earnings per share for the year ending December 31, 2010 is expected to be between $1.20 and $1.35 as compared to the $1.05 per diluted share earned in the year ended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3"/>
          </w:tcPr>
          <w:p>
            <w:pPr>
              <w:ind w:left="200"/>
              <w:spacing w:after="0"/>
              <w:rPr>
                <w:sz w:val="20"/>
                <w:szCs w:val="20"/>
                <w:color w:val="auto"/>
              </w:rPr>
            </w:pPr>
            <w:r>
              <w:rPr>
                <w:rFonts w:ascii="Arial" w:cs="Arial" w:eastAsia="Arial" w:hAnsi="Arial"/>
                <w:sz w:val="14"/>
                <w:szCs w:val="14"/>
                <w:b w:val="1"/>
                <w:bCs w:val="1"/>
                <w:color w:val="auto"/>
              </w:rPr>
              <w:t>Increase/(Decrease)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71"/>
        </w:trPr>
        <w:tc>
          <w:tcPr>
            <w:tcW w:w="6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March 31, 2010</w:t>
            </w:r>
          </w:p>
        </w:tc>
        <w:tc>
          <w:tcPr>
            <w:tcW w:w="440" w:type="dxa"/>
            <w:vAlign w:val="bottom"/>
            <w:gridSpan w:val="2"/>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in cash</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March 31, 2009</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$ 4,933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  1,538</w:t>
            </w:r>
          </w:p>
        </w:tc>
        <w:tc>
          <w:tcPr>
            <w:tcW w:w="2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  3,395</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cash provided by (used for) investing activities</w:t>
            </w:r>
          </w:p>
        </w:tc>
        <w:tc>
          <w:tcPr>
            <w:tcW w:w="1320" w:type="dxa"/>
            <w:vAlign w:val="bottom"/>
            <w:gridSpan w:val="2"/>
          </w:tcPr>
          <w:p>
            <w:pPr>
              <w:jc w:val="right"/>
              <w:ind w:right="339"/>
              <w:spacing w:after="0"/>
              <w:rPr>
                <w:sz w:val="20"/>
                <w:szCs w:val="20"/>
                <w:color w:val="auto"/>
              </w:rPr>
            </w:pPr>
            <w:r>
              <w:rPr>
                <w:rFonts w:ascii="Arial" w:cs="Arial" w:eastAsia="Arial" w:hAnsi="Arial"/>
                <w:sz w:val="18"/>
                <w:szCs w:val="18"/>
                <w:color w:val="auto"/>
              </w:rPr>
              <w:t>47,586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02"/>
              <w:spacing w:after="0"/>
              <w:rPr>
                <w:sz w:val="20"/>
                <w:szCs w:val="20"/>
                <w:color w:val="auto"/>
              </w:rPr>
            </w:pPr>
            <w:r>
              <w:rPr>
                <w:rFonts w:ascii="Arial" w:cs="Arial" w:eastAsia="Arial" w:hAnsi="Arial"/>
                <w:sz w:val="18"/>
                <w:szCs w:val="18"/>
                <w:color w:val="auto"/>
              </w:rPr>
              <w:t>106,916</w:t>
            </w:r>
          </w:p>
        </w:tc>
        <w:tc>
          <w:tcPr>
            <w:tcW w:w="240" w:type="dxa"/>
            <w:vAlign w:val="bottom"/>
          </w:tcPr>
          <w:p>
            <w:pPr>
              <w:spacing w:after="0"/>
              <w:rPr>
                <w:sz w:val="18"/>
                <w:szCs w:val="18"/>
                <w:color w:val="auto"/>
              </w:rPr>
            </w:pPr>
          </w:p>
        </w:tc>
        <w:tc>
          <w:tcPr>
            <w:tcW w:w="1820" w:type="dxa"/>
            <w:vAlign w:val="bottom"/>
            <w:gridSpan w:val="3"/>
          </w:tcPr>
          <w:p>
            <w:pPr>
              <w:jc w:val="right"/>
              <w:ind w:right="268"/>
              <w:spacing w:after="0"/>
              <w:rPr>
                <w:sz w:val="20"/>
                <w:szCs w:val="20"/>
                <w:color w:val="auto"/>
              </w:rPr>
            </w:pPr>
            <w:r>
              <w:rPr>
                <w:rFonts w:ascii="Arial" w:cs="Arial" w:eastAsia="Arial" w:hAnsi="Arial"/>
                <w:sz w:val="18"/>
                <w:szCs w:val="18"/>
                <w:color w:val="auto"/>
              </w:rPr>
              <w:t>(59,330)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32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(1,104)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320" w:type="dxa"/>
            <w:vAlign w:val="bottom"/>
            <w:gridSpan w:val="2"/>
          </w:tcPr>
          <w:p>
            <w:pPr>
              <w:jc w:val="right"/>
              <w:ind w:right="279"/>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2"/>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20"/>
                <w:szCs w:val="20"/>
                <w:color w:val="auto"/>
              </w:rPr>
            </w:pPr>
          </w:p>
        </w:tc>
        <w:tc>
          <w:tcPr>
            <w:tcW w:w="1820" w:type="dxa"/>
            <w:vAlign w:val="bottom"/>
            <w:gridSpan w:val="3"/>
          </w:tcPr>
          <w:p>
            <w:pPr>
              <w:jc w:val="right"/>
              <w:ind w:right="268"/>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350"/>
        </w:trPr>
        <w:tc>
          <w:tcPr>
            <w:tcW w:w="622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4"/>
                <w:szCs w:val="24"/>
                <w:color w:val="auto"/>
              </w:rPr>
            </w:pPr>
          </w:p>
        </w:tc>
        <w:tc>
          <w:tcPr>
            <w:tcW w:w="1560" w:type="dxa"/>
            <w:vAlign w:val="bottom"/>
            <w:gridSpan w:val="3"/>
          </w:tcPr>
          <w:p>
            <w:pPr>
              <w:ind w:left="220"/>
              <w:spacing w:after="0"/>
              <w:rPr>
                <w:sz w:val="20"/>
                <w:szCs w:val="20"/>
                <w:color w:val="auto"/>
              </w:rPr>
            </w:pPr>
            <w:r>
              <w:rPr>
                <w:rFonts w:ascii="Arial" w:cs="Arial" w:eastAsia="Arial" w:hAnsi="Arial"/>
                <w:sz w:val="14"/>
                <w:szCs w:val="14"/>
                <w:b w:val="1"/>
                <w:bCs w:val="1"/>
                <w:color w:val="auto"/>
              </w:rPr>
              <w:t>March 31, 2010</w:t>
            </w:r>
          </w:p>
        </w:tc>
        <w:tc>
          <w:tcPr>
            <w:tcW w:w="300" w:type="dxa"/>
            <w:vAlign w:val="bottom"/>
          </w:tcPr>
          <w:p>
            <w:pPr>
              <w:spacing w:after="0"/>
              <w:rPr>
                <w:sz w:val="24"/>
                <w:szCs w:val="2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24"/>
                <w:szCs w:val="24"/>
                <w:color w:val="auto"/>
              </w:rPr>
            </w:pPr>
          </w:p>
        </w:tc>
        <w:tc>
          <w:tcPr>
            <w:tcW w:w="16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195"/>
        </w:trPr>
        <w:tc>
          <w:tcPr>
            <w:tcW w:w="6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jc w:val="right"/>
              <w:ind w:right="39"/>
              <w:spacing w:after="0" w:line="195" w:lineRule="exact"/>
              <w:rPr>
                <w:sz w:val="20"/>
                <w:szCs w:val="20"/>
                <w:color w:val="auto"/>
              </w:rPr>
            </w:pPr>
            <w:r>
              <w:rPr>
                <w:rFonts w:ascii="Arial" w:cs="Arial" w:eastAsia="Arial" w:hAnsi="Arial"/>
                <w:sz w:val="18"/>
                <w:szCs w:val="18"/>
                <w:color w:val="auto"/>
              </w:rPr>
              <w:t>$ 79,432</w:t>
            </w: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Borders>
              <w:top w:val="single" w:sz="8" w:color="auto"/>
            </w:tcBorders>
          </w:tcPr>
          <w:p>
            <w:pPr>
              <w:jc w:val="right"/>
              <w:ind w:right="202"/>
              <w:spacing w:after="0" w:line="195" w:lineRule="exact"/>
              <w:rPr>
                <w:sz w:val="20"/>
                <w:szCs w:val="20"/>
                <w:color w:val="auto"/>
              </w:rPr>
            </w:pPr>
            <w:r>
              <w:rPr>
                <w:rFonts w:ascii="Arial" w:cs="Arial" w:eastAsia="Arial" w:hAnsi="Arial"/>
                <w:sz w:val="18"/>
                <w:szCs w:val="18"/>
                <w:color w:val="auto"/>
              </w:rPr>
              <w:t>$50,416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top w:val="single" w:sz="8" w:color="auto"/>
            </w:tcBorders>
            <w:gridSpan w:val="2"/>
          </w:tcPr>
          <w:p>
            <w:pPr>
              <w:jc w:val="right"/>
              <w:ind w:right="428"/>
              <w:spacing w:after="0" w:line="195" w:lineRule="exact"/>
              <w:rPr>
                <w:sz w:val="20"/>
                <w:szCs w:val="20"/>
                <w:color w:val="auto"/>
              </w:rPr>
            </w:pPr>
            <w:r>
              <w:rPr>
                <w:rFonts w:ascii="Arial" w:cs="Arial" w:eastAsia="Arial" w:hAnsi="Arial"/>
                <w:sz w:val="18"/>
                <w:szCs w:val="18"/>
                <w:color w:val="auto"/>
              </w:rPr>
              <w:t>$ 29,016</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Working capital</w:t>
            </w:r>
          </w:p>
        </w:tc>
        <w:tc>
          <w:tcPr>
            <w:tcW w:w="1320" w:type="dxa"/>
            <w:vAlign w:val="bottom"/>
            <w:gridSpan w:val="2"/>
          </w:tcPr>
          <w:p>
            <w:pPr>
              <w:jc w:val="right"/>
              <w:ind w:right="39"/>
              <w:spacing w:after="0"/>
              <w:rPr>
                <w:sz w:val="20"/>
                <w:szCs w:val="20"/>
                <w:color w:val="auto"/>
              </w:rPr>
            </w:pPr>
            <w:r>
              <w:rPr>
                <w:rFonts w:ascii="Arial" w:cs="Arial" w:eastAsia="Arial" w:hAnsi="Arial"/>
                <w:sz w:val="18"/>
                <w:szCs w:val="18"/>
                <w:color w:val="auto"/>
              </w:rPr>
              <w:t>127,498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2"/>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20"/>
                <w:szCs w:val="20"/>
                <w:color w:val="auto"/>
              </w:rPr>
            </w:pPr>
          </w:p>
        </w:tc>
        <w:tc>
          <w:tcPr>
            <w:tcW w:w="1820" w:type="dxa"/>
            <w:vAlign w:val="bottom"/>
            <w:gridSpan w:val="3"/>
          </w:tcPr>
          <w:p>
            <w:pPr>
              <w:jc w:val="right"/>
              <w:ind w:right="428"/>
              <w:spacing w:after="0"/>
              <w:rPr>
                <w:sz w:val="20"/>
                <w:szCs w:val="20"/>
                <w:color w:val="auto"/>
              </w:rPr>
            </w:pPr>
            <w:r>
              <w:rPr>
                <w:rFonts w:ascii="Arial" w:cs="Arial" w:eastAsia="Arial" w:hAnsi="Arial"/>
                <w:sz w:val="18"/>
                <w:szCs w:val="18"/>
                <w:color w:val="auto"/>
              </w:rPr>
              <w:t>127,086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increased by $1.5 million from $3.4 million during the first three months of 2009 to $4.9 million during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of 2010. The increase in net cash provided by operating activities was due to the increase in net income from $0.8 million for the first quarter of 2009 to $1.8 million for the first quarter of 2010. Total working capital requirements were relatively consistent for the three months ended March 31, 2010 and 2009. Cash inflow relating to accounts receivable increased from $3.8 million for the quarter ending March 31, 2009 to $7.0 million for the quarter ending March 31, 2010. This is a direct function of lower sales as days-sales-outstanding remained consistent. Partially offsetting the decrease in accounts receivable was an increase in inventory levels of $2.3 million in an effort to support higher projected sales for 2010.</w:t>
      </w:r>
    </w:p>
    <w:p>
      <w:pPr>
        <w:spacing w:after="0" w:line="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 xml:space="preserve">Net cash provided by (used for) investing activities </w:t>
      </w:r>
      <w:r>
        <w:rPr>
          <w:rFonts w:ascii="Arial" w:cs="Arial" w:eastAsia="Arial" w:hAnsi="Arial"/>
          <w:sz w:val="17"/>
          <w:szCs w:val="17"/>
          <w:color w:val="auto"/>
        </w:rPr>
        <w:t>increased by $106.9 million from cash outflows of $59.3 million during the first three months of 2009 to</w:t>
      </w:r>
      <w:r>
        <w:rPr>
          <w:rFonts w:ascii="Arial" w:cs="Arial" w:eastAsia="Arial" w:hAnsi="Arial"/>
          <w:sz w:val="17"/>
          <w:szCs w:val="17"/>
          <w:i w:val="1"/>
          <w:iCs w:val="1"/>
          <w:color w:val="auto"/>
        </w:rPr>
        <w:t xml:space="preserve"> </w:t>
      </w:r>
      <w:r>
        <w:rPr>
          <w:rFonts w:ascii="Arial" w:cs="Arial" w:eastAsia="Arial" w:hAnsi="Arial"/>
          <w:sz w:val="17"/>
          <w:szCs w:val="17"/>
          <w:color w:val="auto"/>
        </w:rPr>
        <w:t>cash inflows of $47.6 million during the first three months of 2010. The increase in cash provided by (used for) investing activities was primarily due to the maturity of our term deposit resulting in cash inflows of $49.2 million during the first three months of 2010, compared with cash outflows to purchase a term deposit of $48.9 million during the first three months of 2009. In addition, the acquisition of intangible assets and goodwill from Zilog, Inc. during the first three months of 2009 resulted in cash outflows of $9.5 million compared to $0 during the first three months of 2010. Refer to Note 17 for further discussion about our purchase of assets from Zilog, Inc. These relative increases in cash inflows from investing activities were partially offset by an increase in cash utilized to purchase equipment, furniture and fixtures, which resulted in cash outflows of $1.2 million during the first three months of 2010, greater than the cash outflows of $0.7 million recorded during the first three months of 2009.</w:t>
      </w:r>
    </w:p>
    <w:p>
      <w:pPr>
        <w:spacing w:after="0" w:line="7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decreased by $0.3 million from cash outflows of $1.4 million during the first three months of 2009 to cash outflows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$1.1 million during the first three months of 2010. We repurchased fewer shares of our common stock during the first three months of 2010 compared to the first three months of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first three months of 2010 we repurchased 58,250 shares of our common stock for $1.3 million compared to our repurchase of 105,311 shares of our common stock for $1.6 million during the first three months of 2009.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6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March 31, 2010, we have purchased 25,684 shares of our common stock, leaving 974,316 shares available for purchase under this authorization.</w:t>
      </w:r>
    </w:p>
    <w:p>
      <w:pPr>
        <w:spacing w:after="0" w:line="6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March 31, 2010 we had no debt; however, we cannot make any assurances that we will not need to borrow amounts under this Credit Facility.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March 31, 2010, our contractual obligations were $41.3 million compared to $44.2 million reported in our Annual Report on Form 10-K as of December 31, 2009. The following table summarizes our contractual obligations at March 31, 2010 and the effect these obligations are expected to have on our liquidity and cash flow in future periods.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1-3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4-5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Operating lease obligations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4,369</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2,065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2,063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36,978</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16,000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41,347</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18,063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16,241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Purchase obligations include contractual payments to purchase minimum quantities of inventory under vendor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utilized cash provided from operations as our primary source of liquidity, since internally generated cash flows have been sufficient to support our business operations, capital expenditures and discretionary share repurchases. We are able to supplement this near term liquidity, if necessary, with our Credit Facility, as discussed below.</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working capital needs have typically been greatest during the third and fourth quarters when accounts receivable and inventories increase in connection with the fourth quarter holiday selling season. At March 31, 2010, we had $127.5 million of working capital compared to $127.1 million at December 31, 2009.</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cash balances are held in numerous locations throughout the world, including substantial amounts held outside of the United States. Most of the amounts held outside of the United States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borrowings, or both. We utilize a variety of tax planning strategies in an effort to ensure that our worldwide cash is available in the locations in which it is needed.</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March 31, 2010, we had approximately $12.0 million, $10.6 million, $56.3 million and $0.5 million of cash and cash equivalents in the United States, Europe, Asia and Cayman Islands, respectively. We attempt to mitigate our exposure to interest rate, liquidity, credit and other relevant risks by placing our cash, cash equivalents, and term deposit with financial institutions we believe are high quality.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our Credit Facility, see “ITEM 3. QUANTITATIVE AND QUALITATIVE DISCLOSURES ABOUT MARKET RISK.”</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the cash generated from our operations and funds from our Credit Facility will be sufficient to support our current business operations as well as anticipated growth at least over the next twelve months; however, there can be no assurance that such funds will be adequate for that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contractual obligations disclosed above, 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2009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following:</w:t>
      </w:r>
    </w:p>
    <w:p>
      <w:pPr>
        <w:spacing w:after="0" w:line="62"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failure of our markets or customers to continue growing and expanding in the manner we anticipated;</w:t>
      </w:r>
    </w:p>
    <w:p>
      <w:pPr>
        <w:spacing w:after="0" w:line="117"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effects of natural or other events beyond our control, including the effects a war or terrorist activities may have on us, the economy or our customers;</w:t>
      </w:r>
    </w:p>
    <w:p>
      <w:pPr>
        <w:spacing w:after="0" w:line="62" w:lineRule="exact"/>
        <w:rPr>
          <w:rFonts w:ascii="Arial" w:cs="Arial" w:eastAsia="Arial" w:hAnsi="Arial"/>
          <w:sz w:val="18"/>
          <w:szCs w:val="18"/>
          <w:b w:val="1"/>
          <w:bCs w:val="1"/>
          <w:color w:val="auto"/>
        </w:rPr>
      </w:pPr>
    </w:p>
    <w:p>
      <w:pPr>
        <w:ind w:left="660" w:right="160" w:hanging="436"/>
        <w:spacing w:after="0" w:line="264"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growth of, acceptance of and the demand for our products and technologies in various markets and geographical regions, including cable, satellite, consumer electronics, retail, digital media/technology, CEDIA, interactive TV, and cellular industries not materializing or growing as we believed;</w:t>
      </w:r>
    </w:p>
    <w:p>
      <w:pPr>
        <w:spacing w:after="0" w:line="73"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inability to obtain orders or maintain our order volume with new and existing customers;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inability to add profitable complementary products which are accepted by the marketplace;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inability to continue selling our products or licensing our technologies at higher or profitable margins;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inability to continue to maintain our operating costs at acceptable levels through our cost containment efforts;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possible dilutive effect our stock incentive programs may have on our earnings per share and stock price;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our inability to continue to obtain adequate quantities of component parts or secure adequate factory production capacity on a timely basis;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inability to successfully integrate any strategic business transaction;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other factors listed from time to time in our press releases and filings with the Securities and Exchange Commission.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2010, we entered into a new $15 million unsecured revolving credit line with U.S. Bank (“Credit Facility”), expiring on October 31, 2011. Amounts available for borrowing under the Credit Facility are reduced by the balance of any outstanding import letters of credit and are subject to certain quarterly financial covenants related to our cash flow, fixed charges, quick ratio, and net income. Under the Credit Facility, we may elect to pay interest based on the bank’s prime rate or LIBOR plus a fixed margin of 1.8%. The applicable LIBOR (1, 3, 6, or 12-month LIBOR) corresponds with the loan period we select. At March 31, 2010, the 12-month LIBOR plus the fixed margin was 2.7%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March 31, 2010 we had no debt; however, we cannot make any assurances that we will not need to borrow amounts under this Credit Facility. If this or any other facility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At March 31, 2010, we had wholly-owned subsidiaries in Argentina, Cayman Islands, China, France, Germany, Hong Kong, India, Italy, the Netherlands,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the three months ended March 31, 2010 were the Euro and the British Pound.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analyses cover all of our foreign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currency contracts offset by the underlying exposures. Based on our overall foreign currency rate exposure at March 31, 2010, we believe that movements in foreign currency rates may have a material affect on our financial position. We estimate that if the exchange rates for the Euro and the British Pound relative to the U.S. dollar fluctuate 10% from March 31, 2010, net income and cash flows in the second quarter of 2010 would fluctuate by approximately $0.5 million and $6.9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information set forth above under Note 9 — Commitments and Contingencies — Litigation contained in the “Notes to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11 through 19 of the Company’s 2009 Annual Report on Form 10-K incorporated herein by reference. These factors may cause our actual results to differ materially from those stated in forward-looking statements contained in this document and elsewhere.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2010, we did not sell any equity securities that were not registered under the Securities Act of 1933.</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February 11, 2010, our Board of Directors authorized management to continue repurchasing up to an additional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March 31, 2010, we have purchased 25,684 shares of our common stock, leaving 974,316 shares available for purchase under this authorization. Repurchase information for the first quarter of 2010 is set forth by month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Average</w:t>
            </w: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January 1, 2010 — January 31, 2010</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6,394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23.64</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February 1, 2010 — February 28, 2010</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34,493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22.80</w:t>
            </w:r>
          </w:p>
        </w:tc>
        <w:tc>
          <w:tcPr>
            <w:tcW w:w="280" w:type="dxa"/>
            <w:vAlign w:val="bottom"/>
          </w:tcPr>
          <w:p>
            <w:pPr>
              <w:spacing w:after="0"/>
              <w:rPr>
                <w:sz w:val="18"/>
                <w:szCs w:val="18"/>
                <w:color w:val="auto"/>
              </w:rPr>
            </w:pPr>
          </w:p>
        </w:tc>
        <w:tc>
          <w:tcPr>
            <w:tcW w:w="15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March 1, 2010 — March 31, 2010</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17,363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22.41</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First Quarter 2010</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58,250</w:t>
            </w:r>
          </w:p>
        </w:tc>
        <w:tc>
          <w:tcPr>
            <w:tcW w:w="30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22.78</w:t>
            </w:r>
          </w:p>
        </w:tc>
        <w:tc>
          <w:tcPr>
            <w:tcW w:w="280" w:type="dxa"/>
            <w:vAlign w:val="bottom"/>
          </w:tcPr>
          <w:p>
            <w:pPr>
              <w:spacing w:after="0"/>
              <w:rPr>
                <w:sz w:val="19"/>
                <w:szCs w:val="19"/>
                <w:color w:val="auto"/>
              </w:rPr>
            </w:pPr>
          </w:p>
        </w:tc>
        <w:tc>
          <w:tcPr>
            <w:tcW w:w="12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20" w:type="dxa"/>
            <w:vAlign w:val="bottom"/>
            <w:gridSpan w:val="2"/>
          </w:tcPr>
          <w:p>
            <w:pPr>
              <w:jc w:val="right"/>
              <w:ind w:right="401"/>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Rule 13a-14(a) Certifications of Paul D. Arling, Chief Executive Officer (principal executive officer) of Universal Electronics Inc.</w:t>
      </w:r>
    </w:p>
    <w:p>
      <w:pPr>
        <w:spacing w:after="0" w:line="131" w:lineRule="exact"/>
        <w:rPr>
          <w:sz w:val="20"/>
          <w:szCs w:val="20"/>
          <w:color w:val="auto"/>
        </w:rPr>
      </w:pPr>
    </w:p>
    <w:p>
      <w:pPr>
        <w:ind w:left="460" w:hanging="445"/>
        <w:spacing w:after="0" w:line="277" w:lineRule="auto"/>
        <w:rPr>
          <w:sz w:val="20"/>
          <w:szCs w:val="20"/>
          <w:color w:val="auto"/>
        </w:rPr>
      </w:pPr>
      <w:r>
        <w:rPr>
          <w:rFonts w:ascii="Arial" w:cs="Arial" w:eastAsia="Arial" w:hAnsi="Arial"/>
          <w:sz w:val="18"/>
          <w:szCs w:val="18"/>
          <w:color w:val="auto"/>
        </w:rPr>
        <w:t>31.2 Rule 13a-14(a) Certifications of Bryan M. Hackworth, Chief Financial Officer (principal financial officer and principal accounting officer) of Universal Electronics Inc.</w:t>
      </w:r>
    </w:p>
    <w:p>
      <w:pPr>
        <w:spacing w:after="0" w:line="76" w:lineRule="exact"/>
        <w:rPr>
          <w:sz w:val="20"/>
          <w:szCs w:val="20"/>
          <w:color w:val="auto"/>
        </w:rPr>
      </w:pPr>
    </w:p>
    <w:p>
      <w:pPr>
        <w:ind w:left="460" w:right="3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May 7, 2010</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(principal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560" w:type="dxa"/>
            <w:vAlign w:val="bottom"/>
          </w:tcPr>
          <w:p>
            <w:pPr>
              <w:spacing w:after="0"/>
              <w:rPr>
                <w:sz w:val="24"/>
                <w:szCs w:val="24"/>
                <w:color w:val="auto"/>
              </w:rPr>
            </w:pPr>
          </w:p>
        </w:tc>
        <w:tc>
          <w:tcPr>
            <w:tcW w:w="986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8"/>
              </w:rPr>
              <w:t>Rule 13a-14(a) Certifications of Paul D. Arling, Chief Executive Officer (principal executive officer) of Universal Electronics Inc.</w:t>
            </w:r>
          </w:p>
        </w:tc>
      </w:tr>
      <w:tr>
        <w:trPr>
          <w:trHeight w:val="404"/>
        </w:trPr>
        <w:tc>
          <w:tcPr>
            <w:tcW w:w="10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60" w:type="dxa"/>
            <w:vAlign w:val="bottom"/>
          </w:tcPr>
          <w:p>
            <w:pPr>
              <w:spacing w:after="0"/>
              <w:rPr>
                <w:sz w:val="24"/>
                <w:szCs w:val="24"/>
                <w:color w:val="auto"/>
              </w:rPr>
            </w:pPr>
          </w:p>
        </w:tc>
        <w:tc>
          <w:tcPr>
            <w:tcW w:w="9860" w:type="dxa"/>
            <w:vAlign w:val="bottom"/>
          </w:tcPr>
          <w:p>
            <w:pPr>
              <w:spacing w:after="0"/>
              <w:rPr>
                <w:sz w:val="20"/>
                <w:szCs w:val="20"/>
                <w:color w:val="auto"/>
              </w:rPr>
            </w:pPr>
            <w:r>
              <w:rPr>
                <w:rFonts w:ascii="Arial" w:cs="Arial" w:eastAsia="Arial" w:hAnsi="Arial"/>
                <w:sz w:val="18"/>
                <w:szCs w:val="18"/>
                <w:color w:val="auto"/>
                <w:w w:val="97"/>
              </w:rPr>
              <w:t>Rule 13a-14(a) Certifications of Bryan M. Hackworth, Chief Financial Officer (principal financial officer and principal accounting</w:t>
            </w:r>
          </w:p>
        </w:tc>
      </w:tr>
      <w:tr>
        <w:trPr>
          <w:trHeight w:val="230"/>
        </w:trPr>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officer) of Universal Electronics Inc.</w:t>
            </w:r>
          </w:p>
        </w:tc>
      </w:tr>
    </w:tbl>
    <w:p>
      <w:pPr>
        <w:spacing w:after="0" w:line="202" w:lineRule="exact"/>
        <w:rPr>
          <w:sz w:val="20"/>
          <w:szCs w:val="20"/>
          <w:color w:val="auto"/>
        </w:rPr>
      </w:pPr>
    </w:p>
    <w:p>
      <w:pPr>
        <w:ind w:left="1560" w:right="100" w:hanging="1084"/>
        <w:spacing w:after="0" w:line="264" w:lineRule="auto"/>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1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240" w:right="60" w:firstLine="221"/>
        <w:spacing w:after="0" w:line="277" w:lineRule="auto"/>
        <w:tabs>
          <w:tab w:leader="none" w:pos="6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2010</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80" w:firstLine="221"/>
        <w:spacing w:after="0" w:line="264"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0" w:firstLine="221"/>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firstLine="221"/>
        <w:spacing w:after="0" w:line="308" w:lineRule="auto"/>
        <w:tabs>
          <w:tab w:leader="none" w:pos="65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240" w:right="160" w:firstLine="221"/>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240" w:right="60" w:firstLine="221"/>
        <w:spacing w:after="0" w:line="277" w:lineRule="auto"/>
        <w:tabs>
          <w:tab w:leader="none" w:pos="6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00" w:firstLine="221"/>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2010</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2010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Dated: May 7,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Paul D. Arling</w:t>
            </w:r>
          </w:p>
        </w:tc>
      </w:tr>
      <w:tr>
        <w:trPr>
          <w:trHeight w:val="224"/>
        </w:trPr>
        <w:tc>
          <w:tcPr>
            <w:tcW w:w="34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850"/>
        </w:trPr>
        <w:tc>
          <w:tcPr>
            <w:tcW w:w="3400" w:type="dxa"/>
            <w:vAlign w:val="bottom"/>
          </w:tcPr>
          <w:p>
            <w:pPr>
              <w:spacing w:after="0"/>
              <w:rPr>
                <w:sz w:val="24"/>
                <w:szCs w:val="24"/>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Bryan M. Hackworth</w:t>
            </w:r>
          </w:p>
        </w:tc>
      </w:tr>
      <w:tr>
        <w:trPr>
          <w:trHeight w:val="224"/>
        </w:trPr>
        <w:tc>
          <w:tcPr>
            <w:tcW w:w="34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32"/>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2019-12-10T03:45:12Z</dcterms:created>
  <dcterms:modified xsi:type="dcterms:W3CDTF">2019-12-10T03:45:12Z</dcterms:modified>
</cp:coreProperties>
</file>