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June 30, 2022</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12,653,899 shares of Common Stock, par value $0.01 per share, of the registrant were outstanding on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8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9"/>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FINANCIAL INFORMATION</w:t>
              </w:r>
            </w:hyperlink>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Consolidated Financial Statements (Unaudited)</w:t>
              </w:r>
            </w:hyperlink>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w:t>
              </w:r>
            </w:hyperlink>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Comprehensive Income (Loss) Statements</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Stockholders' Equity</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8"/>
          </w:tcPr>
          <w:p>
            <w:pPr>
              <w:spacing w:after="0"/>
              <w:rPr>
                <w:rFonts w:ascii="Arial" w:cs="Arial" w:eastAsia="Arial" w:hAnsi="Arial"/>
                <w:sz w:val="18"/>
                <w:szCs w:val="18"/>
                <w:color w:val="0000FF"/>
                <w:w w:val="86"/>
              </w:rPr>
            </w:pPr>
            <w:hyperlink w:anchor="page7">
              <w:r>
                <w:rPr>
                  <w:rFonts w:ascii="Arial" w:cs="Arial" w:eastAsia="Arial" w:hAnsi="Arial"/>
                  <w:sz w:val="18"/>
                  <w:szCs w:val="18"/>
                  <w:color w:val="0000FF"/>
                  <w:w w:val="86"/>
                </w:rPr>
                <w:t>Consolidated Statements of Cash Flows</w:t>
              </w:r>
            </w:hyperlink>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2. Management's Discussion and Analysis of Financial Condition and Results of Operations</w:t>
              </w:r>
            </w:hyperlink>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3. Quantitative and Qualitative Disclosures About Market Risk</w:t>
              </w:r>
            </w:hyperlink>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 Controls and Procedures</w:t>
              </w:r>
            </w:hyperlink>
          </w:p>
        </w:tc>
        <w:tc>
          <w:tcPr>
            <w:tcW w:w="214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Item 1. Legal Proceedings</w:t>
              </w:r>
            </w:hyperlink>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Item 1A. Risk Factors</w:t>
              </w:r>
            </w:hyperlink>
          </w:p>
        </w:tc>
        <w:tc>
          <w:tcPr>
            <w:tcW w:w="7040" w:type="dxa"/>
            <w:vAlign w:val="bottom"/>
            <w:gridSpan w:val="1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 Unregistered Sales of Equity Securities and Use of Proceeds</w:t>
              </w:r>
            </w:hyperlink>
          </w:p>
        </w:tc>
        <w:tc>
          <w:tcPr>
            <w:tcW w:w="214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0000FF"/>
            </w:tcBorders>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6. Exhibits</w:t>
              </w:r>
            </w:hyperlink>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748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202"/>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Term deposit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129,215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Contract assets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receivable</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348,525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337,146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49,044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48,463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19,847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516,144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84,054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92,707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Line of credit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21,608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24,217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30,840</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233,438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216,787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Operating lease obligations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13,078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14,266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251,030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234,399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24,861,624 and 24,678,942 shares issued on</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June 30, 2022 and December 31, 2021, respectively</w:t>
            </w:r>
          </w:p>
        </w:tc>
        <w:tc>
          <w:tcPr>
            <w:tcW w:w="3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314,094</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7"/>
              </w:rPr>
              <w:t>Treasury stock, at cost, 12,215,756 and 11,861,198 shares on June 30, 2022 and December 31, 2021,</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(366,370)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(355,159)</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330,291</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516,144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510,348</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139,101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150,491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301,033</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99,730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105,829</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209,972</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91,061</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8,637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7,676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15,618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5,497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9,021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17,632</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17,403</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computing 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13,672</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12,715</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13,926</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2,988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12,586</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(7,313)</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4,043</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r>
      <w:tr>
        <w:trPr>
          <w:trHeight w:val="212"/>
        </w:trPr>
        <w:tc>
          <w:tcPr>
            <w:tcW w:w="43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(4,325)</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9,636</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13,761</w:t>
            </w:r>
          </w:p>
        </w:tc>
      </w:tr>
      <w:tr>
        <w:trPr>
          <w:trHeight w:val="21"/>
        </w:trPr>
        <w:tc>
          <w:tcPr>
            <w:tcW w:w="4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six months ended June 30,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41"/>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24,679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(355,159)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330,291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24,831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(362,513)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316,916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327,381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270,357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(7,313)</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3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24,862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(366,370)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319,854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330,369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265,114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six months ended June 30, 2021: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41"/>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24,392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(295,495)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324,990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6,993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166"/>
        </w:trPr>
        <w:tc>
          <w:tcPr>
            <w:tcW w:w="360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Arial" w:cs="Arial" w:eastAsia="Arial" w:hAnsi="Arial"/>
                <w:sz w:val="16"/>
                <w:szCs w:val="16"/>
                <w:color w:val="auto"/>
              </w:rPr>
              <w:t>Balance at March 31, 2021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(306,446)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306,226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331,983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310,619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4,043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169"/>
        </w:trPr>
        <w:tc>
          <w:tcPr>
            <w:tcW w:w="36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(15,733)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Balance at June 30, 2021</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24,604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(322,179)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309,072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337,576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307,368</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12,586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13,128</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1,637</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5,044</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Performance-based common stock warrants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(1,076)</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(7,338)</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Accrued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(2,837)</w:t>
            </w:r>
          </w:p>
        </w:tc>
      </w:tr>
      <w:tr>
        <w:trPr>
          <w:trHeight w:val="207"/>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operating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16,484</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Term deposit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net assets of Qterics, Inc.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(6,206)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investing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(8,113)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Borrowings under line of credit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line of credit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stock options exercised</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purchased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(26,684)</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financing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10,537</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57,153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67,690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2022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coronavirus ("COVID-19") pandemic and the efforts to contain it has made estimates more difficult and subjective. Accordingly, actual results could differ from those estimates, and such differences could be material to the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following policy, our significant accounting policies are unchanged from those disclosed in Note 2 to the consolidated financial statements included in our Annual Report on Form 10-K for the year ended December 31, 2021</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primarily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Term Deposit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Our term deposit has an initial maturity of one year.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different geographic regions. As part of our cash and risk management processes, we perform periodic evaluations of the relative credit standing of our financial institutions. We have not sustained credit losses from instruments held at financial institutions.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guidance requires an entity to recognize and measure contract assets and contract liabilities acquired in a business combination in accordance with Topic 606, "Revenue from Contracts with Customers". At the acquisition date, the acquirer applies the revenue recognition model as if it had originated the acquired contracts. Our adoption of this guidance on January 1, 2022 did not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Term Deposit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17,604</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r>
      <w:tr>
        <w:trPr>
          <w:trHeight w:val="21"/>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we entered into a one-year term deposit cash account with Banco Santander (Brasil) S.A., denominated in Brazilian Real. The term deposit earns interest at a variable annual rate based upon the Brazilian CDI overnight interbank rate. At June 30, 2022, the balance of the term deposit was $7.8 million. The term deposit is accounted for at fair value on a recurring basis using level one inputs.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and Accounts Receivable,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pattern of revenue recognition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6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242,391</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7"/>
              </w:rPr>
              <w:t>20,746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58,642</w:t>
            </w: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301,033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101,614</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31,608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67,386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65,824</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23,489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41,908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47,829</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15,087</w:t>
            </w: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139,101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150,491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271,511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301,033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432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tcBorders>
              <w:bottom w:val="single" w:sz="8" w:color="auto"/>
            </w:tcBorders>
          </w:tcPr>
          <w:p>
            <w:pPr>
              <w:spacing w:after="0"/>
              <w:rPr>
                <w:sz w:val="16"/>
                <w:szCs w:val="16"/>
                <w:color w:val="auto"/>
              </w:rPr>
            </w:pPr>
          </w:p>
        </w:tc>
      </w:tr>
      <w:tr>
        <w:trPr>
          <w:trHeight w:val="187"/>
        </w:trPr>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4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2021</w:t>
            </w:r>
          </w:p>
        </w:tc>
      </w:tr>
      <w:tr>
        <w:trPr>
          <w:trHeight w:val="181"/>
        </w:trPr>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 (thousands)</w:t>
            </w:r>
          </w:p>
        </w:tc>
        <w:tc>
          <w:tcPr>
            <w:tcW w:w="1880" w:type="dxa"/>
            <w:vAlign w:val="bottom"/>
          </w:tcPr>
          <w:p>
            <w:pPr>
              <w:jc w:val="right"/>
              <w:ind w:right="228"/>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Pr>
          <w:p>
            <w:pPr>
              <w:spacing w:after="0"/>
              <w:rPr>
                <w:sz w:val="15"/>
                <w:szCs w:val="15"/>
                <w:color w:val="auto"/>
              </w:rPr>
            </w:pPr>
          </w:p>
        </w:tc>
        <w:tc>
          <w:tcPr>
            <w:tcW w:w="1340" w:type="dxa"/>
            <w:vAlign w:val="bottom"/>
          </w:tcPr>
          <w:p>
            <w:pPr>
              <w:ind w:left="260"/>
              <w:spacing w:after="0"/>
              <w:rPr>
                <w:sz w:val="20"/>
                <w:szCs w:val="20"/>
                <w:color w:val="auto"/>
              </w:rPr>
            </w:pPr>
            <w:r>
              <w:rPr>
                <w:rFonts w:ascii="Arial" w:cs="Arial" w:eastAsia="Arial" w:hAnsi="Arial"/>
                <w:sz w:val="14"/>
                <w:szCs w:val="14"/>
                <w:b w:val="1"/>
                <w:bCs w:val="1"/>
                <w:color w:val="auto"/>
              </w:rPr>
              <w:t>$ (thousands)</w:t>
            </w:r>
          </w:p>
        </w:tc>
        <w:tc>
          <w:tcPr>
            <w:tcW w:w="2120" w:type="dxa"/>
            <w:vAlign w:val="bottom"/>
          </w:tcPr>
          <w:p>
            <w:pPr>
              <w:jc w:val="right"/>
              <w:ind w:right="528"/>
              <w:spacing w:after="0"/>
              <w:rPr>
                <w:sz w:val="20"/>
                <w:szCs w:val="20"/>
                <w:color w:val="auto"/>
              </w:rPr>
            </w:pPr>
            <w:r>
              <w:rPr>
                <w:rFonts w:ascii="Arial" w:cs="Arial" w:eastAsia="Arial" w:hAnsi="Arial"/>
                <w:sz w:val="14"/>
                <w:szCs w:val="14"/>
                <w:b w:val="1"/>
                <w:bCs w:val="1"/>
                <w:color w:val="auto"/>
              </w:rPr>
              <w:t>% of Net Sales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3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24,699</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20,875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15.0 %</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16,448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10.9 %</w:t>
            </w:r>
          </w:p>
        </w:tc>
        <w:tc>
          <w:tcPr>
            <w:tcW w:w="320" w:type="dxa"/>
            <w:vAlign w:val="bottom"/>
          </w:tcPr>
          <w:p>
            <w:pPr>
              <w:spacing w:after="0"/>
              <w:rPr>
                <w:sz w:val="20"/>
                <w:szCs w:val="20"/>
                <w:color w:val="auto"/>
              </w:rPr>
            </w:pPr>
          </w:p>
        </w:tc>
      </w:tr>
      <w:tr>
        <w:trPr>
          <w:trHeight w:val="533"/>
        </w:trPr>
        <w:tc>
          <w:tcPr>
            <w:tcW w:w="4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187"/>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2021</w:t>
            </w:r>
          </w:p>
        </w:tc>
        <w:tc>
          <w:tcPr>
            <w:tcW w:w="1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83"/>
        </w:trPr>
        <w:tc>
          <w:tcPr>
            <w:tcW w:w="4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9"/>
              </w:rPr>
              <w:t>(thousands)</w:t>
            </w:r>
          </w:p>
        </w:tc>
        <w:tc>
          <w:tcPr>
            <w:tcW w:w="1300" w:type="dxa"/>
            <w:vAlign w:val="bottom"/>
          </w:tcPr>
          <w:p>
            <w:pPr>
              <w:jc w:val="right"/>
              <w:ind w:right="216"/>
              <w:spacing w:after="0"/>
              <w:rPr>
                <w:sz w:val="20"/>
                <w:szCs w:val="20"/>
                <w:color w:val="auto"/>
              </w:rPr>
            </w:pPr>
            <w:r>
              <w:rPr>
                <w:rFonts w:ascii="Arial" w:cs="Arial" w:eastAsia="Arial" w:hAnsi="Arial"/>
                <w:sz w:val="14"/>
                <w:szCs w:val="14"/>
                <w:b w:val="1"/>
                <w:bCs w:val="1"/>
                <w:color w:val="auto"/>
              </w:rPr>
              <w:t>% of Net Sales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 of Net Sales</w:t>
            </w: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38,016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14.0 %</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33,885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11.3 %</w:t>
            </w:r>
          </w:p>
        </w:tc>
        <w:tc>
          <w:tcPr>
            <w:tcW w:w="320" w:type="dxa"/>
            <w:vAlign w:val="bottom"/>
          </w:tcPr>
          <w:p>
            <w:pPr>
              <w:spacing w:after="0"/>
              <w:rPr>
                <w:sz w:val="20"/>
                <w:szCs w:val="20"/>
                <w:color w:val="auto"/>
              </w:rPr>
            </w:pPr>
          </w:p>
        </w:tc>
      </w:tr>
      <w:tr>
        <w:trPr>
          <w:trHeight w:val="566"/>
        </w:trPr>
        <w:tc>
          <w:tcPr>
            <w:tcW w:w="432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4320" w:type="dxa"/>
            <w:vAlign w:val="bottom"/>
          </w:tcPr>
          <w:p>
            <w:pPr>
              <w:spacing w:after="0"/>
              <w:rPr>
                <w:sz w:val="20"/>
                <w:szCs w:val="20"/>
                <w:color w:val="auto"/>
              </w:rPr>
            </w:pPr>
            <w:r>
              <w:rPr>
                <w:rFonts w:ascii="Arial" w:cs="Arial" w:eastAsia="Arial" w:hAnsi="Arial"/>
                <w:sz w:val="18"/>
                <w:szCs w:val="18"/>
                <w:color w:val="auto"/>
              </w:rPr>
              <w:t>Accounts receivable, net were as follows: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4"/>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 2021</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128,148</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122,508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(1,285)</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126,578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120,631</w:t>
            </w: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8,584</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131,941</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129,215</w:t>
            </w:r>
          </w:p>
        </w:tc>
      </w:tr>
      <w:tr>
        <w:trPr>
          <w:trHeight w:val="20"/>
        </w:trPr>
        <w:tc>
          <w:tcPr>
            <w:tcW w:w="4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Other accounts receivable is primarily comprised of value added tax and supplier rebate receivables.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3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ectPr>
          <w:pgSz w:w="11900" w:h="16838" w:orient="portrait"/>
          <w:cols w:equalWidth="0" w:num="1">
            <w:col w:w="11240"/>
          </w:cols>
          <w:pgMar w:left="320" w:top="118"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credit losses were as follows: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(reductions)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Write-offs/Foreign exchange effects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05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29"/>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4"/>
          </w:tcPr>
          <w:p>
            <w:pPr>
              <w:ind w:left="78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3280" w:type="dxa"/>
            <w:vAlign w:val="bottom"/>
            <w:gridSpan w:val="4"/>
          </w:tcPr>
          <w:p>
            <w:pPr>
              <w:jc w:val="right"/>
              <w:ind w:right="1242"/>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4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right"/>
              <w:ind w:right="522"/>
              <w:spacing w:after="0"/>
              <w:rPr>
                <w:sz w:val="20"/>
                <w:szCs w:val="20"/>
                <w:color w:val="auto"/>
              </w:rPr>
            </w:pPr>
            <w:r>
              <w:rPr>
                <w:rFonts w:ascii="Arial" w:cs="Arial" w:eastAsia="Arial" w:hAnsi="Arial"/>
                <w:sz w:val="14"/>
                <w:szCs w:val="14"/>
                <w:b w:val="1"/>
                <w:bCs w:val="1"/>
                <w:color w:val="auto"/>
                <w:w w:val="95"/>
              </w:rPr>
              <w:t>$ (thousands)</w:t>
            </w:r>
          </w:p>
        </w:tc>
        <w:tc>
          <w:tcPr>
            <w:tcW w:w="1460" w:type="dxa"/>
            <w:vAlign w:val="bottom"/>
            <w:tcBorders>
              <w:top w:val="single" w:sz="8" w:color="auto"/>
            </w:tcBorders>
          </w:tcPr>
          <w:p>
            <w:pPr>
              <w:jc w:val="right"/>
              <w:ind w:right="207"/>
              <w:spacing w:after="0" w:line="135" w:lineRule="exact"/>
              <w:rPr>
                <w:sz w:val="20"/>
                <w:szCs w:val="20"/>
                <w:color w:val="auto"/>
              </w:rPr>
            </w:pPr>
            <w:r>
              <w:rPr>
                <w:rFonts w:ascii="Arial" w:cs="Arial" w:eastAsia="Arial" w:hAnsi="Arial"/>
                <w:sz w:val="14"/>
                <w:szCs w:val="14"/>
                <w:b w:val="1"/>
                <w:bCs w:val="1"/>
                <w:color w:val="auto"/>
              </w:rPr>
              <w:t>% of Accounts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Receivable, Net</w:t>
            </w: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0" w:type="dxa"/>
            <w:vAlign w:val="bottom"/>
            <w:gridSpan w:val="2"/>
          </w:tcPr>
          <w:p>
            <w:pPr>
              <w:jc w:val="right"/>
              <w:ind w:right="542"/>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w w:val="81"/>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471"/>
        </w:trPr>
        <w:tc>
          <w:tcPr>
            <w:tcW w:w="440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13,202</w:t>
            </w:r>
          </w:p>
        </w:tc>
        <w:tc>
          <w:tcPr>
            <w:tcW w:w="3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2"/>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2"/>
                <w:szCs w:val="12"/>
                <w:color w:val="auto"/>
              </w:rPr>
              <w:t xml:space="preserve"> (1)</w:t>
            </w:r>
          </w:p>
        </w:tc>
        <w:tc>
          <w:tcPr>
            <w:tcW w:w="1800" w:type="dxa"/>
            <w:vAlign w:val="bottom"/>
            <w:gridSpan w:val="2"/>
          </w:tcPr>
          <w:p>
            <w:pPr>
              <w:jc w:val="right"/>
              <w:ind w:right="122"/>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520" w:hanging="188"/>
        <w:spacing w:after="0"/>
        <w:tabs>
          <w:tab w:leader="none" w:pos="5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52,617</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28,540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25,289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50,019</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134,469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Significant Suppliers</w:t>
            </w: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gridSpan w:val="7"/>
          </w:tcPr>
          <w:p>
            <w:pPr>
              <w:spacing w:after="0"/>
              <w:rPr>
                <w:sz w:val="20"/>
                <w:szCs w:val="20"/>
                <w:color w:val="auto"/>
              </w:rPr>
            </w:pPr>
            <w:r>
              <w:rPr>
                <w:rFonts w:ascii="Arial" w:cs="Arial" w:eastAsia="Arial" w:hAnsi="Arial"/>
                <w:sz w:val="18"/>
                <w:szCs w:val="18"/>
                <w:color w:val="auto"/>
              </w:rPr>
              <w:t>Purchases from the following supplier totaled more than 10% of our total inventory purchases: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14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20" w:type="dxa"/>
            <w:vAlign w:val="bottom"/>
          </w:tcPr>
          <w:p>
            <w:pPr>
              <w:spacing w:after="0"/>
              <w:rPr>
                <w:sz w:val="11"/>
                <w:szCs w:val="11"/>
                <w:color w:val="auto"/>
              </w:rPr>
            </w:pPr>
          </w:p>
        </w:tc>
        <w:tc>
          <w:tcPr>
            <w:tcW w:w="136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8"/>
              </w:rPr>
              <w:t>% of Total Inventory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2"/>
          </w:tcPr>
          <w:p>
            <w:pPr>
              <w:jc w:val="right"/>
              <w:ind w:right="34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Purchases</w:t>
            </w:r>
          </w:p>
        </w:tc>
        <w:tc>
          <w:tcPr>
            <w:tcW w:w="14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3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24"/>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2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7"/>
              </w:rPr>
              <w:t>% of Total Inventory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20" w:type="dxa"/>
            <w:vAlign w:val="bottom"/>
          </w:tcPr>
          <w:p>
            <w:pPr>
              <w:spacing w:after="0"/>
              <w:rPr>
                <w:sz w:val="11"/>
                <w:szCs w:val="11"/>
                <w:color w:val="auto"/>
              </w:rPr>
            </w:pPr>
          </w:p>
        </w:tc>
        <w:tc>
          <w:tcPr>
            <w:tcW w:w="168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3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9"/>
              </w:rPr>
              <w:t>11.4 %</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3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accounts payable: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1322"/>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308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right"/>
              <w:ind w:right="462"/>
              <w:spacing w:after="0"/>
              <w:rPr>
                <w:sz w:val="20"/>
                <w:szCs w:val="20"/>
                <w:color w:val="auto"/>
              </w:rPr>
            </w:pPr>
            <w:r>
              <w:rPr>
                <w:rFonts w:ascii="Arial" w:cs="Arial" w:eastAsia="Arial" w:hAnsi="Arial"/>
                <w:sz w:val="14"/>
                <w:szCs w:val="14"/>
                <w:b w:val="1"/>
                <w:bCs w:val="1"/>
                <w:color w:val="auto"/>
                <w:w w:val="93"/>
              </w:rPr>
              <w:t>$ (thousands)</w:t>
            </w: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Total Accounts</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680" w:type="dxa"/>
            <w:vAlign w:val="bottom"/>
            <w:tcBorders>
              <w:top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 of Total Accounts</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70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90"/>
              </w:rPr>
              <w:t>Payable</w:t>
            </w: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Zhejiang Zhen You Electronics Co.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1"/>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3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20" w:hanging="188"/>
        <w:spacing w:after="0"/>
        <w:tabs>
          <w:tab w:leader="none" w:pos="5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Accounts payable associated with this supplier did not total more than 10% of our accounts payable for the indicated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52,851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$168.8 million and $165.9 million at June 30, 2022 and December 31, 2021,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$5.1 million and $6.0 million for the three months ended June 30, 2022 and 2021, respectively. Depreciation expense was $10.2 million and $11.4 million for the six months ended June 30, 2022 and 2021, respectively.</w:t>
      </w:r>
    </w:p>
    <w:p>
      <w:pPr>
        <w:sectPr>
          <w:pgSz w:w="11900" w:h="16838" w:orient="portrait"/>
          <w:cols w:equalWidth="0" w:num="1">
            <w:col w:w="11240"/>
          </w:cols>
          <w:pgMar w:left="320" w:top="118"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Foreign exchange effects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0" w:hanging="1191"/>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48,463</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713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 w:lineRule="exact"/>
        <w:rPr>
          <w:sz w:val="20"/>
          <w:szCs w:val="20"/>
          <w:color w:val="auto"/>
        </w:rPr>
      </w:pPr>
    </w:p>
    <w:p>
      <w:pPr>
        <w:ind w:left="1200" w:hanging="1191"/>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49,044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122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1122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60" w:space="720"/>
            <w:col w:w="1760"/>
          </w:cols>
          <w:pgMar w:left="320" w:top="118" w:right="339" w:bottom="1440" w:gutter="0" w:footer="0" w:header="0"/>
          <w:type w:val="continuous"/>
        </w:sectPr>
      </w:pPr>
    </w:p>
    <w:p>
      <w:pPr>
        <w:spacing w:after="0" w:line="174" w:lineRule="exact"/>
        <w:rPr>
          <w:sz w:val="20"/>
          <w:szCs w:val="20"/>
          <w:color w:val="auto"/>
        </w:rPr>
      </w:pPr>
    </w:p>
    <w:p>
      <w:pPr>
        <w:ind w:left="660" w:right="20" w:hanging="328"/>
        <w:spacing w:after="0" w:line="238" w:lineRule="auto"/>
        <w:tabs>
          <w:tab w:leader="none" w:pos="517"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During the six months ended June 30, 2022, we recognized $0.7 million of goodwill related to the Qterics, Inc. ("Qterics") acquisition. Refer to Note 19 for further information about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2022</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right="20" w:hanging="328"/>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$43.6 million and $43.2 million at June 30, 2022 and December 31, 2021, respectively.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480" w:type="dxa"/>
            <w:vAlign w:val="bottom"/>
            <w:gridSpan w:val="3"/>
          </w:tcPr>
          <w:p>
            <w:pPr>
              <w:ind w:left="760"/>
              <w:spacing w:after="0"/>
              <w:rPr>
                <w:sz w:val="20"/>
                <w:szCs w:val="20"/>
                <w:color w:val="auto"/>
              </w:rPr>
            </w:pPr>
            <w:r>
              <w:rPr>
                <w:rFonts w:ascii="Arial" w:cs="Arial" w:eastAsia="Arial" w:hAnsi="Arial"/>
                <w:sz w:val="14"/>
                <w:szCs w:val="14"/>
                <w:b w:val="1"/>
                <w:bCs w:val="1"/>
                <w:color w:val="auto"/>
              </w:rPr>
              <w:t>Three Months Ended June 30,</w:t>
            </w:r>
          </w:p>
        </w:tc>
        <w:tc>
          <w:tcPr>
            <w:tcW w:w="336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168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Pr>
          <w:p>
            <w:pPr>
              <w:spacing w:after="0"/>
              <w:rPr>
                <w:sz w:val="19"/>
                <w:szCs w:val="19"/>
                <w:color w:val="auto"/>
              </w:rPr>
            </w:pP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0"/>
        </w:trPr>
        <w:tc>
          <w:tcPr>
            <w:tcW w:w="8480" w:type="dxa"/>
            <w:vAlign w:val="bottom"/>
            <w:gridSpan w:val="8"/>
          </w:tcPr>
          <w:p>
            <w:pPr>
              <w:spacing w:after="0"/>
              <w:rPr>
                <w:sz w:val="20"/>
                <w:szCs w:val="20"/>
                <w:color w:val="auto"/>
              </w:rPr>
            </w:pPr>
            <w:r>
              <w:rPr>
                <w:rFonts w:ascii="Arial" w:cs="Arial" w:eastAsia="Arial" w:hAnsi="Arial"/>
                <w:sz w:val="18"/>
                <w:szCs w:val="18"/>
                <w:color w:val="auto"/>
                <w:w w:val="95"/>
              </w:rPr>
              <w:t>Estimated future annual amortization expense related to our intangible assets at June 30, 2022, was as follows: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6 months)</w:t>
            </w: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20" w:type="dxa"/>
            <w:vAlign w:val="bottom"/>
            <w:shd w:val="clear" w:color="auto" w:fill="CCEEFF"/>
          </w:tcPr>
          <w:p>
            <w:pPr>
              <w:spacing w:after="0"/>
              <w:rPr>
                <w:sz w:val="20"/>
                <w:szCs w:val="20"/>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4,592</w:t>
            </w:r>
          </w:p>
        </w:tc>
        <w:tc>
          <w:tcPr>
            <w:tcW w:w="20" w:type="dxa"/>
            <w:vAlign w:val="bottom"/>
          </w:tcPr>
          <w:p>
            <w:pPr>
              <w:spacing w:after="0"/>
              <w:rPr>
                <w:sz w:val="19"/>
                <w:szCs w:val="19"/>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20" w:type="dxa"/>
            <w:vAlign w:val="bottom"/>
            <w:shd w:val="clear" w:color="auto" w:fill="CCEEFF"/>
          </w:tcPr>
          <w:p>
            <w:pPr>
              <w:spacing w:after="0"/>
              <w:rPr>
                <w:sz w:val="19"/>
                <w:szCs w:val="19"/>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9"/>
                <w:szCs w:val="19"/>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shd w:val="clear" w:color="auto" w:fill="CCEEFF"/>
          </w:tcPr>
          <w:p>
            <w:pPr>
              <w:spacing w:after="0"/>
              <w:rPr>
                <w:sz w:val="19"/>
                <w:szCs w:val="19"/>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20" w:type="dxa"/>
            <w:vAlign w:val="bottom"/>
            <w:tcBorders>
              <w:bottom w:val="single" w:sz="8" w:color="auto"/>
            </w:tcBorders>
          </w:tcPr>
          <w:p>
            <w:pPr>
              <w:spacing w:after="0"/>
              <w:rPr>
                <w:sz w:val="19"/>
                <w:szCs w:val="19"/>
                <w:color w:val="auto"/>
              </w:rPr>
            </w:pP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June 30, 2022, our operating leases had remaining lease terms of up to 38 years, including any reasonably probable extensions.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2021</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14,266</w:t>
            </w:r>
          </w:p>
        </w:tc>
      </w:tr>
      <w:tr>
        <w:trPr>
          <w:trHeight w:val="223"/>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19,035</w:t>
            </w:r>
          </w:p>
        </w:tc>
      </w:tr>
      <w:tr>
        <w:trPr>
          <w:trHeight w:val="21"/>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Operating lease right-of-use assets obtained in exchange for</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lease obligations</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23"/>
                <w:szCs w:val="23"/>
                <w:color w:val="auto"/>
                <w:vertAlign w:val="superscript"/>
              </w:rPr>
              <w:t>(1)</w:t>
            </w: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During the six months ended June 30, 2021, we were released from our guarantee of the lease obligation related to our Ohio call center which was sold in February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2"/>
              </w:rPr>
              <w:t>June 30, 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3.09 %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3.17 %</w:t>
            </w:r>
          </w:p>
        </w:tc>
      </w:tr>
    </w:tbl>
    <w:p>
      <w:pPr>
        <w:spacing w:after="0" w:line="3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June 30, 2022.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June 30, 2022</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6 months)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5,245</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3,434</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19,394</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2022, we had two operating leases with three-year terms that had not yet commenced. The total initial lease liability, which is immaterial to the balance sheet, is not reflected within the above maturity schedule.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7, 2022, we agreed upon terms to a lease agreement for 125,000 square feet of factory space in Vietnam, with a term commencing in the third quarter of 2022 and continuing through December 1, 2034. As of the date of filing, this lease has not yet been signed. The total initial lease liability associated with this lease is approximately $4.1 million, which is not reflected within the maturity schedule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2022 and December 31, 2021.</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June 30, 2022 and December 31, 2021 were 3.04% and 1.35%, respectively. There are no commitment fees or unused line fees under the Second Amended Credit Agreement.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began. Between December 31, 2021 and June 30, 2023, any borrowings under our existing Second Amended Credit Agreement may continue to use LIBOR as the basis for interest rates. If the Second Amended Credit Agreement is amended or replaced during this period, any borrowings will no longer use LIBOR as a reference rate and instead will be subject to an interest rate based on either the Secured Overnight Financing Rate ("SOFR"), which is deemed a replacement benchmark for LIBOR under the Second Amended Credit Agreement, or an alternate index to be agreed upon. After June 30, 2023, all borrowings will be based on SOFR or the alternate index.</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June 30, 2022, we were in compliance with the covenants and conditions of the Second Amended Credit Agreement.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2022 and December 31, 2021, we had $88.0 million and $56.0 million outstanding under the Credit Line, respectively. Our total interest expense on borrowings was $0.6 million and $0.2 million during the three months ended June 30, 2022 and 2021, respectively. Our total interest expense on borrowings was $0.9 million and $0.3 million during the six months ended June 30, 2022 and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recorded income tax expense of $1.6 million and $3.3 million for the three months ended June 30, 2022 and 2021, respectively. We recorded income tax expense of $4.0 million and $4.8 million for the six months ended June 30, 2022 and 2021, respectively. The income tax rate recorded for the six months ended June 30, 2022 increased primarily due to the mix of pre</w:t>
      </w:r>
      <w:r>
        <w:rPr>
          <w:rFonts w:ascii="MS PGothic" w:cs="MS PGothic" w:eastAsia="MS PGothic" w:hAnsi="MS PGothic"/>
          <w:sz w:val="18"/>
          <w:szCs w:val="18"/>
          <w:color w:val="auto"/>
        </w:rPr>
        <w:t>‐</w:t>
      </w:r>
      <w:r>
        <w:rPr>
          <w:rFonts w:ascii="Arial" w:cs="Arial" w:eastAsia="Arial" w:hAnsi="Arial"/>
          <w:sz w:val="18"/>
          <w:szCs w:val="18"/>
          <w:color w:val="auto"/>
        </w:rPr>
        <w:t>tax income among jurisdictions, including losses not benefited as a result of a valuation allowance. In addition, the tax incentive refund received in China during the six months ended June 30, 2022 was greater than the refund received during the six months ended June 30, 2021.</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the Company’s effective tax rate and the 21.0% U.S. federal statutory rate for the six months ended June 30, 2022 primarily related to the mix of pre-tax income and loss among jurisdictions and permanent tax items including a tax on global intangible low-taxed income. The permanent tax item related to global intangible low-taxed income also reflects recent legislative changes requiring the capitalization of research and experimentation costs, as well as limitations on the creditability of certain foreign income taxes.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2021,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2021, we had a three-year cumulative operating loss for our U.S. operations and accordingly, have provided a full valuation allowance on our U.S. federal and state deferred tax assets. During the six months ended June 30, 2022, there was no change to our valuation allowance position.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2022, we had gross unrecognized tax benefits of $3.2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June 30, 2022 and December 31, 2021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7,562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38"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r>
      <w:tr>
        <w:trPr>
          <w:trHeight w:val="229"/>
        </w:trPr>
        <w:tc>
          <w:tcPr>
            <w:tcW w:w="7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$1.8 million and $0.4 million of contract liabilities at June 30, 2022 and December 31, 2021,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r>
      <w:tr>
        <w:trPr>
          <w:trHeight w:val="23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("IPR") requests (see discussion below). This lawsuit continues to be stayed until such time as the IPR requests and all appeals with respect to them have concluded.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released TCL, Hisense and Funai from this investigation as they removed our technology from their televisions.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and Cease and Desist Order against Roku which became effective on January 9,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thirteen times, granted Roku's request eleven times and we are awaiting the PTAB's institution decision with respect to the remaining two IPR requests. Of the eleven IPR requests granted by the PTAB, the results were mixed, with the PTAB upholding the validity of many of our patent claims and invalidating others. We have and will appeal any PTAB decision that resulted in an invalidation of our patent claims.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withdrew its complaint against us and two of our customers with respect to one of the two patents at issue. This released the complaint against us and two of our customers with respect to that patent. The trial was thus shortened and ended on January 24, 2022. On June 24, 2022, the ALJ found the '511 patent invalid as indefinite. Thereafter, on June 28, 2022, the ALJ issued her ID fully exonerating us and our customers finding the '875 patent invalid and that Roku failed to prove it established the requisite domestic industry and thus no violation of the Tariff Act. As is standard practice, the full commission will review the ID which is presently set for October 28, 2022. In advance of the full Commission's review, Roku and we filed petitions to appeal certain portions of the ID. As a companion to its ITC request, Roku also filed a lawsuit against us and certain of our customers in Federal District Court in the Central District of California alleging that we are infringing the same patents they alleged being infringed in the ITC investigation explained above. This District Court case has been and will continue to be stayed pending the conclusion of the ITC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attorney's fees.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set a deadline of June 30, 2022, for the USTR to complete this process. During June, the Court extended this deadline to August 1, 2022.</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February 10, 2022, our Board approved a share repurchase program with an effective date of February 22, 2022 (the "February 2022 Program"). Pursuant to the February 2022 Program, we were authorized to repurchase up to 300,000 shares of our common stock until the Program's expiration on May 5, 2022. Per the terms of the February 2022 Program, we could utilize various methods to effect the repurchases, including open market repurchases, negotiated block transactions, accelerated share repurchases or open market solicitations for shares, some or all of which could be effected through Rule 10b5-1 plans. As of May 2, 2022, we repurchased the full 300,000 shares under the February 2022 Program. Repurchased shares of our common stock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26,684</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56"/>
        </w:trPr>
        <w:tc>
          <w:tcPr>
            <w:tcW w:w="4600" w:type="dxa"/>
            <w:vAlign w:val="bottom"/>
          </w:tcPr>
          <w:p>
            <w:pPr>
              <w:ind w:left="20"/>
              <w:spacing w:after="0" w:line="156" w:lineRule="exact"/>
              <w:rPr>
                <w:sz w:val="20"/>
                <w:szCs w:val="20"/>
                <w:color w:val="auto"/>
              </w:rPr>
            </w:pPr>
            <w:r>
              <w:rPr>
                <w:rFonts w:ascii="Arial" w:cs="Arial" w:eastAsia="Arial" w:hAnsi="Arial"/>
                <w:sz w:val="18"/>
                <w:szCs w:val="18"/>
                <w:color w:val="auto"/>
              </w:rPr>
              <w:t>Total employee and director stock-based compensation</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07"/>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expense</w:t>
            </w:r>
          </w:p>
        </w:tc>
        <w:tc>
          <w:tcPr>
            <w:tcW w:w="3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1"/>
                <w:szCs w:val="11"/>
                <w:color w:val="auto"/>
              </w:rPr>
            </w:pPr>
          </w:p>
        </w:tc>
        <w:tc>
          <w:tcPr>
            <w:tcW w:w="12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65.54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June 30, 2022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June 30, 2022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846</w:t>
            </w:r>
          </w:p>
        </w:tc>
        <w:tc>
          <w:tcPr>
            <w:tcW w:w="2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June 30, 2022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60" w:hanging="328"/>
        <w:spacing w:after="0" w:line="249" w:lineRule="auto"/>
        <w:tabs>
          <w:tab w:leader="none" w:pos="64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2022 and the exercise price, multiplied by the number of in-the-money options) that would have been received by the option holders had they all exercised their options on June 30, 2022. This amount will change based on the fair market value of our stock.</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23.97</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0.41 %</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48.49 %</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w:t>
            </w: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2022, we expect to recognize $3.0 million of total unrecognized pre-tax stock-based compensation expense related to non-vested stock options over a remaining weighted-average life of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88"/>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47.96</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we expect to recognize $11.9 million of total unrecognized pre-tax stock-based compensation expense related to non-vested restricted stock awards over a weighted-average life of 2.1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9, 2016, we issued common stock purchase warrants to Comcast Corporation ("Comcast") at a price of $54.55 per share. At June 30, 2022, 275,000 of these warrants were vested and outstanding. All vested warrants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200" w:type="dxa"/>
            <w:vAlign w:val="bottom"/>
            <w:gridSpan w:val="7"/>
          </w:tcPr>
          <w:p>
            <w:pPr>
              <w:jc w:val="right"/>
              <w:ind w:right="576"/>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7"/>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780" w:type="dxa"/>
            <w:vAlign w:val="bottom"/>
          </w:tcPr>
          <w:p>
            <w:pPr>
              <w:jc w:val="right"/>
              <w:ind w:right="597"/>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0"/>
                <w:szCs w:val="20"/>
                <w:color w:val="auto"/>
              </w:rPr>
            </w:pPr>
          </w:p>
        </w:tc>
      </w:tr>
      <w:tr>
        <w:trPr>
          <w:trHeight w:val="553"/>
        </w:trPr>
        <w:tc>
          <w:tcPr>
            <w:tcW w:w="4600" w:type="dxa"/>
            <w:vAlign w:val="bottom"/>
          </w:tcPr>
          <w:p>
            <w:pPr>
              <w:spacing w:after="0"/>
              <w:rPr>
                <w:sz w:val="20"/>
                <w:szCs w:val="20"/>
                <w:color w:val="auto"/>
              </w:rPr>
            </w:pPr>
            <w:r>
              <w:rPr>
                <w:rFonts w:ascii="Arial" w:cs="Arial" w:eastAsia="Arial" w:hAnsi="Arial"/>
                <w:sz w:val="18"/>
                <w:szCs w:val="18"/>
                <w:b w:val="1"/>
                <w:bCs w:val="1"/>
                <w:color w:val="auto"/>
              </w:rPr>
              <w:t>Note 16 — Other Income (Expense)</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600" w:type="dxa"/>
            <w:vAlign w:val="bottom"/>
          </w:tcPr>
          <w:p>
            <w:pPr>
              <w:spacing w:after="0"/>
              <w:rPr>
                <w:sz w:val="20"/>
                <w:szCs w:val="20"/>
                <w:color w:val="auto"/>
              </w:rPr>
            </w:pPr>
            <w:r>
              <w:rPr>
                <w:rFonts w:ascii="Arial" w:cs="Arial" w:eastAsia="Arial" w:hAnsi="Arial"/>
                <w:sz w:val="18"/>
                <w:szCs w:val="18"/>
                <w:color w:val="auto"/>
              </w:rPr>
              <w:t>Other income (expense), net consisted of the following:</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3"/>
        </w:trPr>
        <w:tc>
          <w:tcPr>
            <w:tcW w:w="4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r>
      <w:tr>
        <w:trPr>
          <w:trHeight w:val="251"/>
        </w:trPr>
        <w:tc>
          <w:tcPr>
            <w:tcW w:w="460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w w:val="99"/>
              </w:rPr>
              <w:t xml:space="preserve">Net gain (loss) on foreign currency exchange contracts </w:t>
            </w:r>
            <w:r>
              <w:rPr>
                <w:rFonts w:ascii="Arial" w:cs="Arial" w:eastAsia="Arial" w:hAnsi="Arial"/>
                <w:sz w:val="23"/>
                <w:szCs w:val="23"/>
                <w:color w:val="auto"/>
                <w:w w:val="99"/>
                <w:vertAlign w:val="superscript"/>
              </w:rPr>
              <w:t>(1)</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40" w:type="dxa"/>
            <w:vAlign w:val="bottom"/>
            <w:shd w:val="clear" w:color="auto" w:fill="CCEEFF"/>
          </w:tcPr>
          <w:p>
            <w:pPr>
              <w:spacing w:after="0"/>
              <w:rPr>
                <w:sz w:val="21"/>
                <w:szCs w:val="2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w w:val="99"/>
              </w:rPr>
              <w:t>Net gain (loss) on foreign currency exchange transactions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(432)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5"/>
              </w:rPr>
              <w:t>(807)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(2,077)</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(415)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(694)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r>
      <w:tr>
        <w:trPr>
          <w:trHeight w:val="21"/>
        </w:trPr>
        <w:tc>
          <w:tcPr>
            <w:tcW w:w="4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12,659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13,672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12,736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175"/>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effect of stock options, restricted stock and common stock</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4"/>
                <w:szCs w:val="14"/>
                <w:b w:val="1"/>
                <w:bCs w:val="1"/>
                <w:color w:val="auto"/>
              </w:rPr>
              <w:t>June 30, 2022</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240" w:type="dxa"/>
            <w:vAlign w:val="bottom"/>
            <w:gridSpan w:val="2"/>
          </w:tcPr>
          <w:p>
            <w:pPr>
              <w:spacing w:after="0"/>
              <w:rPr>
                <w:sz w:val="17"/>
                <w:szCs w:val="1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4"/>
                <w:szCs w:val="4"/>
                <w:color w:val="auto"/>
              </w:rPr>
            </w:pPr>
          </w:p>
        </w:tc>
        <w:tc>
          <w:tcPr>
            <w:tcW w:w="9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4"/>
                <w:szCs w:val="4"/>
                <w:color w:val="auto"/>
              </w:rPr>
            </w:pPr>
          </w:p>
        </w:tc>
        <w:tc>
          <w:tcPr>
            <w:tcW w:w="90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w w:val="96"/>
              </w:rPr>
              <w:t>Level 3</w:t>
            </w: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held foreign currency exchange contracts, which resulted in a net pre-tax gain of $0.2 million and $0.3 million for the three months ended June 30, 2022 and 2021, respectively. For the six months ended June 30, 2022 and 2021, we had a net pre-tax gain of $1.1 million and $1.5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88"/>
        </w:trPr>
        <w:tc>
          <w:tcPr>
            <w:tcW w:w="198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r>
              <w:rPr>
                <w:rFonts w:ascii="Arial" w:cs="Arial" w:eastAsia="Arial" w:hAnsi="Arial"/>
                <w:sz w:val="9"/>
                <w:szCs w:val="9"/>
                <w:b w:val="1"/>
                <w:bCs w:val="1"/>
                <w:color w:val="auto"/>
                <w:w w:val="91"/>
              </w:rPr>
              <w:t>(1)</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29, 2022</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30, 2022</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6.6889</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29, 2022</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7, 2022</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January 7, 2022</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right="2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consolidated income statement for the three and six months ended June 30, 2022 includes net sales of $0.6 million and $0.9 million, respectively, and net income of $9.2 thousand and $0.1 million, respectively, attributable to Qterics for the period commencing on February 17, 2022.</w:t>
      </w:r>
    </w:p>
    <w:p>
      <w:pPr>
        <w:jc w:val="both"/>
        <w:spacing w:after="0" w:line="260" w:lineRule="auto"/>
        <w:rPr>
          <w:sz w:val="20"/>
          <w:szCs w:val="20"/>
          <w:color w:val="auto"/>
        </w:rPr>
      </w:pPr>
      <w:r>
        <w:rPr>
          <w:rFonts w:ascii="Arial" w:cs="Arial" w:eastAsia="Arial" w:hAnsi="Arial"/>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calculation of the fair value of deferred revenue has not been finalized, pending the determination of the appropriate service period over which to recognize revenue. The excess of the purchase price over the estimated fair value of net assets acquired is recorded as goodwill. The goodwill is expected to be deductible for income tax purposes. Management's preliminary purchase price allocation as of June 30, 2022 was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Estimated Lives</w:t>
            </w:r>
          </w:p>
        </w:tc>
        <w:tc>
          <w:tcPr>
            <w:tcW w:w="1760" w:type="dxa"/>
            <w:vAlign w:val="bottom"/>
          </w:tcPr>
          <w:p>
            <w:pPr>
              <w:jc w:val="right"/>
              <w:ind w:right="171"/>
              <w:spacing w:after="0"/>
              <w:rPr>
                <w:sz w:val="20"/>
                <w:szCs w:val="20"/>
                <w:color w:val="auto"/>
              </w:rPr>
            </w:pPr>
            <w:r>
              <w:rPr>
                <w:rFonts w:ascii="Arial" w:cs="Arial" w:eastAsia="Arial" w:hAnsi="Arial"/>
                <w:sz w:val="14"/>
                <w:szCs w:val="14"/>
                <w:b w:val="1"/>
                <w:bCs w:val="1"/>
                <w:color w:val="auto"/>
              </w:rPr>
              <w:t>Preliminary Fair Value</w:t>
            </w: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5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2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3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Short-term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Long-term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22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developed technology, trade names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of combined results of our operations and the operations of Qterics as if the transaction had occurred on January 1, 2021, is immaterially different from the net sales, net income and income per share amounts reported in the Consolidated Statements of Operations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information related to the future effects on our business of the coronavirus pandemic ("COVID-19"); supply chain issues; other future demand and recovery trends and expectations; the delay by or failure of our customers to order products from us; the effects of natural or other events beyond our control, including the effects of political unrest, war (including the conflict between Russia and Ukraine) or terrorist activities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the timing and amount of future share repurchases;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2021 ("2021 Form 10-K"), Part II, Item 1A of this report, and other factors we describe from time to time in our periodic filings with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spacing w:after="0" w:line="8"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spacing w:after="0" w:line="3"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software update and device provisioning services, as well as real-time device identification and system control with billions of transactions per year in device and data management;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over 13,100 brands comprising over 1,013,000 device models across AV and smart home platforms, supported by many common smart home protocols, including IR, HDMI-CEC, Zigbee (Rf4CE) Z-Wave, and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32.6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June 30, 2022, we had 670 issued and pending U.S. patents related to remote control, home security, safety and automation as well as hundreds of foreign counterpart patents and applications in various territories around the world.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25 international subsidiaries located in Brazil, British Virgin Islands, France, Germany, Hong Kong (3), India, Italy, Japan, Korea, Mexico (2), the Netherlands, People's Republic of China (the "PRC") (7), Singapore, Spain, United Kingdom and Vietnam.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2022:</w:t>
      </w:r>
    </w:p>
    <w:p>
      <w:pPr>
        <w:spacing w:after="0" w:line="252" w:lineRule="exact"/>
        <w:rPr>
          <w:sz w:val="20"/>
          <w:szCs w:val="20"/>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decreased 7.6% to $139.1 million for the three months ended June 30, 2022 from $150.5 million for the three months ended June 30, 2021.</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margin percentage decreased to 28.3% for the three months ended June 30, 2022 from 29.7% for the three months ended June 30, 2021.</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24.3% for the three months ended June 30, 2022 from 23.7% for the three months ended June 30, 2021.</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income decreased to $5.5 million for the three months ended June 30, 2022 from $9.0 million for the three months ended June 30, 2021. Our operating income percentage decreased to 4.0% for the three months ended June 30, 2022 from 6.0% for the three months ended June 30, 2021.</w:t>
      </w:r>
    </w:p>
    <w:p>
      <w:pPr>
        <w:spacing w:after="0" w:line="2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 expense decreased to $1.6 million for the three months ended June 30, 2022 from $3.3 million for the three months 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2022 include the following:</w:t>
      </w:r>
    </w:p>
    <w:p>
      <w:pPr>
        <w:spacing w:after="0" w:line="25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invest in creating technology differentiation across our global product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our long-term factory planning strategy of reducing our concentration risk in the People's Republic of China.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Supply Chain Impact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has been and continues to be a complex and rapidly-evolving situation, and with the emergence of the COVID-19 Omicron variant, it continues to have a material impact on our business. Local lockdowns near our southern China factory during the last two weeks of the first quarter of 2022 temporarily caused labor shortages that negatively affected our ability to manufacture at full capacity and to meet customer demand. As of the issuance of this report, our southern China factory and our other factories are operating at or near labor capacity. The global health crisis caused by the COVID-19 pandemic may continue to negatively impact our business.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been negatively impacted by supply chain difficulties including obtaining ICs and other long-lead time components and we expect this to continue into 2023. While we are taking production and inventory control steps in order to mitigate the effects caused by these shortages, we cannot guarantee that these steps will allow us to meet our short term IC and other component parts needs. As such, these supply constraints continue to cause difficulty and delays in our ability to fulfill customer orders and have at times resulted in increased logistics costs.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overall operational and financial impact of the above is highly dependent on the risk factors disclosed under the headings “Risks Relating to COVID-19” and “Risks Relating to Operations” in Part I, Item 1A, “Risk Factors,” of our 2021 Form 10-K and could be affected by other factors we are not currently able to predict.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negatively impacted and we expect to continue to be negatively impacted by adverse macroeconomic conditions. Inflation has increased our component and logistics costs. While we have been able to increase sales prices on certain products, we may not be able to fully offset the impact of increased material costs which would negatively impact our gross profit. Our cost of labor, materials and borrowing may continue to increase which would negatively impact our business and financial results. In addition, we expect recessionary fears in the global economy will ultimately negatively impact our sales demand.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2022 to the items that we disclosed as our critical accounting policies and estimates in Item 7, "Management's Discussion and Analysis of Financial Condition and Results of Operations" contained in our Annual Report on Form 10-K for our fiscal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12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04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94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69.8</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30.2</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5.1</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19.2</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5.9</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versus Three Months Ended June 30, 2021</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three months ended June 30, 2022 were $139.1 million compared to $150.5 million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Our subscription broadcast channel experienced the largest decrease in sales when compared to the prior year period as a result of component shortages and lower customer demand. Sales in our retail channel also declined due a loss of a customer in North America and macroeconomic headwinds. Partially offsetting these decreases is an increase in sales in our HVAC channel as we continue to gain market share.</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June 30, 2022 was $39.4 million compared to $44.7 million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Gross profit as a percentage of sales decreased to 28.3% for the three months ended June 30, 2022 from 29.7% for the three months ended June 30, 2021 as a direct result of inflationary pressures associated with raw materials and components, freight costs and wages. In order to mitigate the effect of inflationary pressures, we implemented sales price increases on certain products throughout the first two quarters of 2022.</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to $8.6 million for the three months ended June 30, 2022 from $7.7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The increase in R&amp;D expenses is due to an increase in product development activities.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decreased to $25.2 million for the three months ended June 30, 2022 from $28.0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30, 2021, primarily due to a decrease in outside legal expenses related to a specific legal matter.</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increased to $0.2 million for the three months ended June 30, 2022 from $0.1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as a result of a higher average loan balance and a higher interest rate.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increased to $0.7 million for the three months ended June 30, 2022 from $17.0 thousand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mainly due to a one-time expense which we have filed an insurance claim.</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$1.6 million for the three months ended June 30, 2022, representing an effective tax rate of 35.3%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$3.3 million for the three months ended June 30, 2021, representing an effective tax rate of 37.0%. We expect the U.S. to be in a pre-tax loss position without benefit for the full year 2022, which is the primary reason for the elevated effective tax rate. In addition, recent legislative changes for research and experimentation costs and creditability of certain foreign income taxes have resulted in a modest increase to our effective tax 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versus Six Months Ended June 30, 2021</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six months ended June 30, 2022 were $271.5 million, a decrease compared to $301.0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Sales in our subscription broadcast channel were lower than the prior year period due primarily to component shortages and lower customer demand. Sales in our retail channel were also lower than the prior year period due to the loss of a customer in North America and macroeconomic headwinds.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2022 was $75.6 million compared to $91.1 million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percentage of sales decreased to 27.9% for the six months ended June 30, 2022 from 30.2% for the six months ended June 30, 2021. Gross profit as a percentage of sales was unfavorably impacted by inflationary pressures associated with raw materials and components, freight costs and wages. Partially offsetting these unfavorable impacts were sales price increases on certain products which were implemented throughout the first two quarters of 2022.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to $16.4 million for the six months ended June 30, 2022 from $15.6 million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increase in R&amp;D expenses is due to an increase in product development activities.</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decreased to $54.3 million for the six months ended June 30, 2022 from $57.8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2021, primarily due to a decrease in outside legal expenses related to a specific legal matter and a decrease in incentive compensation.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increased to $0.5 million for the six months ended June 30, 2022 from $0.2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as a result of higher average loan balances and higher interest rates.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expense, net was $0.3 million for the six months ended June 30, 2022, as a result of a one-time expense which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filed an insurance claim, compared to other income, net of $6.0 thousand for the six months ended June 30, 2021, as a result of net foreign currency gains.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$4.0 million for the six months ended June 30, 2022, representing an effective tax rate of 98.1%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$4.8 million for the six months ended June 30, 2021, representing an effective tax rate of 27.7%. We expect the U.S. to be in a pre-tax loss position without benefit for the full year 2022, which is the primary reason for the elevated effective tax rate. In addition, recent legislative changes for research and experimentation costs and creditability of certain foreign income taxes have resulted in a modest increase to our effective tax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an increased level of share repurchases and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3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66,300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i w:val="1"/>
          <w:iCs w:val="1"/>
          <w:color w:val="auto"/>
        </w:rPr>
        <w:t xml:space="preserve">Cash, cash equivalents and term deposit </w:t>
      </w:r>
      <w:r>
        <w:rPr>
          <w:rFonts w:ascii="Arial" w:cs="Arial" w:eastAsia="Arial" w:hAnsi="Arial"/>
          <w:sz w:val="17"/>
          <w:szCs w:val="17"/>
          <w:color w:val="auto"/>
        </w:rPr>
        <w:t>– On June 30, 2022, we had $4.5 million, $15.3 million, $11.8 million, $11.7 million and $2.8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in North America, the PRC, Asia (excluding the PRC), Europe, and South America, respectively. In addition, at June 30, 2022, we had a one-year term deposit of $7.8 million, which will mature on January 25, 2023. We attempt to mitigate our exposure to liquidity, credit and other relevant risks by placing our cash, cash equivalents, and term deposits with financial institutions we believe are high quality.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Available Borrowing Resources </w:t>
      </w:r>
      <w:r>
        <w:rPr>
          <w:rFonts w:ascii="Arial" w:cs="Arial" w:eastAsia="Arial" w:hAnsi="Arial"/>
          <w:sz w:val="16"/>
          <w:szCs w:val="16"/>
          <w:color w:val="auto"/>
        </w:rPr>
        <w:t>– Our Second Amended and Restated Credit Agreement ("Second Amended Credit Agreement") with U.S. Bank</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2022. At June 30, 2022, we had an outstanding balance of $88.0 million on our Credit Line and $34.3 million of availability.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8 contained in the "Notes to Consolidated Financial Statements" for further information regarding our Credit Line.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340" w:type="dxa"/>
            <w:vAlign w:val="bottom"/>
          </w:tcPr>
          <w:p>
            <w:pPr>
              <w:spacing w:after="0"/>
              <w:rPr>
                <w:sz w:val="14"/>
                <w:szCs w:val="1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June 30, 2022</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115,087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Net cash used for operating activities </w:t>
      </w:r>
      <w:r>
        <w:rPr>
          <w:rFonts w:ascii="Arial" w:cs="Arial" w:eastAsia="Arial" w:hAnsi="Arial"/>
          <w:sz w:val="16"/>
          <w:szCs w:val="16"/>
          <w:color w:val="auto"/>
        </w:rPr>
        <w:t>was $17.1 million during the six months ended June 30, 2022 compared to net cash provided by operating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of $16.5 million during the six months ended June 30, 2021. Net income was $0.1 million for the six months ended June 30, 2022 compared to net income of $12.6 million for the six months ended June 30, 2021. Inventories increased by $16.3 million during the six months ended June 30, 2022 compared to an increase of $1.1 million during the six months ended June 30, 2021. We are currently in a unique environment where certain components, most prominently ICs, are in short supply. The lead times associated with these components have increased significantly; consequently, when an opportunity arises to procure more than what is needed at a given period of time, we are proceeding with the purchase. This has currently led to us carrying more inventory than is optimal. Our inventory turns decreased to 2.7 turns at June 30, 2022 compared to 3.4 turns at June 30, 2021. Changes in accounts payable and accrued liabilities resulted in cash outflows of $15.0 million during the six months ended June 30, 2022 largely as a result of the timing of payments and a decrease in accrued compensation. Changes in accounts payable and accrued liabilities resulted in cash outflows of $7.3 million during the six months ended June 30, 2021 largely as a result of the timing of payments and a decrease in accrued compensation.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half of 2022, we expect component shortages will continue to have an adverse effect on cash flows with some relief beginning to occur in the first half of 2023. In addition, we expect to commence manufacturing operations in a new factory in Vietnam in the fourth quarter of 2022 which, in the short run, may result in manufacturing inefficiencies.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2022 was $16.9 million, of which $7.5 million, $0.9 million, $5.5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$3.0 million was used for our term deposit investment, acquisition of Qterics Inc., capital expenditures, and the development of patents, respectively. Net cash used for investing activities during the six months ended June 30, 2021 was $8.1 million of which $6.2 million and $1.9 million was used for capital expenditures and the development of patents,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flows used for investing activities are largely dependent on the timing and amount of capital expenditures. We estimate that we will incur between $13.0 million and $16.0 million during the remainder of 2022, which includes amounts associated with our factory in Vietnam, which we anticipate commencing operations in the fourth quarter of 2022.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$20.8 million during the six months ended June 30, 2022 compared to $0.3 million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in cash provided by financing activities was driven partially by borrowing and repayment activity on our line of credit. During the six months ended June 30, 2022, we had net borrowings of $32.0 million compared to net borrowings of $26.0 million during the six months ended June 30, 2021.</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2022, we repurchased 354,558 shares of our common stock at a cost of $11.2 million compared to our repurchase of 510,715 shares at a cost of $26.7 million during the six months ended June 30, 2021.</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"Notes to Consolidated Financial Statements" for further information regarding our share repurchase programs.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Cash Commitments </w:t>
      </w:r>
      <w:r>
        <w:rPr>
          <w:rFonts w:ascii="Arial" w:cs="Arial" w:eastAsia="Arial" w:hAnsi="Arial"/>
          <w:sz w:val="18"/>
          <w:szCs w:val="18"/>
          <w:color w:val="auto"/>
        </w:rPr>
        <w:t>– The following table summarizes our material cash commitments and the effect these commitments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5"/>
              <w:spacing w:after="0" w:line="135"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3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Property, plant, and equipment purchases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 license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material cash commitments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meeting our material cash commitments with our cash generated from operations and available borrowing resources, including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$0.7 million annual impact on net income based on our outstanding Credit Line balance at June 30, 2022.</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June 30, 2022,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and Korean Won.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2022, we believe that movements in foreign currency rates may have a material effect on our financial position and results of operations. We estimate that if the exchange rates for the Chinese Yuan Renminbi, Euro, British Pound, Mexican Peso, Indian Rupee, Brazilian Real, and Japanese Yen relative to the U.S. Dollar fluctuate 10% from June 30, 2022, net income in the third quarter of 2022 would fluctuate by approximately $8.0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reader should carefully consider, in connection with the other information in this report, the risk factors discussed in "Part I, Item 1A: Risk Factors" of the Company's 2021 Annual Report on Form 10-K and in the periodic reports we have filed since then. These factors may cause our actual results to differ materially from those stated in forward-looking statements contained in this document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2022, our total stock repurchases, average price paid per share and the maximum number of shares that may yet be purchased on the open market under our plans or programs: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1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16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89"/>
        </w:trPr>
        <w:tc>
          <w:tcPr>
            <w:tcW w:w="4180" w:type="dxa"/>
            <w:vAlign w:val="bottom"/>
            <w:gridSpan w:val="2"/>
            <w:vMerge w:val="continue"/>
          </w:tcPr>
          <w:p>
            <w:pPr>
              <w:spacing w:after="0"/>
              <w:rPr>
                <w:sz w:val="16"/>
                <w:szCs w:val="16"/>
                <w:color w:val="auto"/>
              </w:rPr>
            </w:pPr>
          </w:p>
        </w:tc>
        <w:tc>
          <w:tcPr>
            <w:tcW w:w="1440" w:type="dxa"/>
            <w:vAlign w:val="bottom"/>
          </w:tcPr>
          <w:p>
            <w:pPr>
              <w:jc w:val="right"/>
              <w:ind w:right="16"/>
              <w:spacing w:after="0" w:line="189"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160" w:type="dxa"/>
            <w:vAlign w:val="bottom"/>
          </w:tcPr>
          <w:p>
            <w:pPr>
              <w:jc w:val="center"/>
              <w:ind w:left="18"/>
              <w:spacing w:after="0" w:line="189" w:lineRule="exact"/>
              <w:rPr>
                <w:sz w:val="20"/>
                <w:szCs w:val="20"/>
                <w:color w:val="auto"/>
              </w:rPr>
            </w:pPr>
            <w:r>
              <w:rPr>
                <w:rFonts w:ascii="Arial" w:cs="Arial" w:eastAsia="Arial" w:hAnsi="Arial"/>
                <w:sz w:val="14"/>
                <w:szCs w:val="14"/>
                <w:b w:val="1"/>
                <w:bCs w:val="1"/>
                <w:color w:val="auto"/>
                <w:w w:val="91"/>
              </w:rPr>
              <w:t xml:space="preserve">Under the Plans or Programs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116,796</w:t>
            </w:r>
          </w:p>
        </w:tc>
        <w:tc>
          <w:tcPr>
            <w:tcW w:w="2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May 1, 2022 - May 31, 2022</w:t>
            </w:r>
          </w:p>
        </w:tc>
        <w:tc>
          <w:tcPr>
            <w:tcW w:w="1440" w:type="dxa"/>
            <w:vAlign w:val="bottom"/>
          </w:tcPr>
          <w:p>
            <w:pPr>
              <w:jc w:val="right"/>
              <w:spacing w:after="0"/>
              <w:rPr>
                <w:sz w:val="20"/>
                <w:szCs w:val="20"/>
                <w:color w:val="auto"/>
              </w:rPr>
            </w:pPr>
            <w:r>
              <w:rPr>
                <w:rFonts w:ascii="Arial" w:cs="Arial" w:eastAsia="Arial" w:hAnsi="Arial"/>
                <w:sz w:val="18"/>
                <w:szCs w:val="18"/>
                <w:color w:val="auto"/>
              </w:rPr>
              <w:t>11,255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8,204</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129,920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Of the repurchases in April and May, 1,869 and 3,051 shares, respectively, represent common shares of the Company that were owned and tendered by employees to satisfy tax withholding obligations in connection with the vesting of restricted shares.</w:t>
      </w:r>
    </w:p>
    <w:p>
      <w:pPr>
        <w:jc w:val="both"/>
        <w:ind w:left="660" w:hanging="328"/>
        <w:spacing w:after="0" w:line="239"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On February 10, 2022, our Board approved a share repurchase program with an effective date of February 22, 2022 (the "February 2022 Program"). Pursuant to the February 2022 Program, we were authorized to repurchase up to 300,000 shares of our common stock until the Program’s expiration on May 5, 2022. Per the terms of the February 2022 Program, we could utilize various methods to effect the repurchases, including open market repurchases, negotiated block transactions, accelerated share repurchases or open market solicitations for shares, some or all of which could be effected through Rule 10b5-1 plans. As of May 2, 2022, we repurchased the full 300,000 shares under the February 2022 Program.</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40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7">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280" w:type="dxa"/>
            <w:vAlign w:val="bottom"/>
            <w:gridSpan w:val="2"/>
          </w:tcPr>
          <w:p>
            <w:pPr>
              <w:spacing w:after="0"/>
              <w:rPr>
                <w:sz w:val="24"/>
                <w:szCs w:val="24"/>
                <w:color w:val="auto"/>
              </w:rPr>
            </w:pPr>
          </w:p>
        </w:tc>
      </w:tr>
      <w:tr>
        <w:trPr>
          <w:trHeight w:val="264"/>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680" w:type="dxa"/>
            <w:vAlign w:val="bottom"/>
            <w:gridSpan w:val="4"/>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55"/>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38">
              <w:r>
                <w:rPr>
                  <w:rFonts w:ascii="Arial" w:cs="Arial" w:eastAsia="Arial" w:hAnsi="Arial"/>
                  <w:sz w:val="18"/>
                  <w:szCs w:val="18"/>
                  <w:color w:val="0000FF"/>
                  <w:w w:val="93"/>
                </w:rPr>
                <w:t>officer) of Universal Electronics Inc.</w:t>
              </w:r>
            </w:hyperlink>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jc w:val="both"/>
        <w:ind w:left="1540" w:hanging="1372"/>
        <w:spacing w:after="0" w:line="224" w:lineRule="auto"/>
        <w:tabs>
          <w:tab w:leader="none" w:pos="1540" w:val="left"/>
        </w:tabs>
        <w:numPr>
          <w:ilvl w:val="0"/>
          <w:numId w:val="21"/>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Inc., pursuant to 18 U.S.C. Section 1350</w:t>
        </w:r>
      </w:hyperlink>
    </w:p>
    <w:p>
      <w:pPr>
        <w:spacing w:after="0" w:line="55" w:lineRule="exact"/>
        <w:rPr>
          <w:rFonts w:ascii="Arial" w:cs="Arial" w:eastAsia="Arial" w:hAnsi="Arial"/>
          <w:sz w:val="18"/>
          <w:szCs w:val="18"/>
          <w:u w:val="single" w:color="auto"/>
          <w:color w:val="0000FF"/>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3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3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3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rFonts w:ascii="Arial" w:cs="Arial" w:eastAsia="Arial" w:hAnsi="Arial"/>
          <w:sz w:val="18"/>
          <w:szCs w:val="18"/>
          <w:u w:val="single" w:color="auto"/>
          <w:color w:val="0000FF"/>
        </w:rPr>
      </w:pPr>
    </w:p>
    <w:p>
      <w:pPr>
        <w:ind w:left="1540" w:hanging="1372"/>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Dated:   August 4, 2022</w:t>
            </w:r>
          </w:p>
        </w:tc>
        <w:tc>
          <w:tcPr>
            <w:tcW w:w="7580" w:type="dxa"/>
            <w:vAlign w:val="bottom"/>
            <w:gridSpan w:val="2"/>
          </w:tcPr>
          <w:p>
            <w:pPr>
              <w:ind w:left="180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600" w:type="dxa"/>
            <w:vAlign w:val="bottom"/>
          </w:tcPr>
          <w:p>
            <w:pPr>
              <w:spacing w:after="0"/>
              <w:rPr>
                <w:sz w:val="24"/>
                <w:szCs w:val="24"/>
                <w:color w:val="auto"/>
              </w:rPr>
            </w:pPr>
          </w:p>
        </w:tc>
        <w:tc>
          <w:tcPr>
            <w:tcW w:w="2520" w:type="dxa"/>
            <w:vAlign w:val="bottom"/>
          </w:tcPr>
          <w:p>
            <w:pPr>
              <w:ind w:left="18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5"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2022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Dated:   August 4, 2022</w:t>
            </w:r>
          </w:p>
        </w:tc>
        <w:tc>
          <w:tcPr>
            <w:tcW w:w="6200" w:type="dxa"/>
            <w:vAlign w:val="bottom"/>
            <w:gridSpan w:val="2"/>
          </w:tcPr>
          <w:p>
            <w:pPr>
              <w:ind w:left="3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8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840" w:type="dxa"/>
            <w:vAlign w:val="bottom"/>
          </w:tcPr>
          <w:p>
            <w:pPr>
              <w:spacing w:after="0"/>
              <w:rPr>
                <w:sz w:val="24"/>
                <w:szCs w:val="24"/>
                <w:color w:val="auto"/>
              </w:rPr>
            </w:pPr>
          </w:p>
        </w:tc>
        <w:tc>
          <w:tcPr>
            <w:tcW w:w="6200" w:type="dxa"/>
            <w:vAlign w:val="bottom"/>
            <w:gridSpan w:val="2"/>
          </w:tcPr>
          <w:p>
            <w:pPr>
              <w:ind w:left="3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8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8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104"/>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2022-08-05T05:30:49Z</dcterms:created>
  <dcterms:modified xsi:type="dcterms:W3CDTF">2022-08-05T05:30:49Z</dcterms:modified>
</cp:coreProperties>
</file>