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47"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86"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54" w:lineRule="exact"/>
        <w:rPr>
          <w:sz w:val="24"/>
          <w:szCs w:val="24"/>
          <w:color w:val="auto"/>
        </w:rPr>
      </w:pPr>
    </w:p>
    <w:p>
      <w:pPr>
        <w:ind w:left="720" w:right="200" w:hanging="685"/>
        <w:spacing w:after="0" w:line="256" w:lineRule="auto"/>
        <w:tabs>
          <w:tab w:leader="none" w:pos="72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8" w:lineRule="exact"/>
        <w:rPr>
          <w:sz w:val="24"/>
          <w:szCs w:val="24"/>
          <w:color w:val="auto"/>
        </w:rPr>
      </w:pPr>
    </w:p>
    <w:p>
      <w:pPr>
        <w:ind w:left="3840"/>
        <w:spacing w:after="0"/>
        <w:rPr>
          <w:sz w:val="20"/>
          <w:szCs w:val="20"/>
          <w:color w:val="auto"/>
        </w:rPr>
      </w:pPr>
      <w:r>
        <w:rPr>
          <w:rFonts w:ascii="Arial" w:cs="Arial" w:eastAsia="Arial" w:hAnsi="Arial"/>
          <w:sz w:val="22"/>
          <w:szCs w:val="22"/>
          <w:b w:val="1"/>
          <w:bCs w:val="1"/>
          <w:color w:val="auto"/>
        </w:rPr>
        <w:t>For the quarterly period ended June 30, 2013</w:t>
      </w:r>
    </w:p>
    <w:p>
      <w:pPr>
        <w:spacing w:after="0" w:line="85" w:lineRule="exact"/>
        <w:rPr>
          <w:sz w:val="24"/>
          <w:szCs w:val="24"/>
          <w:color w:val="auto"/>
        </w:rPr>
      </w:pPr>
    </w:p>
    <w:p>
      <w:pPr>
        <w:ind w:left="5560"/>
        <w:spacing w:after="0"/>
        <w:rPr>
          <w:sz w:val="20"/>
          <w:szCs w:val="20"/>
          <w:color w:val="auto"/>
        </w:rPr>
      </w:pPr>
      <w:r>
        <w:rPr>
          <w:rFonts w:ascii="Arial" w:cs="Arial" w:eastAsia="Arial" w:hAnsi="Arial"/>
          <w:sz w:val="22"/>
          <w:szCs w:val="22"/>
          <w:b w:val="1"/>
          <w:bCs w:val="1"/>
          <w:color w:val="auto"/>
        </w:rPr>
        <w:t>OR</w:t>
      </w:r>
    </w:p>
    <w:p>
      <w:pPr>
        <w:spacing w:after="0" w:line="152" w:lineRule="exact"/>
        <w:rPr>
          <w:sz w:val="24"/>
          <w:szCs w:val="24"/>
          <w:color w:val="auto"/>
        </w:rPr>
      </w:pPr>
    </w:p>
    <w:p>
      <w:pPr>
        <w:ind w:left="720" w:right="180" w:hanging="685"/>
        <w:spacing w:after="0" w:line="256" w:lineRule="auto"/>
        <w:tabs>
          <w:tab w:leader="none" w:pos="72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68" w:lineRule="exact"/>
        <w:rPr>
          <w:sz w:val="24"/>
          <w:szCs w:val="24"/>
          <w:color w:val="auto"/>
        </w:rPr>
      </w:pPr>
    </w:p>
    <w:p>
      <w:pPr>
        <w:ind w:left="440"/>
        <w:spacing w:after="0"/>
        <w:tabs>
          <w:tab w:leader="none" w:pos="3860" w:val="left"/>
        </w:tabs>
        <w:rPr>
          <w:sz w:val="20"/>
          <w:szCs w:val="20"/>
          <w:color w:val="auto"/>
        </w:rPr>
      </w:pPr>
      <w:r>
        <w:rPr>
          <w:rFonts w:ascii="Arial" w:cs="Arial" w:eastAsia="Arial" w:hAnsi="Arial"/>
          <w:sz w:val="22"/>
          <w:szCs w:val="22"/>
          <w:b w:val="1"/>
          <w:bCs w:val="1"/>
          <w:color w:val="auto"/>
        </w:rPr>
        <w:t>For the transition period from</w:t>
      </w:r>
      <w:r>
        <w:rPr>
          <w:sz w:val="20"/>
          <w:szCs w:val="20"/>
          <w:color w:val="auto"/>
        </w:rPr>
        <w:tab/>
      </w:r>
      <w:r>
        <w:rPr>
          <w:rFonts w:ascii="Arial" w:cs="Arial" w:eastAsia="Arial" w:hAnsi="Arial"/>
          <w:sz w:val="19"/>
          <w:szCs w:val="19"/>
          <w:b w:val="1"/>
          <w:bCs w:val="1"/>
          <w:color w:val="auto"/>
        </w:rPr>
        <w:t>to</w:t>
      </w:r>
    </w:p>
    <w:p>
      <w:pPr>
        <w:spacing w:after="0" w:line="8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Commission File Number: 0-21044</w:t>
      </w:r>
    </w:p>
    <w:p>
      <w:pPr>
        <w:spacing w:after="0" w:line="71" w:lineRule="exact"/>
        <w:rPr>
          <w:sz w:val="24"/>
          <w:szCs w:val="24"/>
          <w:color w:val="auto"/>
        </w:rPr>
      </w:pPr>
    </w:p>
    <w:p>
      <w:pPr>
        <w:ind w:left="3940"/>
        <w:spacing w:after="0"/>
        <w:rPr>
          <w:sz w:val="20"/>
          <w:szCs w:val="20"/>
          <w:color w:val="auto"/>
        </w:rPr>
      </w:pPr>
      <w:r>
        <w:rPr>
          <w:rFonts w:ascii="Arial" w:cs="Arial" w:eastAsia="Arial" w:hAnsi="Arial"/>
          <w:sz w:val="18"/>
          <w:szCs w:val="18"/>
          <w:color w:val="auto"/>
        </w:rPr>
        <w:t>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UNIVERSAL ELECTRONICS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40" w:lineRule="exact"/>
        <w:rPr>
          <w:sz w:val="24"/>
          <w:szCs w:val="24"/>
          <w:color w:val="auto"/>
        </w:rPr>
      </w:pPr>
    </w:p>
    <w:tbl>
      <w:tblPr>
        <w:tblLayout w:type="fixed"/>
        <w:tblInd w:w="1360" w:type="dxa"/>
        <w:tblCellMar>
          <w:top w:w="0" w:type="dxa"/>
          <w:left w:w="0" w:type="dxa"/>
          <w:bottom w:w="0" w:type="dxa"/>
          <w:right w:w="0" w:type="dxa"/>
        </w:tblCellMar>
      </w:tblP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Delaware</w:t>
            </w:r>
          </w:p>
        </w:tc>
        <w:tc>
          <w:tcPr>
            <w:tcW w:w="5100" w:type="dxa"/>
            <w:vAlign w:val="bottom"/>
          </w:tcPr>
          <w:p>
            <w:pPr>
              <w:jc w:val="right"/>
              <w:ind w:right="39"/>
              <w:spacing w:after="0"/>
              <w:rPr>
                <w:sz w:val="20"/>
                <w:szCs w:val="20"/>
                <w:color w:val="auto"/>
              </w:rPr>
            </w:pPr>
            <w:r>
              <w:rPr>
                <w:rFonts w:ascii="Arial" w:cs="Arial" w:eastAsia="Arial" w:hAnsi="Arial"/>
                <w:sz w:val="18"/>
                <w:szCs w:val="18"/>
                <w:b w:val="1"/>
                <w:bCs w:val="1"/>
                <w:color w:val="auto"/>
              </w:rPr>
              <w:t>33-0204817</w:t>
            </w:r>
          </w:p>
        </w:tc>
      </w:tr>
      <w:tr>
        <w:trPr>
          <w:trHeight w:val="180"/>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3"/>
              </w:rPr>
              <w:t>(State or Other Jurisdiction of</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5"/>
              </w:rPr>
              <w:t>Incorporation or Organization)</w:t>
            </w:r>
          </w:p>
        </w:tc>
        <w:tc>
          <w:tcPr>
            <w:tcW w:w="5100" w:type="dxa"/>
            <w:vAlign w:val="bottom"/>
          </w:tcPr>
          <w:p>
            <w:pPr>
              <w:jc w:val="center"/>
              <w:ind w:left="3899"/>
              <w:spacing w:after="0"/>
              <w:rPr>
                <w:sz w:val="20"/>
                <w:szCs w:val="20"/>
                <w:color w:val="auto"/>
              </w:rPr>
            </w:pPr>
            <w:r>
              <w:rPr>
                <w:rFonts w:ascii="Arial" w:cs="Arial" w:eastAsia="Arial" w:hAnsi="Arial"/>
                <w:sz w:val="14"/>
                <w:szCs w:val="14"/>
                <w:b w:val="1"/>
                <w:bCs w:val="1"/>
                <w:color w:val="auto"/>
                <w:w w:val="94"/>
              </w:rPr>
              <w:t>Identification No.)</w:t>
            </w:r>
          </w:p>
        </w:tc>
      </w:tr>
      <w:tr>
        <w:trPr>
          <w:trHeight w:val="358"/>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89"/>
              </w:rPr>
              <w:t>201 E. Sandpointe Avenue, 8</w:t>
            </w:r>
            <w:r>
              <w:rPr>
                <w:rFonts w:ascii="Arial" w:cs="Arial" w:eastAsia="Arial" w:hAnsi="Arial"/>
                <w:sz w:val="25"/>
                <w:szCs w:val="25"/>
                <w:b w:val="1"/>
                <w:bCs w:val="1"/>
                <w:color w:val="auto"/>
                <w:w w:val="89"/>
                <w:vertAlign w:val="superscript"/>
              </w:rPr>
              <w:t>th</w:t>
            </w:r>
            <w:r>
              <w:rPr>
                <w:rFonts w:ascii="Arial" w:cs="Arial" w:eastAsia="Arial" w:hAnsi="Arial"/>
                <w:sz w:val="18"/>
                <w:szCs w:val="18"/>
                <w:b w:val="1"/>
                <w:bCs w:val="1"/>
                <w:color w:val="auto"/>
                <w:w w:val="89"/>
              </w:rPr>
              <w:t xml:space="preserve"> Floor</w:t>
            </w:r>
          </w:p>
        </w:tc>
        <w:tc>
          <w:tcPr>
            <w:tcW w:w="5100" w:type="dxa"/>
            <w:vAlign w:val="bottom"/>
          </w:tcPr>
          <w:p>
            <w:pPr>
              <w:spacing w:after="0"/>
              <w:rPr>
                <w:sz w:val="24"/>
                <w:szCs w:val="24"/>
                <w:color w:val="auto"/>
              </w:rPr>
            </w:pPr>
          </w:p>
        </w:tc>
      </w:tr>
      <w:tr>
        <w:trPr>
          <w:trHeight w:val="234"/>
        </w:trPr>
        <w:tc>
          <w:tcPr>
            <w:tcW w:w="2780" w:type="dxa"/>
            <w:vAlign w:val="bottom"/>
          </w:tcPr>
          <w:p>
            <w:pPr>
              <w:jc w:val="center"/>
              <w:spacing w:after="0"/>
              <w:rPr>
                <w:sz w:val="20"/>
                <w:szCs w:val="20"/>
                <w:color w:val="auto"/>
              </w:rPr>
            </w:pPr>
            <w:r>
              <w:rPr>
                <w:rFonts w:ascii="Arial" w:cs="Arial" w:eastAsia="Arial" w:hAnsi="Arial"/>
                <w:sz w:val="18"/>
                <w:szCs w:val="18"/>
                <w:b w:val="1"/>
                <w:bCs w:val="1"/>
                <w:color w:val="auto"/>
                <w:w w:val="93"/>
              </w:rPr>
              <w:t>Santa Ana, California</w:t>
            </w:r>
          </w:p>
        </w:tc>
        <w:tc>
          <w:tcPr>
            <w:tcW w:w="5100" w:type="dxa"/>
            <w:vAlign w:val="bottom"/>
          </w:tcPr>
          <w:p>
            <w:pPr>
              <w:jc w:val="right"/>
              <w:ind w:right="239"/>
              <w:spacing w:after="0"/>
              <w:rPr>
                <w:sz w:val="20"/>
                <w:szCs w:val="20"/>
                <w:color w:val="auto"/>
              </w:rPr>
            </w:pPr>
            <w:r>
              <w:rPr>
                <w:rFonts w:ascii="Arial" w:cs="Arial" w:eastAsia="Arial" w:hAnsi="Arial"/>
                <w:sz w:val="18"/>
                <w:szCs w:val="18"/>
                <w:b w:val="1"/>
                <w:bCs w:val="1"/>
                <w:color w:val="auto"/>
              </w:rPr>
              <w:t>92707</w:t>
            </w:r>
          </w:p>
        </w:tc>
      </w:tr>
      <w:tr>
        <w:trPr>
          <w:trHeight w:val="218"/>
        </w:trPr>
        <w:tc>
          <w:tcPr>
            <w:tcW w:w="2780" w:type="dxa"/>
            <w:vAlign w:val="bottom"/>
          </w:tcPr>
          <w:p>
            <w:pPr>
              <w:jc w:val="center"/>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5100" w:type="dxa"/>
            <w:vAlign w:val="bottom"/>
          </w:tcPr>
          <w:p>
            <w:pPr>
              <w:jc w:val="center"/>
              <w:ind w:left="3919"/>
              <w:spacing w:after="0"/>
              <w:rPr>
                <w:sz w:val="20"/>
                <w:szCs w:val="20"/>
                <w:color w:val="auto"/>
              </w:rPr>
            </w:pPr>
            <w:r>
              <w:rPr>
                <w:rFonts w:ascii="Arial" w:cs="Arial" w:eastAsia="Arial" w:hAnsi="Arial"/>
                <w:sz w:val="14"/>
                <w:szCs w:val="14"/>
                <w:b w:val="1"/>
                <w:bCs w:val="1"/>
                <w:color w:val="auto"/>
                <w:w w:val="95"/>
              </w:rPr>
              <w:t>(Zip Code)</w:t>
            </w:r>
          </w:p>
        </w:tc>
      </w:tr>
      <w:tr>
        <w:trPr>
          <w:trHeight w:val="390"/>
        </w:trPr>
        <w:tc>
          <w:tcPr>
            <w:tcW w:w="7880" w:type="dxa"/>
            <w:vAlign w:val="bottom"/>
            <w:gridSpan w:val="2"/>
          </w:tcPr>
          <w:p>
            <w:pPr>
              <w:jc w:val="center"/>
              <w:ind w:left="738"/>
              <w:spacing w:after="0"/>
              <w:rPr>
                <w:sz w:val="20"/>
                <w:szCs w:val="20"/>
                <w:color w:val="auto"/>
              </w:rPr>
            </w:pPr>
            <w:r>
              <w:rPr>
                <w:rFonts w:ascii="Arial" w:cs="Arial" w:eastAsia="Arial" w:hAnsi="Arial"/>
                <w:sz w:val="18"/>
                <w:szCs w:val="18"/>
                <w:b w:val="1"/>
                <w:bCs w:val="1"/>
                <w:color w:val="auto"/>
                <w:w w:val="89"/>
              </w:rPr>
              <w:t>Registrant's telephone number, including area code: (714) 918-9500</w:t>
            </w:r>
          </w:p>
        </w:tc>
      </w:tr>
      <w:tr>
        <w:trPr>
          <w:trHeight w:val="284"/>
        </w:trPr>
        <w:tc>
          <w:tcPr>
            <w:tcW w:w="2780" w:type="dxa"/>
            <w:vAlign w:val="bottom"/>
          </w:tcPr>
          <w:p>
            <w:pPr>
              <w:spacing w:after="0"/>
              <w:rPr>
                <w:sz w:val="24"/>
                <w:szCs w:val="24"/>
                <w:color w:val="auto"/>
              </w:rPr>
            </w:pPr>
          </w:p>
        </w:tc>
        <w:tc>
          <w:tcPr>
            <w:tcW w:w="5100" w:type="dxa"/>
            <w:vAlign w:val="bottom"/>
          </w:tcPr>
          <w:p>
            <w:pPr>
              <w:jc w:val="right"/>
              <w:ind w:right="1939"/>
              <w:spacing w:after="0"/>
              <w:rPr>
                <w:sz w:val="20"/>
                <w:szCs w:val="20"/>
                <w:color w:val="auto"/>
              </w:rPr>
            </w:pPr>
            <w:r>
              <w:rPr>
                <w:rFonts w:ascii="Arial" w:cs="Arial" w:eastAsia="Arial" w:hAnsi="Arial"/>
                <w:sz w:val="18"/>
                <w:szCs w:val="18"/>
                <w:color w:val="auto"/>
                <w:w w:val="89"/>
              </w:rPr>
              <w:t>__________________________________</w:t>
            </w:r>
          </w:p>
        </w:tc>
      </w:tr>
    </w:tbl>
    <w:p>
      <w:pPr>
        <w:spacing w:after="0" w:line="148" w:lineRule="exact"/>
        <w:rPr>
          <w:sz w:val="24"/>
          <w:szCs w:val="24"/>
          <w:color w:val="auto"/>
        </w:rPr>
      </w:pPr>
    </w:p>
    <w:p>
      <w:pPr>
        <w:ind w:right="480"/>
        <w:spacing w:after="0" w:line="233" w:lineRule="exact"/>
        <w:rPr>
          <w:sz w:val="20"/>
          <w:szCs w:val="20"/>
          <w:color w:val="auto"/>
        </w:rPr>
      </w:pPr>
      <w:r>
        <w:rPr>
          <w:rFonts w:ascii="Arial" w:cs="Arial" w:eastAsia="Arial" w:hAnsi="Arial"/>
          <w:sz w:val="17"/>
          <w:szCs w:val="17"/>
          <w:color w:val="auto"/>
        </w:rPr>
        <w:t xml:space="preserve">Indicate by check mark whether the registrant (1) has filed all reports required to be filed by Section 13 or 15(d) of the Securities Exchange Act of 1934 during the preceding 12 months, and (2) has been subject to such filing requirements for the past 90 days.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w:t>
      </w:r>
      <w:r>
        <w:rPr>
          <w:rFonts w:ascii="MS PGothic" w:cs="MS PGothic" w:eastAsia="MS PGothic" w:hAnsi="MS PGothic"/>
          <w:sz w:val="17"/>
          <w:szCs w:val="17"/>
          <w:color w:val="auto"/>
        </w:rPr>
        <w:t>☐</w:t>
      </w:r>
    </w:p>
    <w:p>
      <w:pPr>
        <w:spacing w:after="0" w:line="128" w:lineRule="exact"/>
        <w:rPr>
          <w:sz w:val="24"/>
          <w:szCs w:val="24"/>
          <w:color w:val="auto"/>
        </w:rPr>
      </w:pPr>
    </w:p>
    <w:p>
      <w:pPr>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any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30" w:lineRule="exact"/>
        <w:rPr>
          <w:sz w:val="24"/>
          <w:szCs w:val="24"/>
          <w:color w:val="auto"/>
        </w:rPr>
      </w:pPr>
    </w:p>
    <w:p>
      <w:pPr>
        <w:ind w:right="1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 (Check one):</w:t>
      </w:r>
    </w:p>
    <w:p>
      <w:pPr>
        <w:sectPr>
          <w:pgSz w:w="11900" w:h="16838" w:orient="portrait"/>
          <w:cols w:equalWidth="0" w:num="1">
            <w:col w:w="11420"/>
          </w:cols>
          <w:pgMar w:left="240" w:top="517" w:right="239" w:bottom="1440" w:gutter="0" w:footer="0" w:header="0"/>
        </w:sectPr>
      </w:pPr>
    </w:p>
    <w:p>
      <w:pPr>
        <w:spacing w:after="0" w:line="282"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8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2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31" w:lineRule="exact"/>
        <w:rPr>
          <w:sz w:val="24"/>
          <w:szCs w:val="24"/>
          <w:color w:val="auto"/>
        </w:rPr>
      </w:pPr>
    </w:p>
    <w:p>
      <w:pPr>
        <w:sectPr>
          <w:pgSz w:w="11900" w:h="16838" w:orient="portrait"/>
          <w:cols w:equalWidth="0" w:num="4">
            <w:col w:w="1660" w:space="540"/>
            <w:col w:w="5560" w:space="720"/>
            <w:col w:w="1880" w:space="720"/>
            <w:col w:w="340"/>
          </w:cols>
          <w:pgMar w:left="240" w:top="517" w:right="239" w:bottom="1440" w:gutter="0" w:footer="0" w:header="0"/>
          <w:type w:val="continuous"/>
        </w:sectPr>
      </w:pPr>
    </w:p>
    <w:p>
      <w:pPr>
        <w:spacing w:after="0" w:line="33" w:lineRule="exact"/>
        <w:rPr>
          <w:sz w:val="24"/>
          <w:szCs w:val="24"/>
          <w:color w:val="auto"/>
        </w:rPr>
      </w:pPr>
    </w:p>
    <w:p>
      <w:pPr>
        <w:ind w:left="40"/>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61" w:lineRule="exact"/>
        <w:rPr>
          <w:sz w:val="20"/>
          <w:szCs w:val="20"/>
          <w:color w:val="auto"/>
        </w:rPr>
      </w:pP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45" w:lineRule="exact"/>
        <w:rPr>
          <w:sz w:val="24"/>
          <w:szCs w:val="24"/>
          <w:color w:val="auto"/>
        </w:rPr>
      </w:pPr>
    </w:p>
    <w:p>
      <w:pPr>
        <w:sectPr>
          <w:pgSz w:w="11900" w:h="16838" w:orient="portrait"/>
          <w:cols w:equalWidth="0" w:num="5">
            <w:col w:w="1560" w:space="640"/>
            <w:col w:w="180" w:space="80"/>
            <w:col w:w="5300" w:space="720"/>
            <w:col w:w="1960" w:space="640"/>
            <w:col w:w="340"/>
          </w:cols>
          <w:pgMar w:left="240" w:top="517" w:right="239" w:bottom="1440" w:gutter="0" w:footer="0" w:header="0"/>
          <w:type w:val="continuous"/>
        </w:sectPr>
      </w:pPr>
    </w:p>
    <w:p>
      <w:pPr>
        <w:spacing w:after="0" w:line="32" w:lineRule="exact"/>
        <w:rPr>
          <w:sz w:val="24"/>
          <w:szCs w:val="24"/>
          <w:color w:val="auto"/>
        </w:rPr>
      </w:pPr>
    </w:p>
    <w:p>
      <w:pPr>
        <w:spacing w:after="0"/>
        <w:rPr>
          <w:sz w:val="20"/>
          <w:szCs w:val="20"/>
          <w:color w:val="auto"/>
        </w:rPr>
      </w:pPr>
      <w:r>
        <w:rPr>
          <w:rFonts w:ascii="Arial" w:cs="Arial" w:eastAsia="Arial" w:hAnsi="Arial"/>
          <w:sz w:val="16"/>
          <w:szCs w:val="16"/>
          <w:color w:val="auto"/>
        </w:rPr>
        <w:t>Indicate by check mark whether the registrant is a shell company (as defined in Rule 12b-2 of the Act).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5"/>
          <w:szCs w:val="15"/>
          <w:color w:val="auto"/>
        </w:rPr>
        <w:t>Yes</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2" w:lineRule="exact"/>
        <w:rPr>
          <w:sz w:val="24"/>
          <w:szCs w:val="24"/>
          <w:color w:val="auto"/>
        </w:rPr>
      </w:pPr>
    </w:p>
    <w:p>
      <w:pPr>
        <w:spacing w:after="0"/>
        <w:rPr>
          <w:sz w:val="20"/>
          <w:szCs w:val="20"/>
          <w:color w:val="auto"/>
        </w:rPr>
      </w:pPr>
      <w:r>
        <w:rPr>
          <w:rFonts w:ascii="Arial" w:cs="Arial" w:eastAsia="Arial" w:hAnsi="Arial"/>
          <w:sz w:val="17"/>
          <w:szCs w:val="17"/>
          <w:color w:val="auto"/>
        </w:rPr>
        <w:t>No</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64" w:lineRule="exact"/>
        <w:rPr>
          <w:sz w:val="24"/>
          <w:szCs w:val="24"/>
          <w:color w:val="auto"/>
        </w:rPr>
      </w:pPr>
    </w:p>
    <w:p>
      <w:pPr>
        <w:sectPr>
          <w:pgSz w:w="11900" w:h="16838" w:orient="portrait"/>
          <w:cols w:equalWidth="0" w:num="5">
            <w:col w:w="7440" w:space="160"/>
            <w:col w:w="260" w:space="100"/>
            <w:col w:w="160" w:space="180"/>
            <w:col w:w="220" w:space="80"/>
            <w:col w:w="2820"/>
          </w:cols>
          <w:pgMar w:left="240" w:top="517" w:right="239" w:bottom="1440" w:gutter="0" w:footer="0" w:header="0"/>
          <w:type w:val="continuous"/>
        </w:sectPr>
      </w:pPr>
    </w:p>
    <w:p>
      <w:pPr>
        <w:ind w:right="340"/>
        <w:spacing w:after="0" w:line="277" w:lineRule="auto"/>
        <w:rPr>
          <w:sz w:val="20"/>
          <w:szCs w:val="20"/>
          <w:color w:val="auto"/>
        </w:rPr>
      </w:pPr>
      <w:r>
        <w:rPr>
          <w:rFonts w:ascii="Arial" w:cs="Arial" w:eastAsia="Arial" w:hAnsi="Arial"/>
          <w:sz w:val="18"/>
          <w:szCs w:val="18"/>
          <w:color w:val="auto"/>
        </w:rPr>
        <w:t>Indicate the number of shares outstanding of each of the issuer's classes of common stock, as of the latest practicable date: 15,282,389 shares of Common Stock, par value $0.01 per share, of the registrant were outstanding on August 1, 2013.</w:t>
      </w:r>
    </w:p>
    <w:p>
      <w:pPr>
        <w:sectPr>
          <w:pgSz w:w="11900" w:h="16838" w:orient="portrait"/>
          <w:cols w:equalWidth="0" w:num="1">
            <w:col w:w="11420"/>
          </w:cols>
          <w:pgMar w:left="240" w:top="517" w:right="2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4880" w:type="dxa"/>
            <w:vAlign w:val="bottom"/>
            <w:gridSpan w:val="3"/>
          </w:tcPr>
          <w:p>
            <w:pPr>
              <w:jc w:val="center"/>
              <w:ind w:right="1440"/>
              <w:spacing w:after="0"/>
              <w:rPr>
                <w:sz w:val="20"/>
                <w:szCs w:val="20"/>
                <w:color w:val="auto"/>
              </w:rPr>
            </w:pPr>
            <w:r>
              <w:rPr>
                <w:rFonts w:ascii="Arial" w:cs="Arial" w:eastAsia="Arial" w:hAnsi="Arial"/>
                <w:sz w:val="18"/>
                <w:szCs w:val="18"/>
                <w:b w:val="1"/>
                <w:bCs w:val="1"/>
                <w:color w:val="auto"/>
              </w:rPr>
              <w:t>UNIVERSAL ELECTRONICS INC.</w:t>
            </w:r>
          </w:p>
        </w:tc>
        <w:tc>
          <w:tcPr>
            <w:tcW w:w="17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3940" w:type="dxa"/>
            <w:vAlign w:val="bottom"/>
            <w:gridSpan w:val="2"/>
          </w:tcPr>
          <w:p>
            <w:pPr>
              <w:jc w:val="center"/>
              <w:ind w:right="2400"/>
              <w:spacing w:after="0"/>
              <w:rPr>
                <w:sz w:val="20"/>
                <w:szCs w:val="20"/>
                <w:color w:val="auto"/>
              </w:rPr>
            </w:pPr>
            <w:r>
              <w:rPr>
                <w:rFonts w:ascii="Arial" w:cs="Arial" w:eastAsia="Arial" w:hAnsi="Arial"/>
                <w:sz w:val="18"/>
                <w:szCs w:val="18"/>
                <w:b w:val="1"/>
                <w:bCs w:val="1"/>
                <w:color w:val="auto"/>
              </w:rPr>
              <w:t>INDEX</w:t>
            </w:r>
          </w:p>
        </w:tc>
        <w:tc>
          <w:tcPr>
            <w:tcW w:w="17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77"/>
        </w:trPr>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20" w:type="dxa"/>
            <w:vAlign w:val="bottom"/>
            <w:gridSpan w:val="3"/>
          </w:tcPr>
          <w:p>
            <w:pPr>
              <w:jc w:val="right"/>
              <w:spacing w:after="0"/>
              <w:rPr>
                <w:sz w:val="20"/>
                <w:szCs w:val="20"/>
                <w:color w:val="auto"/>
              </w:rPr>
            </w:pPr>
            <w:r>
              <w:rPr>
                <w:rFonts w:ascii="Arial" w:cs="Arial" w:eastAsia="Arial" w:hAnsi="Arial"/>
                <w:sz w:val="14"/>
                <w:szCs w:val="14"/>
                <w:b w:val="1"/>
                <w:bCs w:val="1"/>
                <w:color w:val="auto"/>
              </w:rPr>
              <w:t>Page</w:t>
            </w:r>
          </w:p>
        </w:tc>
      </w:tr>
      <w:tr>
        <w:trPr>
          <w:trHeight w:val="158"/>
        </w:trPr>
        <w:tc>
          <w:tcPr>
            <w:tcW w:w="2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100" w:type="dxa"/>
            <w:vAlign w:val="bottom"/>
          </w:tcPr>
          <w:p>
            <w:pPr>
              <w:spacing w:after="0"/>
              <w:rPr>
                <w:sz w:val="13"/>
                <w:szCs w:val="13"/>
                <w:color w:val="auto"/>
              </w:rPr>
            </w:pPr>
          </w:p>
        </w:tc>
        <w:tc>
          <w:tcPr>
            <w:tcW w:w="1840" w:type="dxa"/>
            <w:vAlign w:val="bottom"/>
          </w:tcPr>
          <w:p>
            <w:pPr>
              <w:spacing w:after="0"/>
              <w:rPr>
                <w:sz w:val="13"/>
                <w:szCs w:val="13"/>
                <w:color w:val="auto"/>
              </w:rPr>
            </w:pPr>
          </w:p>
        </w:tc>
        <w:tc>
          <w:tcPr>
            <w:tcW w:w="1740" w:type="dxa"/>
            <w:vAlign w:val="bottom"/>
          </w:tcPr>
          <w:p>
            <w:pPr>
              <w:spacing w:after="0"/>
              <w:rPr>
                <w:sz w:val="13"/>
                <w:szCs w:val="13"/>
                <w:color w:val="auto"/>
              </w:rPr>
            </w:pPr>
          </w:p>
        </w:tc>
        <w:tc>
          <w:tcPr>
            <w:tcW w:w="520" w:type="dxa"/>
            <w:vAlign w:val="bottom"/>
            <w:tcBorders>
              <w:bottom w:val="single" w:sz="8" w:color="auto"/>
            </w:tcBorders>
            <w:gridSpan w:val="3"/>
          </w:tcPr>
          <w:p>
            <w:pPr>
              <w:jc w:val="right"/>
              <w:spacing w:after="0" w:line="158" w:lineRule="exact"/>
              <w:rPr>
                <w:sz w:val="20"/>
                <w:szCs w:val="20"/>
                <w:color w:val="auto"/>
              </w:rPr>
            </w:pPr>
            <w:r>
              <w:rPr>
                <w:rFonts w:ascii="Arial" w:cs="Arial" w:eastAsia="Arial" w:hAnsi="Arial"/>
                <w:sz w:val="14"/>
                <w:szCs w:val="14"/>
                <w:b w:val="1"/>
                <w:bCs w:val="1"/>
                <w:color w:val="auto"/>
                <w:w w:val="94"/>
              </w:rPr>
              <w:t>Number</w:t>
            </w:r>
          </w:p>
        </w:tc>
      </w:tr>
      <w:tr>
        <w:trPr>
          <w:trHeight w:val="223"/>
        </w:trPr>
        <w:tc>
          <w:tcPr>
            <w:tcW w:w="8840" w:type="dxa"/>
            <w:vAlign w:val="bottom"/>
            <w:gridSpan w:val="18"/>
          </w:tcPr>
          <w:p>
            <w:pPr>
              <w:spacing w:after="0"/>
              <w:rPr>
                <w:rFonts w:ascii="Arial" w:cs="Arial" w:eastAsia="Arial" w:hAnsi="Arial"/>
                <w:sz w:val="18"/>
                <w:szCs w:val="18"/>
                <w:b w:val="1"/>
                <w:bCs w:val="1"/>
                <w:color w:val="0000FF"/>
              </w:rPr>
            </w:pPr>
            <w:hyperlink w:anchor="page2">
              <w:r>
                <w:rPr>
                  <w:rFonts w:ascii="Arial" w:cs="Arial" w:eastAsia="Arial" w:hAnsi="Arial"/>
                  <w:sz w:val="18"/>
                  <w:szCs w:val="18"/>
                  <w:b w:val="1"/>
                  <w:bCs w:val="1"/>
                  <w:color w:val="0000FF"/>
                </w:rPr>
                <w:t>PART I. FINANCIAL INFORMATION</w:t>
              </w:r>
            </w:hyperlink>
          </w:p>
        </w:tc>
        <w:tc>
          <w:tcPr>
            <w:tcW w:w="2260" w:type="dxa"/>
            <w:vAlign w:val="bottom"/>
            <w:gridSpan w:val="4"/>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3</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Item 1. Consolidated Financial Statements (Unaudited)</w:t>
              </w:r>
            </w:hyperlink>
          </w:p>
        </w:tc>
        <w:tc>
          <w:tcPr>
            <w:tcW w:w="226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3</w:t>
              </w:r>
            </w:hyperlink>
          </w:p>
        </w:tc>
      </w:tr>
      <w:tr>
        <w:trPr>
          <w:trHeight w:val="250"/>
        </w:trPr>
        <w:tc>
          <w:tcPr>
            <w:tcW w:w="240" w:type="dxa"/>
            <w:vAlign w:val="bottom"/>
            <w:tcBorders>
              <w:top w:val="single" w:sz="8" w:color="0000FF"/>
            </w:tcBorders>
          </w:tcPr>
          <w:p>
            <w:pPr>
              <w:spacing w:after="0"/>
              <w:rPr>
                <w:sz w:val="21"/>
                <w:szCs w:val="21"/>
                <w:color w:val="auto"/>
              </w:rPr>
            </w:pPr>
          </w:p>
        </w:tc>
        <w:tc>
          <w:tcPr>
            <w:tcW w:w="2100" w:type="dxa"/>
            <w:vAlign w:val="bottom"/>
            <w:tcBorders>
              <w:top w:val="single" w:sz="8" w:color="0000FF"/>
              <w:bottom w:val="single" w:sz="8" w:color="0000FF"/>
            </w:tcBorders>
            <w:gridSpan w:val="7"/>
          </w:tcPr>
          <w:p>
            <w:pPr>
              <w:spacing w:after="0"/>
              <w:rPr>
                <w:rFonts w:ascii="Arial" w:cs="Arial" w:eastAsia="Arial" w:hAnsi="Arial"/>
                <w:sz w:val="18"/>
                <w:szCs w:val="18"/>
                <w:color w:val="0000FF"/>
                <w:w w:val="88"/>
              </w:rPr>
            </w:pPr>
            <w:hyperlink w:anchor="page3">
              <w:r>
                <w:rPr>
                  <w:rFonts w:ascii="Arial" w:cs="Arial" w:eastAsia="Arial" w:hAnsi="Arial"/>
                  <w:sz w:val="18"/>
                  <w:szCs w:val="18"/>
                  <w:color w:val="0000FF"/>
                  <w:w w:val="88"/>
                </w:rPr>
                <w:t>Consolidated Balance Sheets</w:t>
              </w:r>
            </w:hyperlink>
          </w:p>
        </w:tc>
        <w:tc>
          <w:tcPr>
            <w:tcW w:w="1620" w:type="dxa"/>
            <w:vAlign w:val="bottom"/>
            <w:tcBorders>
              <w:top w:val="single" w:sz="8" w:color="0000FF"/>
            </w:tcBorders>
            <w:gridSpan w:val="7"/>
          </w:tcPr>
          <w:p>
            <w:pPr>
              <w:spacing w:after="0"/>
              <w:rPr>
                <w:sz w:val="21"/>
                <w:szCs w:val="21"/>
                <w:color w:val="auto"/>
              </w:rPr>
            </w:pPr>
          </w:p>
        </w:tc>
        <w:tc>
          <w:tcPr>
            <w:tcW w:w="4880" w:type="dxa"/>
            <w:vAlign w:val="bottom"/>
            <w:gridSpan w:val="3"/>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FF"/>
              <w:bottom w:val="single" w:sz="8" w:color="0000FF"/>
            </w:tcBorders>
          </w:tcPr>
          <w:p>
            <w:pPr>
              <w:jc w:val="right"/>
              <w:spacing w:after="0"/>
              <w:rPr>
                <w:rFonts w:ascii="Arial" w:cs="Arial" w:eastAsia="Arial" w:hAnsi="Arial"/>
                <w:sz w:val="18"/>
                <w:szCs w:val="18"/>
                <w:color w:val="0000FF"/>
                <w:w w:val="79"/>
              </w:rPr>
            </w:pPr>
            <w:hyperlink w:anchor="page3">
              <w:r>
                <w:rPr>
                  <w:rFonts w:ascii="Arial" w:cs="Arial" w:eastAsia="Arial" w:hAnsi="Arial"/>
                  <w:sz w:val="18"/>
                  <w:szCs w:val="18"/>
                  <w:color w:val="0000FF"/>
                  <w:w w:val="79"/>
                </w:rPr>
                <w:t>3</w:t>
              </w:r>
            </w:hyperlink>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FF"/>
              </w:rPr>
            </w:pPr>
            <w:hyperlink w:anchor="page3">
              <w:r>
                <w:rPr>
                  <w:rFonts w:ascii="Arial" w:cs="Arial" w:eastAsia="Arial" w:hAnsi="Arial"/>
                  <w:sz w:val="18"/>
                  <w:szCs w:val="18"/>
                  <w:color w:val="0000FF"/>
                </w:rPr>
                <w:t>Consolidated Income Statements</w:t>
              </w:r>
            </w:hyperlink>
          </w:p>
        </w:tc>
        <w:tc>
          <w:tcPr>
            <w:tcW w:w="2260" w:type="dxa"/>
            <w:vAlign w:val="bottom"/>
            <w:gridSpan w:val="4"/>
          </w:tcPr>
          <w:p>
            <w:pPr>
              <w:jc w:val="right"/>
              <w:spacing w:after="0"/>
              <w:rPr>
                <w:rFonts w:ascii="Arial" w:cs="Arial" w:eastAsia="Arial" w:hAnsi="Arial"/>
                <w:sz w:val="18"/>
                <w:szCs w:val="18"/>
                <w:color w:val="0000FF"/>
              </w:rPr>
            </w:pPr>
            <w:hyperlink w:anchor="page3">
              <w:r>
                <w:rPr>
                  <w:rFonts w:ascii="Arial" w:cs="Arial" w:eastAsia="Arial" w:hAnsi="Arial"/>
                  <w:sz w:val="18"/>
                  <w:szCs w:val="18"/>
                  <w:color w:val="0000FF"/>
                </w:rPr>
                <w:t>4</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8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Comprehensive Income Statements</w:t>
              </w:r>
            </w:hyperlink>
          </w:p>
        </w:tc>
        <w:tc>
          <w:tcPr>
            <w:tcW w:w="2260" w:type="dxa"/>
            <w:vAlign w:val="bottom"/>
            <w:gridSpan w:val="4"/>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5</w:t>
              </w:r>
            </w:hyperlink>
          </w:p>
        </w:tc>
      </w:tr>
      <w:tr>
        <w:trPr>
          <w:trHeight w:val="250"/>
        </w:trPr>
        <w:tc>
          <w:tcPr>
            <w:tcW w:w="240" w:type="dxa"/>
            <w:vAlign w:val="bottom"/>
          </w:tcPr>
          <w:p>
            <w:pPr>
              <w:spacing w:after="0"/>
              <w:rPr>
                <w:sz w:val="21"/>
                <w:szCs w:val="21"/>
                <w:color w:val="auto"/>
              </w:rPr>
            </w:pPr>
          </w:p>
        </w:tc>
        <w:tc>
          <w:tcPr>
            <w:tcW w:w="3540" w:type="dxa"/>
            <w:vAlign w:val="bottom"/>
            <w:tcBorders>
              <w:top w:val="single" w:sz="8" w:color="0000FF"/>
            </w:tcBorders>
            <w:gridSpan w:val="13"/>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Consolidated Statements of Cash Flows</w:t>
              </w:r>
            </w:hyperlink>
          </w:p>
        </w:tc>
        <w:tc>
          <w:tcPr>
            <w:tcW w:w="5060" w:type="dxa"/>
            <w:vAlign w:val="bottom"/>
            <w:gridSpan w:val="4"/>
          </w:tcPr>
          <w:p>
            <w:pPr>
              <w:spacing w:after="0"/>
              <w:rPr>
                <w:sz w:val="21"/>
                <w:szCs w:val="21"/>
                <w:color w:val="auto"/>
              </w:rPr>
            </w:pPr>
          </w:p>
        </w:tc>
        <w:tc>
          <w:tcPr>
            <w:tcW w:w="2160" w:type="dxa"/>
            <w:vAlign w:val="bottom"/>
            <w:gridSpan w:val="3"/>
          </w:tcPr>
          <w:p>
            <w:pPr>
              <w:spacing w:after="0"/>
              <w:rPr>
                <w:sz w:val="21"/>
                <w:szCs w:val="21"/>
                <w:color w:val="auto"/>
              </w:rPr>
            </w:pPr>
          </w:p>
        </w:tc>
        <w:tc>
          <w:tcPr>
            <w:tcW w:w="100" w:type="dxa"/>
            <w:vAlign w:val="bottom"/>
            <w:tcBorders>
              <w:top w:val="single" w:sz="8" w:color="0000FF"/>
            </w:tcBorders>
          </w:tcPr>
          <w:p>
            <w:pPr>
              <w:jc w:val="right"/>
              <w:spacing w:after="0"/>
              <w:rPr>
                <w:rFonts w:ascii="Arial" w:cs="Arial" w:eastAsia="Arial" w:hAnsi="Arial"/>
                <w:sz w:val="18"/>
                <w:szCs w:val="18"/>
                <w:color w:val="0000FF"/>
                <w:w w:val="79"/>
              </w:rPr>
            </w:pPr>
            <w:hyperlink w:anchor="page5">
              <w:r>
                <w:rPr>
                  <w:rFonts w:ascii="Arial" w:cs="Arial" w:eastAsia="Arial" w:hAnsi="Arial"/>
                  <w:sz w:val="18"/>
                  <w:szCs w:val="18"/>
                  <w:color w:val="0000FF"/>
                  <w:w w:val="79"/>
                </w:rPr>
                <w:t>6</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240" w:type="dxa"/>
            <w:vAlign w:val="bottom"/>
          </w:tcPr>
          <w:p>
            <w:pPr>
              <w:spacing w:after="0"/>
              <w:rPr>
                <w:sz w:val="21"/>
                <w:szCs w:val="21"/>
                <w:color w:val="auto"/>
              </w:rPr>
            </w:pPr>
          </w:p>
        </w:tc>
        <w:tc>
          <w:tcPr>
            <w:tcW w:w="8600" w:type="dxa"/>
            <w:vAlign w:val="bottom"/>
            <w:gridSpan w:val="17"/>
          </w:tcPr>
          <w:p>
            <w:pPr>
              <w:spacing w:after="0"/>
              <w:rPr>
                <w:rFonts w:ascii="Arial" w:cs="Arial" w:eastAsia="Arial" w:hAnsi="Arial"/>
                <w:sz w:val="18"/>
                <w:szCs w:val="18"/>
                <w:color w:val="0000FF"/>
              </w:rPr>
            </w:pPr>
            <w:hyperlink w:anchor="page6">
              <w:r>
                <w:rPr>
                  <w:rFonts w:ascii="Arial" w:cs="Arial" w:eastAsia="Arial" w:hAnsi="Arial"/>
                  <w:sz w:val="18"/>
                  <w:szCs w:val="18"/>
                  <w:color w:val="0000FF"/>
                </w:rPr>
                <w:t>Notes to Consolidated Financial Statements</w:t>
              </w:r>
            </w:hyperlink>
          </w:p>
        </w:tc>
        <w:tc>
          <w:tcPr>
            <w:tcW w:w="226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7</w:t>
              </w:r>
            </w:hyperlink>
          </w:p>
        </w:tc>
      </w:tr>
      <w:tr>
        <w:trPr>
          <w:trHeight w:val="20"/>
        </w:trPr>
        <w:tc>
          <w:tcPr>
            <w:tcW w:w="2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20" w:type="dxa"/>
            <w:vAlign w:val="bottom"/>
            <w:gridSpan w:val="3"/>
            <w:shd w:val="clear" w:color="auto" w:fill="0000FF"/>
          </w:tcPr>
          <w:p>
            <w:pPr>
              <w:spacing w:after="0" w:line="20" w:lineRule="exact"/>
              <w:rPr>
                <w:sz w:val="1"/>
                <w:szCs w:val="1"/>
                <w:color w:val="auto"/>
              </w:rPr>
            </w:pPr>
          </w:p>
        </w:tc>
        <w:tc>
          <w:tcPr>
            <w:tcW w:w="152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7000" w:type="dxa"/>
            <w:vAlign w:val="bottom"/>
            <w:gridSpan w:val="17"/>
          </w:tcPr>
          <w:p>
            <w:pPr>
              <w:spacing w:after="0"/>
              <w:rPr>
                <w:rFonts w:ascii="Arial" w:cs="Arial" w:eastAsia="Arial" w:hAnsi="Arial"/>
                <w:sz w:val="18"/>
                <w:szCs w:val="18"/>
                <w:color w:val="0000FF"/>
                <w:w w:val="90"/>
              </w:rPr>
            </w:pPr>
            <w:hyperlink w:anchor="page20">
              <w:r>
                <w:rPr>
                  <w:rFonts w:ascii="Arial" w:cs="Arial" w:eastAsia="Arial" w:hAnsi="Arial"/>
                  <w:sz w:val="18"/>
                  <w:szCs w:val="18"/>
                  <w:color w:val="0000FF"/>
                  <w:w w:val="90"/>
                </w:rPr>
                <w:t>Item 2. Management's Discussion and Analysis of Financial Condition and Results of Operations</w:t>
              </w:r>
            </w:hyperlink>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0">
              <w:r>
                <w:rPr>
                  <w:rFonts w:ascii="Arial" w:cs="Arial" w:eastAsia="Arial" w:hAnsi="Arial"/>
                  <w:sz w:val="18"/>
                  <w:szCs w:val="18"/>
                  <w:color w:val="0000FF"/>
                </w:rPr>
                <w:t>21</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2100" w:type="dxa"/>
            <w:vAlign w:val="bottom"/>
            <w:tcBorders>
              <w:left w:val="single" w:sz="8" w:color="0000FF"/>
            </w:tcBorders>
            <w:shd w:val="clear" w:color="auto" w:fill="0000FF"/>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FF"/>
                <w:w w:val="91"/>
              </w:rPr>
            </w:pPr>
            <w:hyperlink w:anchor="page27">
              <w:r>
                <w:rPr>
                  <w:rFonts w:ascii="Arial" w:cs="Arial" w:eastAsia="Arial" w:hAnsi="Arial"/>
                  <w:sz w:val="18"/>
                  <w:szCs w:val="18"/>
                  <w:color w:val="0000FF"/>
                  <w:w w:val="91"/>
                </w:rPr>
                <w:t>Item 3. Quantitative and Qualitative Disclosures About Market Risk</w:t>
              </w:r>
            </w:hyperlink>
          </w:p>
        </w:tc>
        <w:tc>
          <w:tcPr>
            <w:tcW w:w="2100" w:type="dxa"/>
            <w:vAlign w:val="bottom"/>
          </w:tcPr>
          <w:p>
            <w:pPr>
              <w:spacing w:after="0"/>
              <w:rPr>
                <w:sz w:val="21"/>
                <w:szCs w:val="21"/>
                <w:color w:val="auto"/>
              </w:rPr>
            </w:pPr>
          </w:p>
        </w:tc>
        <w:tc>
          <w:tcPr>
            <w:tcW w:w="1840" w:type="dxa"/>
            <w:vAlign w:val="bottom"/>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27</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2140" w:type="dxa"/>
            <w:vAlign w:val="bottom"/>
            <w:gridSpan w:val="6"/>
            <w:shd w:val="clear" w:color="auto" w:fill="0000FF"/>
          </w:tcPr>
          <w:p>
            <w:pPr>
              <w:spacing w:after="0" w:line="20" w:lineRule="exact"/>
              <w:rPr>
                <w:sz w:val="1"/>
                <w:szCs w:val="1"/>
                <w:color w:val="auto"/>
              </w:rPr>
            </w:pPr>
          </w:p>
        </w:tc>
        <w:tc>
          <w:tcPr>
            <w:tcW w:w="3940" w:type="dxa"/>
            <w:vAlign w:val="bottom"/>
            <w:tcBorders>
              <w:left w:val="single" w:sz="8" w:color="0000FF"/>
            </w:tcBorders>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320" w:type="dxa"/>
            <w:vAlign w:val="bottom"/>
            <w:gridSpan w:val="7"/>
          </w:tcPr>
          <w:p>
            <w:pPr>
              <w:spacing w:after="0"/>
              <w:rPr>
                <w:rFonts w:ascii="Arial" w:cs="Arial" w:eastAsia="Arial" w:hAnsi="Arial"/>
                <w:sz w:val="18"/>
                <w:szCs w:val="18"/>
                <w:color w:val="0000FF"/>
                <w:w w:val="88"/>
              </w:rPr>
            </w:pPr>
            <w:hyperlink w:anchor="page27">
              <w:r>
                <w:rPr>
                  <w:rFonts w:ascii="Arial" w:cs="Arial" w:eastAsia="Arial" w:hAnsi="Arial"/>
                  <w:sz w:val="18"/>
                  <w:szCs w:val="18"/>
                  <w:color w:val="0000FF"/>
                  <w:w w:val="88"/>
                </w:rPr>
                <w:t>Item 4. Controls and Procedures</w:t>
              </w:r>
            </w:hyperlink>
          </w:p>
        </w:tc>
        <w:tc>
          <w:tcPr>
            <w:tcW w:w="2580" w:type="dxa"/>
            <w:vAlign w:val="bottom"/>
            <w:gridSpan w:val="9"/>
          </w:tcPr>
          <w:p>
            <w:pPr>
              <w:spacing w:after="0"/>
              <w:rPr>
                <w:sz w:val="21"/>
                <w:szCs w:val="21"/>
                <w:color w:val="auto"/>
              </w:rPr>
            </w:pP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7">
              <w:r>
                <w:rPr>
                  <w:rFonts w:ascii="Arial" w:cs="Arial" w:eastAsia="Arial" w:hAnsi="Arial"/>
                  <w:sz w:val="18"/>
                  <w:szCs w:val="18"/>
                  <w:color w:val="0000FF"/>
                </w:rPr>
                <w:t>28</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8840" w:type="dxa"/>
            <w:vAlign w:val="bottom"/>
            <w:gridSpan w:val="18"/>
          </w:tcPr>
          <w:p>
            <w:pPr>
              <w:spacing w:after="0"/>
              <w:rPr>
                <w:rFonts w:ascii="Arial" w:cs="Arial" w:eastAsia="Arial" w:hAnsi="Arial"/>
                <w:sz w:val="18"/>
                <w:szCs w:val="18"/>
                <w:b w:val="1"/>
                <w:bCs w:val="1"/>
                <w:color w:val="0000FF"/>
              </w:rPr>
            </w:pPr>
            <w:hyperlink w:anchor="page28">
              <w:r>
                <w:rPr>
                  <w:rFonts w:ascii="Arial" w:cs="Arial" w:eastAsia="Arial" w:hAnsi="Arial"/>
                  <w:sz w:val="18"/>
                  <w:szCs w:val="18"/>
                  <w:b w:val="1"/>
                  <w:bCs w:val="1"/>
                  <w:color w:val="0000FF"/>
                </w:rPr>
                <w:t>PART II. OTHER INFORMATION</w:t>
              </w:r>
            </w:hyperlink>
          </w:p>
        </w:tc>
        <w:tc>
          <w:tcPr>
            <w:tcW w:w="226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4"/>
            <w:shd w:val="clear" w:color="auto" w:fill="0000FF"/>
          </w:tcPr>
          <w:p>
            <w:pPr>
              <w:spacing w:after="0" w:line="20" w:lineRule="exact"/>
              <w:rPr>
                <w:sz w:val="1"/>
                <w:szCs w:val="1"/>
                <w:color w:val="auto"/>
              </w:rPr>
            </w:pPr>
          </w:p>
        </w:tc>
        <w:tc>
          <w:tcPr>
            <w:tcW w:w="2140" w:type="dxa"/>
            <w:vAlign w:val="bottom"/>
            <w:gridSpan w:val="6"/>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2760" w:type="dxa"/>
            <w:vAlign w:val="bottom"/>
            <w:gridSpan w:val="10"/>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 Legal Proceedings</w:t>
              </w:r>
            </w:hyperlink>
          </w:p>
        </w:tc>
        <w:tc>
          <w:tcPr>
            <w:tcW w:w="6080" w:type="dxa"/>
            <w:vAlign w:val="bottom"/>
            <w:gridSpan w:val="8"/>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020" w:type="dxa"/>
            <w:vAlign w:val="bottom"/>
            <w:gridSpan w:val="10"/>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880" w:type="dxa"/>
            <w:vAlign w:val="bottom"/>
            <w:gridSpan w:val="6"/>
          </w:tcPr>
          <w:p>
            <w:pPr>
              <w:spacing w:after="0"/>
              <w:rPr>
                <w:rFonts w:ascii="Arial" w:cs="Arial" w:eastAsia="Arial" w:hAnsi="Arial"/>
                <w:sz w:val="18"/>
                <w:szCs w:val="18"/>
                <w:color w:val="0000FF"/>
              </w:rPr>
            </w:pPr>
            <w:hyperlink w:anchor="page28">
              <w:r>
                <w:rPr>
                  <w:rFonts w:ascii="Arial" w:cs="Arial" w:eastAsia="Arial" w:hAnsi="Arial"/>
                  <w:sz w:val="18"/>
                  <w:szCs w:val="18"/>
                  <w:color w:val="0000FF"/>
                </w:rPr>
                <w:t>Item 1A. Risk Factors</w:t>
              </w:r>
            </w:hyperlink>
          </w:p>
        </w:tc>
        <w:tc>
          <w:tcPr>
            <w:tcW w:w="6960" w:type="dxa"/>
            <w:vAlign w:val="bottom"/>
            <w:gridSpan w:val="1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320" w:type="dxa"/>
            <w:vAlign w:val="bottom"/>
            <w:gridSpan w:val="11"/>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rFonts w:ascii="Arial" w:cs="Arial" w:eastAsia="Arial" w:hAnsi="Arial"/>
                <w:sz w:val="18"/>
                <w:szCs w:val="18"/>
                <w:color w:val="0000FF"/>
                <w:w w:val="89"/>
              </w:rPr>
            </w:pPr>
            <w:hyperlink w:anchor="page28">
              <w:r>
                <w:rPr>
                  <w:rFonts w:ascii="Arial" w:cs="Arial" w:eastAsia="Arial" w:hAnsi="Arial"/>
                  <w:sz w:val="18"/>
                  <w:szCs w:val="18"/>
                  <w:color w:val="0000FF"/>
                  <w:w w:val="89"/>
                </w:rPr>
                <w:t>Item 2. Unregistered Sales of Equity Securities and Use of Proceeds</w:t>
              </w:r>
            </w:hyperlink>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28</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3760" w:type="dxa"/>
            <w:vAlign w:val="bottom"/>
            <w:gridSpan w:val="12"/>
            <w:shd w:val="clear" w:color="auto" w:fill="0000FF"/>
          </w:tcPr>
          <w:p>
            <w:pPr>
              <w:spacing w:after="0" w:line="20" w:lineRule="exact"/>
              <w:rPr>
                <w:sz w:val="1"/>
                <w:szCs w:val="1"/>
                <w:color w:val="auto"/>
              </w:rPr>
            </w:pPr>
          </w:p>
        </w:tc>
        <w:tc>
          <w:tcPr>
            <w:tcW w:w="3940" w:type="dxa"/>
            <w:vAlign w:val="bottom"/>
            <w:gridSpan w:val="2"/>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4900" w:type="dxa"/>
            <w:vAlign w:val="bottom"/>
            <w:gridSpan w:val="16"/>
          </w:tcPr>
          <w:p>
            <w:pPr>
              <w:spacing w:after="0"/>
              <w:rPr>
                <w:sz w:val="20"/>
                <w:szCs w:val="20"/>
                <w:color w:val="auto"/>
              </w:rPr>
            </w:pPr>
            <w:r>
              <w:rPr>
                <w:rFonts w:ascii="Arial" w:cs="Arial" w:eastAsia="Arial" w:hAnsi="Arial"/>
                <w:sz w:val="18"/>
                <w:szCs w:val="18"/>
                <w:color w:val="0000FF"/>
              </w:rPr>
              <w:t>Item 6. Exhibits</w:t>
            </w:r>
          </w:p>
        </w:tc>
        <w:tc>
          <w:tcPr>
            <w:tcW w:w="3940" w:type="dxa"/>
            <w:vAlign w:val="bottom"/>
            <w:gridSpan w:val="2"/>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8">
              <w:r>
                <w:rPr>
                  <w:rFonts w:ascii="Arial" w:cs="Arial" w:eastAsia="Arial" w:hAnsi="Arial"/>
                  <w:sz w:val="18"/>
                  <w:szCs w:val="18"/>
                  <w:color w:val="0000FF"/>
                </w:rPr>
                <w:t>29</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7700" w:type="dxa"/>
            <w:vAlign w:val="bottom"/>
            <w:gridSpan w:val="14"/>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1140" w:type="dxa"/>
            <w:vAlign w:val="bottom"/>
            <w:gridSpan w:val="4"/>
          </w:tcPr>
          <w:p>
            <w:pPr>
              <w:spacing w:after="0"/>
              <w:rPr>
                <w:rFonts w:ascii="Arial" w:cs="Arial" w:eastAsia="Arial" w:hAnsi="Arial"/>
                <w:sz w:val="18"/>
                <w:szCs w:val="18"/>
                <w:color w:val="0000FF"/>
              </w:rPr>
            </w:pPr>
            <w:hyperlink w:anchor="page29">
              <w:r>
                <w:rPr>
                  <w:rFonts w:ascii="Arial" w:cs="Arial" w:eastAsia="Arial" w:hAnsi="Arial"/>
                  <w:sz w:val="18"/>
                  <w:szCs w:val="18"/>
                  <w:color w:val="0000FF"/>
                </w:rPr>
                <w:t>Signature</w:t>
              </w:r>
            </w:hyperlink>
          </w:p>
        </w:tc>
        <w:tc>
          <w:tcPr>
            <w:tcW w:w="7700" w:type="dxa"/>
            <w:vAlign w:val="bottom"/>
            <w:gridSpan w:val="14"/>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29">
              <w:r>
                <w:rPr>
                  <w:rFonts w:ascii="Arial" w:cs="Arial" w:eastAsia="Arial" w:hAnsi="Arial"/>
                  <w:sz w:val="18"/>
                  <w:szCs w:val="18"/>
                  <w:color w:val="0000FF"/>
                </w:rPr>
                <w:t>30</w:t>
              </w:r>
            </w:hyperlink>
          </w:p>
        </w:tc>
      </w:tr>
      <w:tr>
        <w:trPr>
          <w:trHeight w:val="20"/>
        </w:trPr>
        <w:tc>
          <w:tcPr>
            <w:tcW w:w="680" w:type="dxa"/>
            <w:vAlign w:val="bottom"/>
            <w:gridSpan w:val="2"/>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60" w:type="dxa"/>
            <w:vAlign w:val="bottom"/>
            <w:gridSpan w:val="15"/>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r>
      <w:tr>
        <w:trPr>
          <w:trHeight w:val="250"/>
        </w:trPr>
        <w:tc>
          <w:tcPr>
            <w:tcW w:w="980" w:type="dxa"/>
            <w:vAlign w:val="bottom"/>
            <w:gridSpan w:val="3"/>
          </w:tcPr>
          <w:p>
            <w:pPr>
              <w:spacing w:after="0"/>
              <w:rPr>
                <w:rFonts w:ascii="Arial" w:cs="Arial" w:eastAsia="Arial" w:hAnsi="Arial"/>
                <w:sz w:val="18"/>
                <w:szCs w:val="18"/>
                <w:color w:val="0000FF"/>
                <w:w w:val="93"/>
              </w:rPr>
            </w:pPr>
            <w:hyperlink w:anchor="page30">
              <w:r>
                <w:rPr>
                  <w:rFonts w:ascii="Arial" w:cs="Arial" w:eastAsia="Arial" w:hAnsi="Arial"/>
                  <w:sz w:val="18"/>
                  <w:szCs w:val="18"/>
                  <w:color w:val="0000FF"/>
                  <w:w w:val="93"/>
                </w:rPr>
                <w:t>Exhibit Index</w:t>
              </w:r>
            </w:hyperlink>
          </w:p>
        </w:tc>
        <w:tc>
          <w:tcPr>
            <w:tcW w:w="7860" w:type="dxa"/>
            <w:vAlign w:val="bottom"/>
            <w:gridSpan w:val="15"/>
          </w:tcPr>
          <w:p>
            <w:pPr>
              <w:spacing w:after="0"/>
              <w:rPr>
                <w:sz w:val="21"/>
                <w:szCs w:val="21"/>
                <w:color w:val="auto"/>
              </w:rPr>
            </w:pPr>
          </w:p>
        </w:tc>
        <w:tc>
          <w:tcPr>
            <w:tcW w:w="2260" w:type="dxa"/>
            <w:vAlign w:val="bottom"/>
            <w:gridSpan w:val="4"/>
          </w:tcPr>
          <w:p>
            <w:pPr>
              <w:jc w:val="right"/>
              <w:spacing w:after="0"/>
              <w:rPr>
                <w:rFonts w:ascii="Arial" w:cs="Arial" w:eastAsia="Arial" w:hAnsi="Arial"/>
                <w:sz w:val="18"/>
                <w:szCs w:val="18"/>
                <w:color w:val="0000FF"/>
              </w:rPr>
            </w:pPr>
            <w:hyperlink w:anchor="page30">
              <w:r>
                <w:rPr>
                  <w:rFonts w:ascii="Arial" w:cs="Arial" w:eastAsia="Arial" w:hAnsi="Arial"/>
                  <w:sz w:val="18"/>
                  <w:szCs w:val="18"/>
                  <w:color w:val="0000FF"/>
                </w:rPr>
                <w:t>31</w:t>
              </w:r>
            </w:hyperlink>
          </w:p>
        </w:tc>
      </w:tr>
      <w:tr>
        <w:trPr>
          <w:trHeight w:val="20"/>
        </w:trPr>
        <w:tc>
          <w:tcPr>
            <w:tcW w:w="24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100"/>
          </w:cols>
          <w:pgMar w:left="280" w:top="364" w:right="519" w:bottom="1440" w:gutter="0" w:footer="0" w:header="0"/>
        </w:sectPr>
      </w:pPr>
    </w:p>
    <w:bookmarkStart w:id="2" w:name="page3"/>
    <w:bookmarkEnd w:id="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3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Consolidated Financial Statements (Unaudited)</w:t>
      </w:r>
    </w:p>
    <w:p>
      <w:pPr>
        <w:spacing w:after="0" w:line="9" w:lineRule="exact"/>
        <w:rPr>
          <w:sz w:val="20"/>
          <w:szCs w:val="20"/>
          <w:color w:val="auto"/>
        </w:rPr>
      </w:pPr>
    </w:p>
    <w:p>
      <w:pPr>
        <w:ind w:left="4300"/>
        <w:spacing w:after="0"/>
        <w:rPr>
          <w:sz w:val="20"/>
          <w:szCs w:val="20"/>
          <w:color w:val="auto"/>
        </w:rPr>
      </w:pPr>
      <w:r>
        <w:rPr>
          <w:rFonts w:ascii="Arial" w:cs="Arial" w:eastAsia="Arial" w:hAnsi="Arial"/>
          <w:sz w:val="18"/>
          <w:szCs w:val="18"/>
          <w:b w:val="1"/>
          <w:bCs w:val="1"/>
          <w:color w:val="auto"/>
        </w:rPr>
        <w:t>UNIVERSAL ELECTRONICS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 except share-related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400" w:type="dxa"/>
            <w:vAlign w:val="bottom"/>
            <w:gridSpan w:val="2"/>
          </w:tcPr>
          <w:p>
            <w:pPr>
              <w:ind w:left="120"/>
              <w:spacing w:after="0"/>
              <w:rPr>
                <w:sz w:val="20"/>
                <w:szCs w:val="20"/>
                <w:color w:val="auto"/>
              </w:rPr>
            </w:pPr>
            <w:r>
              <w:rPr>
                <w:rFonts w:ascii="Arial" w:cs="Arial" w:eastAsia="Arial" w:hAnsi="Arial"/>
                <w:sz w:val="14"/>
                <w:szCs w:val="14"/>
                <w:b w:val="1"/>
                <w:bCs w:val="1"/>
                <w:color w:val="auto"/>
              </w:rPr>
              <w:t>June 30, 2013</w:t>
            </w:r>
          </w:p>
        </w:tc>
        <w:tc>
          <w:tcPr>
            <w:tcW w:w="120" w:type="dxa"/>
            <w:vAlign w:val="bottom"/>
          </w:tcPr>
          <w:p>
            <w:pPr>
              <w:spacing w:after="0"/>
              <w:rPr>
                <w:sz w:val="16"/>
                <w:szCs w:val="16"/>
                <w:color w:val="auto"/>
              </w:rPr>
            </w:pPr>
          </w:p>
        </w:tc>
        <w:tc>
          <w:tcPr>
            <w:tcW w:w="1340" w:type="dxa"/>
            <w:vAlign w:val="bottom"/>
          </w:tcPr>
          <w:p>
            <w:pPr>
              <w:jc w:val="right"/>
              <w:ind w:right="59"/>
              <w:spacing w:after="0"/>
              <w:rPr>
                <w:sz w:val="20"/>
                <w:szCs w:val="20"/>
                <w:color w:val="auto"/>
              </w:rPr>
            </w:pPr>
            <w:r>
              <w:rPr>
                <w:rFonts w:ascii="Arial" w:cs="Arial" w:eastAsia="Arial" w:hAnsi="Arial"/>
                <w:sz w:val="14"/>
                <w:szCs w:val="14"/>
                <w:b w:val="1"/>
                <w:bCs w:val="1"/>
                <w:color w:val="auto"/>
                <w:w w:val="93"/>
              </w:rPr>
              <w:t>December 31, 2012</w:t>
            </w:r>
          </w:p>
        </w:tc>
        <w:tc>
          <w:tcPr>
            <w:tcW w:w="0" w:type="dxa"/>
            <w:vAlign w:val="bottom"/>
          </w:tcPr>
          <w:p>
            <w:pPr>
              <w:spacing w:after="0"/>
              <w:rPr>
                <w:sz w:val="1"/>
                <w:szCs w:val="1"/>
                <w:color w:val="auto"/>
              </w:rPr>
            </w:pPr>
          </w:p>
        </w:tc>
      </w:tr>
      <w:tr>
        <w:trPr>
          <w:trHeight w:val="210"/>
        </w:trPr>
        <w:tc>
          <w:tcPr>
            <w:tcW w:w="8340" w:type="dxa"/>
            <w:vAlign w:val="bottom"/>
            <w:tcBorders>
              <w:top w:val="single" w:sz="8" w:color="CCEEFF"/>
            </w:tcBorders>
            <w:shd w:val="clear" w:color="auto" w:fill="CCEEFF"/>
          </w:tcPr>
          <w:p>
            <w:pPr>
              <w:ind w:left="3880"/>
              <w:spacing w:after="0"/>
              <w:rPr>
                <w:sz w:val="20"/>
                <w:szCs w:val="20"/>
                <w:color w:val="auto"/>
              </w:rPr>
            </w:pPr>
            <w:r>
              <w:rPr>
                <w:rFonts w:ascii="Arial" w:cs="Arial" w:eastAsia="Arial" w:hAnsi="Arial"/>
                <w:sz w:val="16"/>
                <w:szCs w:val="16"/>
                <w:b w:val="1"/>
                <w:bCs w:val="1"/>
                <w:color w:val="auto"/>
              </w:rPr>
              <w:t>ASSETS</w:t>
            </w:r>
          </w:p>
        </w:tc>
        <w:tc>
          <w:tcPr>
            <w:tcW w:w="220" w:type="dxa"/>
            <w:vAlign w:val="bottom"/>
            <w:tcBorders>
              <w:top w:val="single" w:sz="8" w:color="auto"/>
            </w:tcBorders>
            <w:shd w:val="clear" w:color="auto" w:fill="CCEEFF"/>
          </w:tcPr>
          <w:p>
            <w:pPr>
              <w:spacing w:after="0"/>
              <w:rPr>
                <w:sz w:val="18"/>
                <w:szCs w:val="18"/>
                <w:color w:val="auto"/>
              </w:rPr>
            </w:pPr>
          </w:p>
        </w:tc>
        <w:tc>
          <w:tcPr>
            <w:tcW w:w="128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340" w:type="dxa"/>
            <w:vAlign w:val="bottom"/>
            <w:shd w:val="clear" w:color="auto" w:fill="CCEEFF"/>
          </w:tcPr>
          <w:p>
            <w:pPr>
              <w:spacing w:after="0"/>
              <w:rPr>
                <w:sz w:val="5"/>
                <w:szCs w:val="5"/>
                <w:color w:val="auto"/>
              </w:rPr>
            </w:pPr>
          </w:p>
        </w:tc>
        <w:tc>
          <w:tcPr>
            <w:tcW w:w="22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Current assets: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Cash and cash equivalents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44,593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receivable,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89,432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91,048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Inventories, net</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100,050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84,381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Prepaid expenses and other current assets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3,654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3,661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Income tax receivable</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270</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5,175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5,210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assets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248,062</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229,163</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Property, plant, and equipment,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76,337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77,706</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Goodwill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30,876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30,890</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Intangible assets, net</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28,312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29,835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5,195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5,361</w:t>
            </w:r>
          </w:p>
        </w:tc>
        <w:tc>
          <w:tcPr>
            <w:tcW w:w="0" w:type="dxa"/>
            <w:vAlign w:val="bottom"/>
          </w:tcPr>
          <w:p>
            <w:pPr>
              <w:spacing w:after="0"/>
              <w:rPr>
                <w:sz w:val="1"/>
                <w:szCs w:val="1"/>
                <w:color w:val="auto"/>
              </w:rPr>
            </w:pPr>
          </w:p>
        </w:tc>
      </w:tr>
      <w:tr>
        <w:trPr>
          <w:trHeight w:val="237"/>
        </w:trPr>
        <w:tc>
          <w:tcPr>
            <w:tcW w:w="8340" w:type="dxa"/>
            <w:vAlign w:val="bottom"/>
          </w:tcPr>
          <w:p>
            <w:pPr>
              <w:ind w:left="40"/>
              <w:spacing w:after="0"/>
              <w:rPr>
                <w:sz w:val="20"/>
                <w:szCs w:val="20"/>
                <w:color w:val="auto"/>
              </w:rPr>
            </w:pPr>
            <w:r>
              <w:rPr>
                <w:rFonts w:ascii="Arial" w:cs="Arial" w:eastAsia="Arial" w:hAnsi="Arial"/>
                <w:sz w:val="16"/>
                <w:szCs w:val="16"/>
                <w:color w:val="auto"/>
              </w:rPr>
              <w:t>Deferred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6,516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6,369</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assets</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395,298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bottom w:val="single" w:sz="8" w:color="CCEEFF"/>
            </w:tcBorders>
            <w:vMerge w:val="restart"/>
          </w:tcPr>
          <w:p>
            <w:pPr>
              <w:ind w:left="2420"/>
              <w:spacing w:after="0"/>
              <w:rPr>
                <w:sz w:val="20"/>
                <w:szCs w:val="20"/>
                <w:color w:val="auto"/>
              </w:rPr>
            </w:pPr>
            <w:r>
              <w:rPr>
                <w:rFonts w:ascii="Arial" w:cs="Arial" w:eastAsia="Arial" w:hAnsi="Arial"/>
                <w:sz w:val="16"/>
                <w:szCs w:val="16"/>
                <w:b w:val="1"/>
                <w:bCs w:val="1"/>
                <w:color w:val="auto"/>
              </w:rPr>
              <w:t>LIABILITIES AND STOCKHOLDERS' EQUITY</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34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4"/>
        </w:trPr>
        <w:tc>
          <w:tcPr>
            <w:tcW w:w="8340" w:type="dxa"/>
            <w:vAlign w:val="bottom"/>
          </w:tcPr>
          <w:p>
            <w:pPr>
              <w:spacing w:after="0"/>
              <w:rPr>
                <w:sz w:val="6"/>
                <w:szCs w:val="6"/>
                <w:color w:val="auto"/>
              </w:rPr>
            </w:pPr>
          </w:p>
        </w:tc>
        <w:tc>
          <w:tcPr>
            <w:tcW w:w="220" w:type="dxa"/>
            <w:vAlign w:val="bottom"/>
          </w:tcPr>
          <w:p>
            <w:pPr>
              <w:spacing w:after="0"/>
              <w:rPr>
                <w:sz w:val="6"/>
                <w:szCs w:val="6"/>
                <w:color w:val="auto"/>
              </w:rPr>
            </w:pPr>
          </w:p>
        </w:tc>
        <w:tc>
          <w:tcPr>
            <w:tcW w:w="12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Current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Accounts payable</w:t>
            </w:r>
          </w:p>
        </w:tc>
        <w:tc>
          <w:tcPr>
            <w:tcW w:w="220" w:type="dxa"/>
            <w:vAlign w:val="bottom"/>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65,947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59,831</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Line of credit</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compensation</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33,005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33,398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Accrued sales discounts, rebates and royalties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6,179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8,093</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Accrued income taxes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3,253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3,668</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41</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Other accrued expenses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9,758</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10,644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current liabilities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118,187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115,675</w:t>
            </w: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Long-term liabilities:</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Deferred income taxes</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10,654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10,687</w:t>
            </w:r>
          </w:p>
        </w:tc>
        <w:tc>
          <w:tcPr>
            <w:tcW w:w="0" w:type="dxa"/>
            <w:vAlign w:val="bottom"/>
          </w:tcPr>
          <w:p>
            <w:pPr>
              <w:spacing w:after="0"/>
              <w:rPr>
                <w:sz w:val="1"/>
                <w:szCs w:val="1"/>
                <w:color w:val="auto"/>
              </w:rPr>
            </w:pPr>
          </w:p>
        </w:tc>
      </w:tr>
      <w:tr>
        <w:trPr>
          <w:trHeight w:val="237"/>
        </w:trPr>
        <w:tc>
          <w:tcPr>
            <w:tcW w:w="8340" w:type="dxa"/>
            <w:vAlign w:val="bottom"/>
          </w:tcPr>
          <w:p>
            <w:pPr>
              <w:ind w:left="720"/>
              <w:spacing w:after="0"/>
              <w:rPr>
                <w:sz w:val="20"/>
                <w:szCs w:val="20"/>
                <w:color w:val="auto"/>
              </w:rPr>
            </w:pPr>
            <w:r>
              <w:rPr>
                <w:rFonts w:ascii="Arial" w:cs="Arial" w:eastAsia="Arial" w:hAnsi="Arial"/>
                <w:sz w:val="16"/>
                <w:szCs w:val="16"/>
                <w:color w:val="auto"/>
              </w:rPr>
              <w:t>Income tax payable</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525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525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Other long-term liabilities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2,055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1,787</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liabilities</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131,421</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128,674</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Commitments and contingencies</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8340" w:type="dxa"/>
            <w:vAlign w:val="bottom"/>
          </w:tcPr>
          <w:p>
            <w:pPr>
              <w:ind w:left="40"/>
              <w:spacing w:after="0"/>
              <w:rPr>
                <w:sz w:val="20"/>
                <w:szCs w:val="20"/>
                <w:color w:val="auto"/>
              </w:rPr>
            </w:pPr>
            <w:r>
              <w:rPr>
                <w:rFonts w:ascii="Arial" w:cs="Arial" w:eastAsia="Arial" w:hAnsi="Arial"/>
                <w:sz w:val="16"/>
                <w:szCs w:val="16"/>
                <w:color w:val="auto"/>
              </w:rPr>
              <w:t>Stockholders' equity:</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7"/>
        </w:trPr>
        <w:tc>
          <w:tcPr>
            <w:tcW w:w="834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80" w:type="dxa"/>
            <w:vAlign w:val="bottom"/>
          </w:tcPr>
          <w:p>
            <w:pPr>
              <w:spacing w:after="0"/>
              <w:rPr>
                <w:sz w:val="4"/>
                <w:szCs w:val="4"/>
                <w:color w:val="auto"/>
              </w:rPr>
            </w:pPr>
          </w:p>
        </w:tc>
        <w:tc>
          <w:tcPr>
            <w:tcW w:w="1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3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Preferred stock, $0.01 par value, 5,000,000 shares authorized; none issued or outstanding</w:t>
            </w:r>
          </w:p>
        </w:tc>
        <w:tc>
          <w:tcPr>
            <w:tcW w:w="22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0"/>
        </w:trPr>
        <w:tc>
          <w:tcPr>
            <w:tcW w:w="8340" w:type="dxa"/>
            <w:vAlign w:val="bottom"/>
          </w:tcPr>
          <w:p>
            <w:pPr>
              <w:ind w:left="380"/>
              <w:spacing w:after="0"/>
              <w:rPr>
                <w:sz w:val="20"/>
                <w:szCs w:val="20"/>
                <w:color w:val="auto"/>
              </w:rPr>
            </w:pPr>
            <w:r>
              <w:rPr>
                <w:rFonts w:ascii="Arial" w:cs="Arial" w:eastAsia="Arial" w:hAnsi="Arial"/>
                <w:sz w:val="16"/>
                <w:szCs w:val="16"/>
                <w:color w:val="auto"/>
                <w:w w:val="94"/>
              </w:rPr>
              <w:t>Common stock, $0.01 par value, 50,000,000 shares authorized; 21,839,302 and 21,491,398 shares issued on June 30,</w:t>
            </w:r>
          </w:p>
        </w:tc>
        <w:tc>
          <w:tcPr>
            <w:tcW w:w="22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6"/>
        </w:trPr>
        <w:tc>
          <w:tcPr>
            <w:tcW w:w="8340" w:type="dxa"/>
            <w:vAlign w:val="bottom"/>
          </w:tcPr>
          <w:p>
            <w:pPr>
              <w:ind w:left="380"/>
              <w:spacing w:after="0"/>
              <w:rPr>
                <w:sz w:val="20"/>
                <w:szCs w:val="20"/>
                <w:color w:val="auto"/>
              </w:rPr>
            </w:pPr>
            <w:r>
              <w:rPr>
                <w:rFonts w:ascii="Arial" w:cs="Arial" w:eastAsia="Arial" w:hAnsi="Arial"/>
                <w:sz w:val="16"/>
                <w:szCs w:val="16"/>
                <w:color w:val="auto"/>
              </w:rPr>
              <w:t>2013 and December 31, 2012, respectively</w:t>
            </w:r>
          </w:p>
        </w:tc>
        <w:tc>
          <w:tcPr>
            <w:tcW w:w="220" w:type="dxa"/>
            <w:vAlign w:val="bottom"/>
          </w:tcPr>
          <w:p>
            <w:pPr>
              <w:spacing w:after="0"/>
              <w:rPr>
                <w:sz w:val="17"/>
                <w:szCs w:val="17"/>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218</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215</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187,744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180,607</w:t>
            </w:r>
          </w:p>
        </w:tc>
        <w:tc>
          <w:tcPr>
            <w:tcW w:w="0" w:type="dxa"/>
            <w:vAlign w:val="bottom"/>
          </w:tcPr>
          <w:p>
            <w:pPr>
              <w:spacing w:after="0"/>
              <w:rPr>
                <w:sz w:val="1"/>
                <w:szCs w:val="1"/>
                <w:color w:val="auto"/>
              </w:rPr>
            </w:pPr>
          </w:p>
        </w:tc>
      </w:tr>
      <w:tr>
        <w:trPr>
          <w:trHeight w:val="237"/>
        </w:trPr>
        <w:tc>
          <w:tcPr>
            <w:tcW w:w="8340" w:type="dxa"/>
            <w:vAlign w:val="bottom"/>
          </w:tcPr>
          <w:p>
            <w:pPr>
              <w:ind w:left="380"/>
              <w:spacing w:after="0"/>
              <w:rPr>
                <w:sz w:val="20"/>
                <w:szCs w:val="20"/>
                <w:color w:val="auto"/>
              </w:rPr>
            </w:pPr>
            <w:r>
              <w:rPr>
                <w:rFonts w:ascii="Arial" w:cs="Arial" w:eastAsia="Arial" w:hAnsi="Arial"/>
                <w:sz w:val="16"/>
                <w:szCs w:val="16"/>
                <w:color w:val="auto"/>
              </w:rPr>
              <w:t>Accumulated other comprehensive income (loss)</w:t>
            </w:r>
          </w:p>
        </w:tc>
        <w:tc>
          <w:tcPr>
            <w:tcW w:w="220" w:type="dxa"/>
            <w:vAlign w:val="bottom"/>
          </w:tcPr>
          <w:p>
            <w:pPr>
              <w:spacing w:after="0"/>
              <w:rPr>
                <w:sz w:val="20"/>
                <w:szCs w:val="20"/>
                <w:color w:val="auto"/>
              </w:rPr>
            </w:pPr>
          </w:p>
        </w:tc>
        <w:tc>
          <w:tcPr>
            <w:tcW w:w="1280" w:type="dxa"/>
            <w:vAlign w:val="bottom"/>
          </w:tcPr>
          <w:p>
            <w:pPr>
              <w:jc w:val="right"/>
              <w:ind w:right="39"/>
              <w:spacing w:after="0"/>
              <w:rPr>
                <w:sz w:val="20"/>
                <w:szCs w:val="20"/>
                <w:color w:val="auto"/>
              </w:rPr>
            </w:pPr>
            <w:r>
              <w:rPr>
                <w:rFonts w:ascii="Arial" w:cs="Arial" w:eastAsia="Arial" w:hAnsi="Arial"/>
                <w:sz w:val="16"/>
                <w:szCs w:val="16"/>
                <w:color w:val="auto"/>
              </w:rPr>
              <w:t>576</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tcPr>
          <w:p>
            <w:pPr>
              <w:jc w:val="right"/>
              <w:ind w:right="19"/>
              <w:spacing w:after="0"/>
              <w:rPr>
                <w:sz w:val="20"/>
                <w:szCs w:val="20"/>
                <w:color w:val="auto"/>
              </w:rPr>
            </w:pPr>
            <w:r>
              <w:rPr>
                <w:rFonts w:ascii="Arial" w:cs="Arial" w:eastAsia="Arial" w:hAnsi="Arial"/>
                <w:sz w:val="16"/>
                <w:szCs w:val="16"/>
                <w:color w:val="auto"/>
              </w:rPr>
              <w:t>1,052</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Retained earnings</w:t>
            </w:r>
          </w:p>
        </w:tc>
        <w:tc>
          <w:tcPr>
            <w:tcW w:w="220" w:type="dxa"/>
            <w:vAlign w:val="bottom"/>
            <w:tcBorders>
              <w:bottom w:val="single" w:sz="8" w:color="CCEEFF"/>
            </w:tcBorders>
            <w:shd w:val="clear" w:color="auto" w:fill="CCEEFF"/>
          </w:tcPr>
          <w:p>
            <w:pPr>
              <w:spacing w:after="0"/>
              <w:rPr>
                <w:sz w:val="23"/>
                <w:szCs w:val="23"/>
                <w:color w:val="auto"/>
              </w:rPr>
            </w:pP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179,356</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170,569</w:t>
            </w:r>
          </w:p>
        </w:tc>
        <w:tc>
          <w:tcPr>
            <w:tcW w:w="0" w:type="dxa"/>
            <w:vAlign w:val="bottom"/>
          </w:tcPr>
          <w:p>
            <w:pPr>
              <w:spacing w:after="0"/>
              <w:rPr>
                <w:sz w:val="1"/>
                <w:szCs w:val="1"/>
                <w:color w:val="auto"/>
              </w:rPr>
            </w:pPr>
          </w:p>
        </w:tc>
      </w:tr>
      <w:tr>
        <w:trPr>
          <w:trHeight w:val="217"/>
        </w:trPr>
        <w:tc>
          <w:tcPr>
            <w:tcW w:w="83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367,894</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352,443</w:t>
            </w:r>
          </w:p>
        </w:tc>
        <w:tc>
          <w:tcPr>
            <w:tcW w:w="0" w:type="dxa"/>
            <w:vAlign w:val="bottom"/>
          </w:tcPr>
          <w:p>
            <w:pPr>
              <w:spacing w:after="0"/>
              <w:rPr>
                <w:sz w:val="1"/>
                <w:szCs w:val="1"/>
                <w:color w:val="auto"/>
              </w:rPr>
            </w:pPr>
          </w:p>
        </w:tc>
      </w:tr>
      <w:tr>
        <w:trPr>
          <w:trHeight w:val="33"/>
        </w:trPr>
        <w:tc>
          <w:tcPr>
            <w:tcW w:w="8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0"/>
        </w:trPr>
        <w:tc>
          <w:tcPr>
            <w:tcW w:w="8340" w:type="dxa"/>
            <w:vAlign w:val="bottom"/>
            <w:shd w:val="clear" w:color="auto" w:fill="CCEEFF"/>
          </w:tcPr>
          <w:p>
            <w:pPr>
              <w:ind w:left="380"/>
              <w:spacing w:after="0"/>
              <w:rPr>
                <w:sz w:val="20"/>
                <w:szCs w:val="20"/>
                <w:color w:val="auto"/>
              </w:rPr>
            </w:pPr>
            <w:r>
              <w:rPr>
                <w:rFonts w:ascii="Arial" w:cs="Arial" w:eastAsia="Arial" w:hAnsi="Arial"/>
                <w:sz w:val="16"/>
                <w:szCs w:val="16"/>
                <w:color w:val="auto"/>
                <w:w w:val="96"/>
              </w:rPr>
              <w:t>Less cost of common stock in treasury, 6,619,048 and 6,516,382 shares on June 30, 2013 and December 31, 2012,</w:t>
            </w:r>
          </w:p>
        </w:tc>
        <w:tc>
          <w:tcPr>
            <w:tcW w:w="22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3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respectively</w:t>
            </w:r>
          </w:p>
        </w:tc>
        <w:tc>
          <w:tcPr>
            <w:tcW w:w="220" w:type="dxa"/>
            <w:vAlign w:val="bottom"/>
            <w:tcBorders>
              <w:bottom w:val="single" w:sz="8" w:color="CCEEFF"/>
            </w:tcBorders>
            <w:shd w:val="clear" w:color="auto" w:fill="CCEEFF"/>
          </w:tcPr>
          <w:p>
            <w:pPr>
              <w:spacing w:after="0"/>
              <w:rPr>
                <w:sz w:val="20"/>
                <w:szCs w:val="20"/>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(104,017)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(101,793)</w:t>
            </w:r>
          </w:p>
        </w:tc>
        <w:tc>
          <w:tcPr>
            <w:tcW w:w="0" w:type="dxa"/>
            <w:vAlign w:val="bottom"/>
          </w:tcPr>
          <w:p>
            <w:pPr>
              <w:spacing w:after="0"/>
              <w:rPr>
                <w:sz w:val="1"/>
                <w:szCs w:val="1"/>
                <w:color w:val="auto"/>
              </w:rPr>
            </w:pPr>
          </w:p>
        </w:tc>
      </w:tr>
      <w:tr>
        <w:trPr>
          <w:trHeight w:val="217"/>
        </w:trPr>
        <w:tc>
          <w:tcPr>
            <w:tcW w:w="8340" w:type="dxa"/>
            <w:vAlign w:val="bottom"/>
          </w:tcPr>
          <w:p>
            <w:pPr>
              <w:ind w:left="1140"/>
              <w:spacing w:after="0"/>
              <w:rPr>
                <w:sz w:val="20"/>
                <w:szCs w:val="20"/>
                <w:color w:val="auto"/>
              </w:rPr>
            </w:pPr>
            <w:r>
              <w:rPr>
                <w:rFonts w:ascii="Arial" w:cs="Arial" w:eastAsia="Arial" w:hAnsi="Arial"/>
                <w:sz w:val="16"/>
                <w:szCs w:val="16"/>
                <w:color w:val="auto"/>
              </w:rPr>
              <w:t>Total stockholders' equity</w:t>
            </w:r>
          </w:p>
        </w:tc>
        <w:tc>
          <w:tcPr>
            <w:tcW w:w="22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263,877</w:t>
            </w: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250,650</w:t>
            </w:r>
          </w:p>
        </w:tc>
        <w:tc>
          <w:tcPr>
            <w:tcW w:w="0" w:type="dxa"/>
            <w:vAlign w:val="bottom"/>
          </w:tcPr>
          <w:p>
            <w:pPr>
              <w:spacing w:after="0"/>
              <w:rPr>
                <w:sz w:val="1"/>
                <w:szCs w:val="1"/>
                <w:color w:val="auto"/>
              </w:rPr>
            </w:pPr>
          </w:p>
        </w:tc>
      </w:tr>
      <w:tr>
        <w:trPr>
          <w:trHeight w:val="33"/>
        </w:trPr>
        <w:tc>
          <w:tcPr>
            <w:tcW w:w="8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5"/>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6"/>
                <w:szCs w:val="16"/>
                <w:color w:val="auto"/>
              </w:rPr>
              <w:t>Total liabilities and stockholders' equity</w:t>
            </w:r>
          </w:p>
        </w:tc>
        <w:tc>
          <w:tcPr>
            <w:tcW w:w="2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395,298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379,324</w:t>
            </w:r>
          </w:p>
        </w:tc>
        <w:tc>
          <w:tcPr>
            <w:tcW w:w="0" w:type="dxa"/>
            <w:vAlign w:val="bottom"/>
          </w:tcPr>
          <w:p>
            <w:pPr>
              <w:spacing w:after="0"/>
              <w:rPr>
                <w:sz w:val="1"/>
                <w:szCs w:val="1"/>
                <w:color w:val="auto"/>
              </w:rPr>
            </w:pP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See Note 4 for further information concerning our purchases from a related party vendor.</w:t>
      </w:r>
    </w:p>
    <w:p>
      <w:pPr>
        <w:spacing w:after="0" w:line="22" w:lineRule="exact"/>
        <w:rPr>
          <w:sz w:val="20"/>
          <w:szCs w:val="20"/>
          <w:color w:val="auto"/>
        </w:rPr>
      </w:pPr>
    </w:p>
    <w:p>
      <w:pPr>
        <w:ind w:left="2880"/>
        <w:spacing w:after="0"/>
        <w:rPr>
          <w:sz w:val="20"/>
          <w:szCs w:val="20"/>
          <w:color w:val="auto"/>
        </w:rPr>
      </w:pPr>
      <w:r>
        <w:rPr>
          <w:rFonts w:ascii="Arial" w:cs="Arial" w:eastAsia="Arial" w:hAnsi="Arial"/>
          <w:sz w:val="16"/>
          <w:szCs w:val="16"/>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18" w:right="239" w:bottom="1440" w:gutter="0" w:footer="0" w:header="0"/>
          <w:type w:val="continuous"/>
        </w:sectPr>
      </w:pPr>
    </w:p>
    <w:bookmarkStart w:id="3" w:name="page4"/>
    <w:bookmarkEnd w:id="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INCOME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(In thousands, except per share amounts)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(Unaudited)</w:t>
      </w:r>
    </w:p>
    <w:p>
      <w:pPr>
        <w:sectPr>
          <w:pgSz w:w="11900" w:h="16838" w:orient="portrait"/>
          <w:cols w:equalWidth="0" w:num="1">
            <w:col w:w="11360"/>
          </w:cols>
          <w:pgMar w:left="240" w:top="118" w:right="299" w:bottom="1440" w:gutter="0" w:footer="0" w:header="0"/>
        </w:sectPr>
      </w:pPr>
    </w:p>
    <w:p>
      <w:pPr>
        <w:spacing w:after="0" w:line="200" w:lineRule="exact"/>
        <w:rPr>
          <w:sz w:val="20"/>
          <w:szCs w:val="20"/>
          <w:color w:val="auto"/>
        </w:rPr>
      </w:pPr>
    </w:p>
    <w:p>
      <w:pPr>
        <w:spacing w:after="0" w:line="205" w:lineRule="exact"/>
        <w:rPr>
          <w:sz w:val="20"/>
          <w:szCs w:val="20"/>
          <w:color w:val="auto"/>
        </w:rPr>
      </w:pPr>
    </w:p>
    <w:p>
      <w:pPr>
        <w:ind w:left="6080"/>
        <w:spacing w:after="0"/>
        <w:rPr>
          <w:sz w:val="20"/>
          <w:szCs w:val="20"/>
          <w:color w:val="auto"/>
        </w:rPr>
      </w:pPr>
      <w:r>
        <w:rPr>
          <w:rFonts w:ascii="Arial" w:cs="Arial" w:eastAsia="Arial" w:hAnsi="Arial"/>
          <w:sz w:val="13"/>
          <w:szCs w:val="13"/>
          <w:b w:val="1"/>
          <w:bCs w:val="1"/>
          <w:color w:val="auto"/>
        </w:rPr>
        <w:t>Three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3547110</wp:posOffset>
            </wp:positionH>
            <wp:positionV relativeFrom="paragraph">
              <wp:posOffset>31115</wp:posOffset>
            </wp:positionV>
            <wp:extent cx="18008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14" w:lineRule="exact"/>
        <w:rPr>
          <w:sz w:val="20"/>
          <w:szCs w:val="20"/>
          <w:color w:val="auto"/>
        </w:rPr>
      </w:pPr>
    </w:p>
    <w:p>
      <w:pPr>
        <w:ind w:left="6120"/>
        <w:spacing w:after="0"/>
        <w:tabs>
          <w:tab w:leader="none" w:pos="7580" w:val="left"/>
        </w:tabs>
        <w:rPr>
          <w:sz w:val="20"/>
          <w:szCs w:val="20"/>
          <w:color w:val="auto"/>
        </w:rPr>
      </w:pPr>
      <w:r>
        <w:rPr>
          <w:rFonts w:ascii="Arial" w:cs="Arial" w:eastAsia="Arial" w:hAnsi="Arial"/>
          <w:sz w:val="14"/>
          <w:szCs w:val="14"/>
          <w:b w:val="1"/>
          <w:bCs w:val="1"/>
          <w:color w:val="auto"/>
        </w:rPr>
        <w:t>2013</w:t>
      </w:r>
      <w:r>
        <w:rPr>
          <w:sz w:val="20"/>
          <w:szCs w:val="20"/>
          <w:color w:val="auto"/>
        </w:rPr>
        <w:tab/>
      </w:r>
      <w:r>
        <w:rPr>
          <w:rFonts w:ascii="Arial" w:cs="Arial" w:eastAsia="Arial" w:hAnsi="Arial"/>
          <w:sz w:val="14"/>
          <w:szCs w:val="14"/>
          <w:b w:val="1"/>
          <w:bCs w:val="1"/>
          <w:color w:val="auto"/>
        </w:rPr>
        <w:t>2012</w:t>
      </w:r>
    </w:p>
    <w:p>
      <w:pPr>
        <w:spacing w:after="0" w:line="20" w:lineRule="exact"/>
        <w:rPr>
          <w:sz w:val="20"/>
          <w:szCs w:val="20"/>
          <w:color w:val="auto"/>
        </w:rPr>
      </w:pPr>
      <w:r>
        <w:rPr>
          <w:sz w:val="20"/>
          <w:szCs w:val="20"/>
          <w:color w:val="auto"/>
        </w:rPr>
        <w:br w:type="column"/>
      </w:r>
    </w:p>
    <w:p>
      <w:pPr>
        <w:spacing w:after="0" w:line="385" w:lineRule="exact"/>
        <w:rPr>
          <w:sz w:val="20"/>
          <w:szCs w:val="20"/>
          <w:color w:val="auto"/>
        </w:rPr>
      </w:pPr>
    </w:p>
    <w:p>
      <w:pPr>
        <w:ind w:left="60"/>
        <w:spacing w:after="0"/>
        <w:rPr>
          <w:sz w:val="20"/>
          <w:szCs w:val="20"/>
          <w:color w:val="auto"/>
        </w:rPr>
      </w:pPr>
      <w:r>
        <w:rPr>
          <w:rFonts w:ascii="Arial" w:cs="Arial" w:eastAsia="Arial" w:hAnsi="Arial"/>
          <w:sz w:val="13"/>
          <w:szCs w:val="13"/>
          <w:b w:val="1"/>
          <w:bCs w:val="1"/>
          <w:color w:val="auto"/>
        </w:rPr>
        <w:t>Six Months Ended 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-335915</wp:posOffset>
            </wp:positionH>
            <wp:positionV relativeFrom="paragraph">
              <wp:posOffset>31115</wp:posOffset>
            </wp:positionV>
            <wp:extent cx="18008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800860" cy="8890"/>
                    </a:xfrm>
                    <a:prstGeom prst="rect">
                      <a:avLst/>
                    </a:prstGeom>
                    <a:noFill/>
                  </pic:spPr>
                </pic:pic>
              </a:graphicData>
            </a:graphic>
          </wp:anchor>
        </w:drawing>
      </w:r>
    </w:p>
    <w:p>
      <w:pPr>
        <w:spacing w:after="0" w:line="114" w:lineRule="exact"/>
        <w:rPr>
          <w:sz w:val="20"/>
          <w:szCs w:val="20"/>
          <w:color w:val="auto"/>
        </w:rPr>
      </w:pPr>
    </w:p>
    <w:p>
      <w:pPr>
        <w:spacing w:after="0"/>
        <w:tabs>
          <w:tab w:leader="none" w:pos="1460" w:val="left"/>
        </w:tabs>
        <w:rPr>
          <w:sz w:val="20"/>
          <w:szCs w:val="20"/>
          <w:color w:val="auto"/>
        </w:rPr>
      </w:pPr>
      <w:r>
        <w:rPr>
          <w:rFonts w:ascii="Arial" w:cs="Arial" w:eastAsia="Arial" w:hAnsi="Arial"/>
          <w:sz w:val="12"/>
          <w:szCs w:val="12"/>
          <w:b w:val="1"/>
          <w:bCs w:val="1"/>
          <w:color w:val="auto"/>
        </w:rPr>
        <w:t>2013</w:t>
      </w:r>
      <w:r>
        <w:rPr>
          <w:sz w:val="20"/>
          <w:szCs w:val="20"/>
          <w:color w:val="auto"/>
        </w:rPr>
        <w:tab/>
      </w:r>
      <w:r>
        <w:rPr>
          <w:rFonts w:ascii="Arial" w:cs="Arial" w:eastAsia="Arial" w:hAnsi="Arial"/>
          <w:sz w:val="12"/>
          <w:szCs w:val="12"/>
          <w:b w:val="1"/>
          <w:bCs w:val="1"/>
          <w:color w:val="auto"/>
        </w:rPr>
        <w:t>2012</w:t>
      </w:r>
    </w:p>
    <w:p>
      <w:pPr>
        <w:spacing w:after="0" w:line="48" w:lineRule="exact"/>
        <w:rPr>
          <w:sz w:val="20"/>
          <w:szCs w:val="20"/>
          <w:color w:val="auto"/>
        </w:rPr>
      </w:pPr>
    </w:p>
    <w:p>
      <w:pPr>
        <w:sectPr>
          <w:pgSz w:w="11900" w:h="16838" w:orient="portrait"/>
          <w:cols w:equalWidth="0" w:num="2">
            <w:col w:w="8340" w:space="720"/>
            <w:col w:w="2300"/>
          </w:cols>
          <w:pgMar w:left="240" w:top="118" w:right="299" w:bottom="1440" w:gutter="0" w:footer="0" w:header="0"/>
          <w:type w:val="continuous"/>
        </w:sectPr>
      </w:pPr>
    </w:p>
    <w:tbl>
      <w:tblPr>
        <w:tblLayout w:type="fixed"/>
        <w:tblInd w:w="0" w:type="dxa"/>
        <w:tblCellMar>
          <w:top w:w="0" w:type="dxa"/>
          <w:left w:w="0" w:type="dxa"/>
          <w:bottom w:w="0" w:type="dxa"/>
          <w:right w:w="0" w:type="dxa"/>
        </w:tblCellMar>
      </w:tblPr>
      <w:tr>
        <w:trPr>
          <w:trHeight w:val="256"/>
        </w:trPr>
        <w:tc>
          <w:tcPr>
            <w:tcW w:w="55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136,109</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116,704</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250,831</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400" w:type="dxa"/>
            <w:vAlign w:val="bottom"/>
            <w:tcBorders>
              <w:top w:val="single" w:sz="8" w:color="auto"/>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220,436</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98,273</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83,734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180,446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159,139</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37,836</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32,970</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70,385</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61,297</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4,040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3,424</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8,281</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6,887</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23,820</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23,080</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48,233</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45,632</w:t>
            </w:r>
          </w:p>
        </w:tc>
        <w:tc>
          <w:tcPr>
            <w:tcW w:w="0" w:type="dxa"/>
            <w:vAlign w:val="bottom"/>
          </w:tcPr>
          <w:p>
            <w:pPr>
              <w:spacing w:after="0"/>
              <w:rPr>
                <w:sz w:val="1"/>
                <w:szCs w:val="1"/>
                <w:color w:val="auto"/>
              </w:rPr>
            </w:pPr>
          </w:p>
        </w:tc>
      </w:tr>
      <w:tr>
        <w:trPr>
          <w:trHeight w:val="237"/>
        </w:trPr>
        <w:tc>
          <w:tcPr>
            <w:tcW w:w="558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9,976</w:t>
            </w:r>
          </w:p>
        </w:tc>
        <w:tc>
          <w:tcPr>
            <w:tcW w:w="12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6,466</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13,871</w:t>
            </w:r>
          </w:p>
        </w:tc>
        <w:tc>
          <w:tcPr>
            <w:tcW w:w="100" w:type="dxa"/>
            <w:vAlign w:val="bottom"/>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8,778</w:t>
            </w:r>
          </w:p>
        </w:tc>
        <w:tc>
          <w:tcPr>
            <w:tcW w:w="0" w:type="dxa"/>
            <w:vAlign w:val="bottom"/>
          </w:tcPr>
          <w:p>
            <w:pPr>
              <w:spacing w:after="0"/>
              <w:rPr>
                <w:sz w:val="1"/>
                <w:szCs w:val="1"/>
                <w:color w:val="auto"/>
              </w:rPr>
            </w:pPr>
          </w:p>
        </w:tc>
      </w:tr>
      <w:tr>
        <w:trPr>
          <w:trHeight w:val="27"/>
        </w:trPr>
        <w:tc>
          <w:tcPr>
            <w:tcW w:w="558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9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(450)</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8,350</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6,289</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11,704</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43"/>
        </w:trPr>
        <w:tc>
          <w:tcPr>
            <w:tcW w:w="558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2,509</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1,136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2,917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1,455</w:t>
            </w:r>
          </w:p>
        </w:tc>
        <w:tc>
          <w:tcPr>
            <w:tcW w:w="0" w:type="dxa"/>
            <w:vAlign w:val="bottom"/>
          </w:tcPr>
          <w:p>
            <w:pPr>
              <w:spacing w:after="0"/>
              <w:rPr>
                <w:sz w:val="1"/>
                <w:szCs w:val="1"/>
                <w:color w:val="auto"/>
              </w:rPr>
            </w:pPr>
          </w:p>
        </w:tc>
      </w:tr>
      <w:tr>
        <w:trPr>
          <w:trHeight w:val="27"/>
        </w:trPr>
        <w:tc>
          <w:tcPr>
            <w:tcW w:w="55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5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5,841</w:t>
            </w:r>
          </w:p>
        </w:tc>
        <w:tc>
          <w:tcPr>
            <w:tcW w:w="12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8,787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share:</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580" w:type="dxa"/>
            <w:vAlign w:val="bottom"/>
            <w:vMerge w:val="continue"/>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58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80" w:type="dxa"/>
            <w:vAlign w:val="bottom"/>
          </w:tcPr>
          <w:p>
            <w:pPr>
              <w:spacing w:after="0"/>
              <w:rPr>
                <w:sz w:val="4"/>
                <w:szCs w:val="4"/>
                <w:color w:val="auto"/>
              </w:rPr>
            </w:pPr>
          </w:p>
        </w:tc>
        <w:tc>
          <w:tcPr>
            <w:tcW w:w="100" w:type="dxa"/>
            <w:vAlign w:val="bottom"/>
          </w:tcPr>
          <w:p>
            <w:pPr>
              <w:spacing w:after="0"/>
              <w:rPr>
                <w:sz w:val="4"/>
                <w:szCs w:val="4"/>
                <w:color w:val="auto"/>
              </w:rPr>
            </w:pPr>
          </w:p>
        </w:tc>
        <w:tc>
          <w:tcPr>
            <w:tcW w:w="400" w:type="dxa"/>
            <w:vAlign w:val="bottom"/>
          </w:tcPr>
          <w:p>
            <w:pPr>
              <w:spacing w:after="0"/>
              <w:rPr>
                <w:sz w:val="4"/>
                <w:szCs w:val="4"/>
                <w:color w:val="auto"/>
              </w:rPr>
            </w:pPr>
          </w:p>
        </w:tc>
        <w:tc>
          <w:tcPr>
            <w:tcW w:w="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58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0.58</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58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0.38</w:t>
            </w:r>
          </w:p>
        </w:tc>
        <w:tc>
          <w:tcPr>
            <w:tcW w:w="12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0.34</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67"/>
        </w:trPr>
        <w:tc>
          <w:tcPr>
            <w:tcW w:w="55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558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Shares used in computing earnings per share:</w:t>
            </w: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580" w:type="dxa"/>
            <w:vAlign w:val="bottom"/>
          </w:tcPr>
          <w:p>
            <w:pPr>
              <w:ind w:left="380"/>
              <w:spacing w:after="0"/>
              <w:rPr>
                <w:sz w:val="20"/>
                <w:szCs w:val="20"/>
                <w:color w:val="auto"/>
              </w:rPr>
            </w:pPr>
            <w:r>
              <w:rPr>
                <w:rFonts w:ascii="Arial" w:cs="Arial" w:eastAsia="Arial" w:hAnsi="Arial"/>
                <w:sz w:val="18"/>
                <w:szCs w:val="18"/>
                <w:color w:val="auto"/>
              </w:rPr>
              <w:t>Basic</w:t>
            </w: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15,098</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14,933</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80" w:type="dxa"/>
            <w:vAlign w:val="bottom"/>
          </w:tcPr>
          <w:p>
            <w:pPr>
              <w:jc w:val="right"/>
              <w:ind w:right="30"/>
              <w:spacing w:after="0"/>
              <w:rPr>
                <w:sz w:val="20"/>
                <w:szCs w:val="20"/>
                <w:color w:val="auto"/>
              </w:rPr>
            </w:pPr>
            <w:r>
              <w:rPr>
                <w:rFonts w:ascii="Arial" w:cs="Arial" w:eastAsia="Arial" w:hAnsi="Arial"/>
                <w:sz w:val="18"/>
                <w:szCs w:val="18"/>
                <w:color w:val="auto"/>
              </w:rPr>
              <w:t>15,032</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67"/>
        </w:trPr>
        <w:tc>
          <w:tcPr>
            <w:tcW w:w="558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580" w:type="dxa"/>
            <w:vAlign w:val="bottom"/>
            <w:tcBorders>
              <w:bottom w:val="single" w:sz="8" w:color="CCEEFF"/>
            </w:tcBorders>
            <w:shd w:val="clear" w:color="auto" w:fill="CCEEFF"/>
          </w:tcPr>
          <w:p>
            <w:pPr>
              <w:ind w:left="380"/>
              <w:spacing w:after="0" w:line="196" w:lineRule="exact"/>
              <w:rPr>
                <w:sz w:val="20"/>
                <w:szCs w:val="20"/>
                <w:color w:val="auto"/>
              </w:rPr>
            </w:pPr>
            <w:r>
              <w:rPr>
                <w:rFonts w:ascii="Arial" w:cs="Arial" w:eastAsia="Arial" w:hAnsi="Arial"/>
                <w:sz w:val="18"/>
                <w:szCs w:val="18"/>
                <w:color w:val="auto"/>
              </w:rPr>
              <w:t>Diluted</w:t>
            </w: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15,419</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15,048</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15,322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0"/>
        </w:trPr>
        <w:tc>
          <w:tcPr>
            <w:tcW w:w="55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360"/>
          </w:cols>
          <w:pgMar w:left="240" w:top="118" w:right="299" w:bottom="1440" w:gutter="0" w:footer="0" w:header="0"/>
          <w:type w:val="continuous"/>
        </w:sectPr>
      </w:pPr>
    </w:p>
    <w:bookmarkStart w:id="4" w:name="page5"/>
    <w:bookmarkEnd w:id="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COMPREHENSIVE INCOME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200" w:lineRule="exact"/>
        <w:rPr>
          <w:sz w:val="20"/>
          <w:szCs w:val="20"/>
          <w:color w:val="auto"/>
        </w:rPr>
      </w:pP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2960" w:type="dxa"/>
            <w:vAlign w:val="bottom"/>
            <w:gridSpan w:val="6"/>
          </w:tcPr>
          <w:p>
            <w:pPr>
              <w:ind w:left="5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spacing w:after="0"/>
              <w:rPr>
                <w:sz w:val="22"/>
                <w:szCs w:val="22"/>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7"/>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860" w:type="dxa"/>
            <w:vAlign w:val="bottom"/>
            <w:tcBorders>
              <w:bottom w:val="single" w:sz="8" w:color="CCEEFF"/>
            </w:tcBorders>
            <w:shd w:val="clear" w:color="auto" w:fill="CCEEFF"/>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88"/>
              </w:rPr>
              <w:t>5,841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8,787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6,785</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Other comprehensive income (loss):</w:t>
            </w:r>
          </w:p>
        </w:tc>
        <w:tc>
          <w:tcPr>
            <w:tcW w:w="8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spacing w:after="0"/>
              <w:rPr>
                <w:sz w:val="21"/>
                <w:szCs w:val="21"/>
                <w:color w:val="auto"/>
              </w:rPr>
            </w:pPr>
          </w:p>
        </w:tc>
      </w:tr>
      <w:tr>
        <w:trPr>
          <w:trHeight w:val="27"/>
        </w:trPr>
        <w:tc>
          <w:tcPr>
            <w:tcW w:w="5620" w:type="dxa"/>
            <w:vAlign w:val="bottom"/>
          </w:tcPr>
          <w:p>
            <w:pPr>
              <w:spacing w:after="0"/>
              <w:rPr>
                <w:sz w:val="2"/>
                <w:szCs w:val="2"/>
                <w:color w:val="auto"/>
              </w:rPr>
            </w:pPr>
          </w:p>
        </w:tc>
        <w:tc>
          <w:tcPr>
            <w:tcW w:w="8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 in foreign currency translation adjustment</w:t>
            </w:r>
          </w:p>
        </w:tc>
        <w:tc>
          <w:tcPr>
            <w:tcW w:w="8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650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(2,421)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Comprehensive income</w:t>
            </w:r>
          </w:p>
        </w:tc>
        <w:tc>
          <w:tcPr>
            <w:tcW w:w="860" w:type="dxa"/>
            <w:vAlign w:val="bottom"/>
            <w:tcBorders>
              <w:top w:val="single" w:sz="8" w:color="auto"/>
            </w:tcBorders>
          </w:tcPr>
          <w:p>
            <w:pPr>
              <w:jc w:val="right"/>
              <w:ind w:right="679"/>
              <w:spacing w:after="0"/>
              <w:rPr>
                <w:sz w:val="20"/>
                <w:szCs w:val="20"/>
                <w:color w:val="auto"/>
              </w:rPr>
            </w:pPr>
            <w:r>
              <w:rPr>
                <w:rFonts w:ascii="Arial" w:cs="Arial" w:eastAsia="Arial" w:hAnsi="Arial"/>
                <w:sz w:val="18"/>
                <w:szCs w:val="18"/>
                <w:color w:val="auto"/>
                <w:w w:val="79"/>
              </w:rPr>
              <w:t>$</w:t>
            </w:r>
          </w:p>
        </w:tc>
        <w:tc>
          <w:tcPr>
            <w:tcW w:w="5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88"/>
              </w:rPr>
              <w:t>6,491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2,732</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7"/>
              <w:spacing w:after="0"/>
              <w:rPr>
                <w:sz w:val="20"/>
                <w:szCs w:val="20"/>
                <w:color w:val="auto"/>
              </w:rPr>
            </w:pPr>
            <w:r>
              <w:rPr>
                <w:rFonts w:ascii="Arial" w:cs="Arial" w:eastAsia="Arial" w:hAnsi="Arial"/>
                <w:sz w:val="18"/>
                <w:szCs w:val="18"/>
                <w:color w:val="auto"/>
              </w:rPr>
              <w:t>8,311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5,292</w:t>
            </w:r>
          </w:p>
        </w:tc>
      </w:tr>
      <w:tr>
        <w:trPr>
          <w:trHeight w:val="27"/>
        </w:trPr>
        <w:tc>
          <w:tcPr>
            <w:tcW w:w="562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118" w:right="239" w:bottom="1440" w:gutter="0" w:footer="0" w:header="0"/>
        </w:sectPr>
      </w:pPr>
    </w:p>
    <w:bookmarkStart w:id="5" w:name="page6"/>
    <w:bookmarkEnd w:id="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(Unaudited)</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20" w:type="dxa"/>
            <w:vAlign w:val="bottom"/>
          </w:tcPr>
          <w:p>
            <w:pPr>
              <w:spacing w:after="0"/>
              <w:rPr>
                <w:sz w:val="16"/>
                <w:szCs w:val="16"/>
                <w:color w:val="auto"/>
              </w:rPr>
            </w:pPr>
          </w:p>
        </w:tc>
        <w:tc>
          <w:tcPr>
            <w:tcW w:w="2680" w:type="dxa"/>
            <w:vAlign w:val="bottom"/>
            <w:tcBorders>
              <w:bottom w:val="single" w:sz="8" w:color="auto"/>
            </w:tcBorders>
            <w:gridSpan w:val="4"/>
          </w:tcPr>
          <w:p>
            <w:pPr>
              <w:jc w:val="right"/>
              <w:ind w:right="101"/>
              <w:spacing w:after="0"/>
              <w:rPr>
                <w:sz w:val="20"/>
                <w:szCs w:val="20"/>
                <w:color w:val="auto"/>
              </w:rPr>
            </w:pPr>
            <w:r>
              <w:rPr>
                <w:rFonts w:ascii="Arial" w:cs="Arial" w:eastAsia="Arial" w:hAnsi="Arial"/>
                <w:sz w:val="14"/>
                <w:szCs w:val="14"/>
                <w:b w:val="1"/>
                <w:bCs w:val="1"/>
                <w:color w:val="auto"/>
              </w:rPr>
              <w:t>Six Months Ended June 30,</w:t>
            </w:r>
          </w:p>
        </w:tc>
        <w:tc>
          <w:tcPr>
            <w:tcW w:w="620" w:type="dxa"/>
            <w:vAlign w:val="bottom"/>
            <w:tcBorders>
              <w:bottom w:val="single" w:sz="8" w:color="auto"/>
            </w:tcBorders>
          </w:tcPr>
          <w:p>
            <w:pPr>
              <w:spacing w:after="0"/>
              <w:rPr>
                <w:sz w:val="16"/>
                <w:szCs w:val="16"/>
                <w:color w:val="auto"/>
              </w:rPr>
            </w:pPr>
          </w:p>
        </w:tc>
      </w:tr>
      <w:tr>
        <w:trPr>
          <w:trHeight w:val="264"/>
        </w:trPr>
        <w:tc>
          <w:tcPr>
            <w:tcW w:w="812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6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620" w:type="dxa"/>
            <w:vAlign w:val="bottom"/>
            <w:tcBorders>
              <w:bottom w:val="single" w:sz="8" w:color="auto"/>
            </w:tcBorders>
          </w:tcPr>
          <w:p>
            <w:pPr>
              <w:spacing w:after="0"/>
              <w:rPr>
                <w:sz w:val="22"/>
                <w:szCs w:val="22"/>
                <w:color w:val="auto"/>
              </w:rPr>
            </w:pPr>
          </w:p>
        </w:tc>
      </w:tr>
      <w:tr>
        <w:trPr>
          <w:trHeight w:val="210"/>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for) operating activities:</w:t>
            </w:r>
          </w:p>
        </w:tc>
        <w:tc>
          <w:tcPr>
            <w:tcW w:w="9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Net income</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8,787</w:t>
            </w:r>
          </w:p>
        </w:tc>
        <w:tc>
          <w:tcPr>
            <w:tcW w:w="100" w:type="dxa"/>
            <w:vAlign w:val="bottom"/>
          </w:tcPr>
          <w:p>
            <w:pPr>
              <w:spacing w:after="0"/>
              <w:rPr>
                <w:sz w:val="20"/>
                <w:szCs w:val="20"/>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6,785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6"/>
                <w:szCs w:val="16"/>
                <w:color w:val="auto"/>
              </w:rPr>
              <w:t>Adjustments to reconcile net income to net cash provided by (used for) operating activities: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Depreciation and amortization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8,788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8,525</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Provision for doubtful accounts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Provision for inventory write-downs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1,130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1,623</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Deferred income taxes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(111)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Tax benefit from exercise of stock options and vested restricted stock</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399</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(72)</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Shares issued for employee benefit plan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446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468</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Stock-based compensation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2,561</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2,337</w:t>
            </w:r>
          </w:p>
        </w:tc>
      </w:tr>
      <w:tr>
        <w:trPr>
          <w:trHeight w:val="224"/>
        </w:trPr>
        <w:tc>
          <w:tcPr>
            <w:tcW w:w="8120" w:type="dxa"/>
            <w:vAlign w:val="bottom"/>
          </w:tcPr>
          <w:p>
            <w:pPr>
              <w:ind w:left="500"/>
              <w:spacing w:after="0"/>
              <w:rPr>
                <w:sz w:val="20"/>
                <w:szCs w:val="20"/>
                <w:color w:val="auto"/>
              </w:rPr>
            </w:pPr>
            <w:r>
              <w:rPr>
                <w:rFonts w:ascii="Arial" w:cs="Arial" w:eastAsia="Arial" w:hAnsi="Arial"/>
                <w:sz w:val="16"/>
                <w:szCs w:val="16"/>
                <w:color w:val="auto"/>
              </w:rPr>
              <w:t>Changes in operating assets and liabilities:</w:t>
            </w:r>
          </w:p>
        </w:tc>
        <w:tc>
          <w:tcPr>
            <w:tcW w:w="9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47"/>
        </w:trPr>
        <w:tc>
          <w:tcPr>
            <w:tcW w:w="8120" w:type="dxa"/>
            <w:vAlign w:val="bottom"/>
          </w:tcPr>
          <w:p>
            <w:pPr>
              <w:spacing w:after="0"/>
              <w:rPr>
                <w:sz w:val="4"/>
                <w:szCs w:val="4"/>
                <w:color w:val="auto"/>
              </w:rPr>
            </w:pPr>
          </w:p>
        </w:tc>
        <w:tc>
          <w:tcPr>
            <w:tcW w:w="960" w:type="dxa"/>
            <w:vAlign w:val="bottom"/>
          </w:tcPr>
          <w:p>
            <w:pPr>
              <w:spacing w:after="0"/>
              <w:rPr>
                <w:sz w:val="4"/>
                <w:szCs w:val="4"/>
                <w:color w:val="auto"/>
              </w:rPr>
            </w:pPr>
          </w:p>
        </w:tc>
        <w:tc>
          <w:tcPr>
            <w:tcW w:w="660" w:type="dxa"/>
            <w:vAlign w:val="bottom"/>
          </w:tcPr>
          <w:p>
            <w:pPr>
              <w:spacing w:after="0"/>
              <w:rPr>
                <w:sz w:val="4"/>
                <w:szCs w:val="4"/>
                <w:color w:val="auto"/>
              </w:rPr>
            </w:pPr>
          </w:p>
        </w:tc>
        <w:tc>
          <w:tcPr>
            <w:tcW w:w="100" w:type="dxa"/>
            <w:vAlign w:val="bottom"/>
          </w:tcPr>
          <w:p>
            <w:pPr>
              <w:spacing w:after="0"/>
              <w:rPr>
                <w:sz w:val="4"/>
                <w:szCs w:val="4"/>
                <w:color w:val="auto"/>
              </w:rPr>
            </w:pPr>
          </w:p>
        </w:tc>
        <w:tc>
          <w:tcPr>
            <w:tcW w:w="960" w:type="dxa"/>
            <w:vAlign w:val="bottom"/>
          </w:tcPr>
          <w:p>
            <w:pPr>
              <w:spacing w:after="0"/>
              <w:rPr>
                <w:sz w:val="4"/>
                <w:szCs w:val="4"/>
                <w:color w:val="auto"/>
              </w:rPr>
            </w:pPr>
          </w:p>
        </w:tc>
        <w:tc>
          <w:tcPr>
            <w:tcW w:w="620" w:type="dxa"/>
            <w:vAlign w:val="bottom"/>
          </w:tcPr>
          <w:p>
            <w:pPr>
              <w:spacing w:after="0"/>
              <w:rPr>
                <w:sz w:val="4"/>
                <w:szCs w:val="4"/>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Accounts receivable</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(4,678)</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Inventories</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w w:val="93"/>
              </w:rPr>
              <w:t>(16,996)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10,630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Prepaid expenses and other assets</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(711)</w:t>
            </w:r>
          </w:p>
        </w:tc>
      </w:tr>
      <w:tr>
        <w:trPr>
          <w:trHeight w:val="237"/>
        </w:trPr>
        <w:tc>
          <w:tcPr>
            <w:tcW w:w="8120" w:type="dxa"/>
            <w:vAlign w:val="bottom"/>
          </w:tcPr>
          <w:p>
            <w:pPr>
              <w:ind w:left="820"/>
              <w:spacing w:after="0"/>
              <w:rPr>
                <w:sz w:val="20"/>
                <w:szCs w:val="20"/>
                <w:color w:val="auto"/>
              </w:rPr>
            </w:pPr>
            <w:r>
              <w:rPr>
                <w:rFonts w:ascii="Arial" w:cs="Arial" w:eastAsia="Arial" w:hAnsi="Arial"/>
                <w:sz w:val="16"/>
                <w:szCs w:val="16"/>
                <w:color w:val="auto"/>
              </w:rPr>
              <w:t>Accounts payable and accrued expenses</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2,647</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w w:val="90"/>
              </w:rPr>
              <w:t>(13,523)</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820"/>
              <w:spacing w:after="0"/>
              <w:rPr>
                <w:sz w:val="20"/>
                <w:szCs w:val="20"/>
                <w:color w:val="auto"/>
              </w:rPr>
            </w:pPr>
            <w:r>
              <w:rPr>
                <w:rFonts w:ascii="Arial" w:cs="Arial" w:eastAsia="Arial" w:hAnsi="Arial"/>
                <w:sz w:val="16"/>
                <w:szCs w:val="16"/>
                <w:color w:val="auto"/>
              </w:rPr>
              <w:t>Accrued income and other taxes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(168)</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(2,796)</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Net cash provided by (used for) operating activities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7,946</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8,601</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used for investing activities: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Acquisition of property, plant, and equipment</w:t>
            </w:r>
          </w:p>
        </w:tc>
        <w:tc>
          <w:tcPr>
            <w:tcW w:w="9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6"/>
                <w:szCs w:val="16"/>
                <w:color w:val="auto"/>
              </w:rPr>
              <w:t>(4,655)</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(4,261)</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7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Acquisition of intangible assets</w:t>
            </w:r>
          </w:p>
        </w:tc>
        <w:tc>
          <w:tcPr>
            <w:tcW w:w="96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(430)</w:t>
            </w:r>
          </w:p>
        </w:tc>
      </w:tr>
      <w:tr>
        <w:trPr>
          <w:trHeight w:val="217"/>
        </w:trPr>
        <w:tc>
          <w:tcPr>
            <w:tcW w:w="8120" w:type="dxa"/>
            <w:vAlign w:val="bottom"/>
          </w:tcPr>
          <w:p>
            <w:pPr>
              <w:ind w:left="720"/>
              <w:spacing w:after="0"/>
              <w:rPr>
                <w:sz w:val="20"/>
                <w:szCs w:val="20"/>
                <w:color w:val="auto"/>
              </w:rPr>
            </w:pPr>
            <w:r>
              <w:rPr>
                <w:rFonts w:ascii="Arial" w:cs="Arial" w:eastAsia="Arial" w:hAnsi="Arial"/>
                <w:sz w:val="16"/>
                <w:szCs w:val="16"/>
                <w:color w:val="auto"/>
              </w:rPr>
              <w:t>Net cash used for investing activities</w:t>
            </w:r>
          </w:p>
        </w:tc>
        <w:tc>
          <w:tcPr>
            <w:tcW w:w="960" w:type="dxa"/>
            <w:vAlign w:val="bottom"/>
            <w:tcBorders>
              <w:top w:val="single" w:sz="8" w:color="auto"/>
            </w:tcBorders>
          </w:tcPr>
          <w:p>
            <w:pPr>
              <w:spacing w:after="0"/>
              <w:rPr>
                <w:sz w:val="18"/>
                <w:szCs w:val="18"/>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(5,309)</w:t>
            </w:r>
          </w:p>
        </w:tc>
        <w:tc>
          <w:tcPr>
            <w:tcW w:w="10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(4,691)</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04"/>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Cash provided by (used for) financing activities:</w:t>
            </w:r>
          </w:p>
        </w:tc>
        <w:tc>
          <w:tcPr>
            <w:tcW w:w="9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r>
      <w:tr>
        <w:trPr>
          <w:trHeight w:val="60"/>
        </w:trPr>
        <w:tc>
          <w:tcPr>
            <w:tcW w:w="812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6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960" w:type="dxa"/>
            <w:vAlign w:val="bottom"/>
            <w:shd w:val="clear" w:color="auto" w:fill="CCEEFF"/>
          </w:tcPr>
          <w:p>
            <w:pPr>
              <w:spacing w:after="0"/>
              <w:rPr>
                <w:sz w:val="5"/>
                <w:szCs w:val="5"/>
                <w:color w:val="auto"/>
              </w:rPr>
            </w:pPr>
          </w:p>
        </w:tc>
        <w:tc>
          <w:tcPr>
            <w:tcW w:w="620" w:type="dxa"/>
            <w:vAlign w:val="bottom"/>
            <w:shd w:val="clear" w:color="auto" w:fill="CCEEFF"/>
          </w:tcPr>
          <w:p>
            <w:pPr>
              <w:spacing w:after="0"/>
              <w:rPr>
                <w:sz w:val="5"/>
                <w:szCs w:val="5"/>
                <w:color w:val="auto"/>
              </w:rPr>
            </w:pP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Issuance of debt</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19,500</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8,000</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Payment of debt</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3"/>
              </w:rPr>
              <w:t>(19,500)</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90"/>
              </w:rPr>
              <w:t>(11,400)</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Proceeds from stock options exercised</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3,946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1,386</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50"/>
        </w:trPr>
        <w:tc>
          <w:tcPr>
            <w:tcW w:w="81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6"/>
                <w:szCs w:val="16"/>
                <w:color w:val="auto"/>
              </w:rPr>
              <w:t>Treasury stock purchased</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(2,435)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(486)</w:t>
            </w:r>
          </w:p>
        </w:tc>
      </w:tr>
      <w:tr>
        <w:trPr>
          <w:trHeight w:val="237"/>
        </w:trPr>
        <w:tc>
          <w:tcPr>
            <w:tcW w:w="8120" w:type="dxa"/>
            <w:vAlign w:val="bottom"/>
          </w:tcPr>
          <w:p>
            <w:pPr>
              <w:ind w:left="380"/>
              <w:spacing w:after="0"/>
              <w:rPr>
                <w:sz w:val="20"/>
                <w:szCs w:val="20"/>
                <w:color w:val="auto"/>
              </w:rPr>
            </w:pPr>
            <w:r>
              <w:rPr>
                <w:rFonts w:ascii="Arial" w:cs="Arial" w:eastAsia="Arial" w:hAnsi="Arial"/>
                <w:sz w:val="16"/>
                <w:szCs w:val="16"/>
                <w:color w:val="auto"/>
              </w:rPr>
              <w:t>Excess tax benefit from stock-based compensation</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366</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30</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6"/>
                <w:szCs w:val="16"/>
                <w:color w:val="auto"/>
              </w:rPr>
              <w:t>Net cash provided by (used for) financing activities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1,877</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(2,470)</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Effect of exchange rate changes on cash</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638</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6"/>
                <w:szCs w:val="16"/>
                <w:color w:val="auto"/>
              </w:rPr>
              <w:t>(124)</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3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Net increase (decrease) in cash and cash equivalents</w:t>
            </w:r>
          </w:p>
        </w:tc>
        <w:tc>
          <w:tcPr>
            <w:tcW w:w="960" w:type="dxa"/>
            <w:vAlign w:val="bottom"/>
            <w:tcBorders>
              <w:bottom w:val="single" w:sz="8" w:color="CCEEFF"/>
            </w:tcBorders>
            <w:shd w:val="clear" w:color="auto" w:fill="CCEEFF"/>
          </w:tcPr>
          <w:p>
            <w:pPr>
              <w:spacing w:after="0"/>
              <w:rPr>
                <w:sz w:val="20"/>
                <w:szCs w:val="20"/>
                <w:color w:val="auto"/>
              </w:rPr>
            </w:pP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5,152</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1,316</w:t>
            </w: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Cash and cash equivalents at beginning of year</w:t>
            </w:r>
          </w:p>
        </w:tc>
        <w:tc>
          <w:tcPr>
            <w:tcW w:w="960" w:type="dxa"/>
            <w:vAlign w:val="bottom"/>
          </w:tcPr>
          <w:p>
            <w:pPr>
              <w:spacing w:after="0"/>
              <w:rPr>
                <w:sz w:val="20"/>
                <w:szCs w:val="20"/>
                <w:color w:val="auto"/>
              </w:rPr>
            </w:pP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44,593</w:t>
            </w: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29,372</w:t>
            </w:r>
          </w:p>
        </w:tc>
      </w:tr>
      <w:tr>
        <w:trPr>
          <w:trHeight w:val="33"/>
        </w:trPr>
        <w:tc>
          <w:tcPr>
            <w:tcW w:w="8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55"/>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960" w:type="dxa"/>
            <w:vAlign w:val="bottom"/>
            <w:tcBorders>
              <w:bottom w:val="single" w:sz="8" w:color="CCEEFF"/>
            </w:tcBorders>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49,745</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30,688</w:t>
            </w:r>
          </w:p>
        </w:tc>
      </w:tr>
      <w:tr>
        <w:trPr>
          <w:trHeight w:val="20"/>
        </w:trPr>
        <w:tc>
          <w:tcPr>
            <w:tcW w:w="812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8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250"/>
        </w:trPr>
        <w:tc>
          <w:tcPr>
            <w:tcW w:w="8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Supplemental Cash Flow Information:</w:t>
            </w:r>
          </w:p>
        </w:tc>
        <w:tc>
          <w:tcPr>
            <w:tcW w:w="9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r>
      <w:tr>
        <w:trPr>
          <w:trHeight w:val="237"/>
        </w:trPr>
        <w:tc>
          <w:tcPr>
            <w:tcW w:w="8120" w:type="dxa"/>
            <w:vAlign w:val="bottom"/>
          </w:tcPr>
          <w:p>
            <w:pPr>
              <w:ind w:left="40"/>
              <w:spacing w:after="0"/>
              <w:rPr>
                <w:sz w:val="20"/>
                <w:szCs w:val="20"/>
                <w:color w:val="auto"/>
              </w:rPr>
            </w:pPr>
            <w:r>
              <w:rPr>
                <w:rFonts w:ascii="Arial" w:cs="Arial" w:eastAsia="Arial" w:hAnsi="Arial"/>
                <w:sz w:val="16"/>
                <w:szCs w:val="16"/>
                <w:color w:val="auto"/>
              </w:rPr>
              <w:t>Income taxes paid</w:t>
            </w:r>
          </w:p>
        </w:tc>
        <w:tc>
          <w:tcPr>
            <w:tcW w:w="960" w:type="dxa"/>
            <w:vAlign w:val="bottom"/>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tcPr>
          <w:p>
            <w:pPr>
              <w:jc w:val="right"/>
              <w:ind w:right="39"/>
              <w:spacing w:after="0"/>
              <w:rPr>
                <w:sz w:val="20"/>
                <w:szCs w:val="20"/>
                <w:color w:val="auto"/>
              </w:rPr>
            </w:pPr>
            <w:r>
              <w:rPr>
                <w:rFonts w:ascii="Arial" w:cs="Arial" w:eastAsia="Arial" w:hAnsi="Arial"/>
                <w:sz w:val="16"/>
                <w:szCs w:val="16"/>
                <w:color w:val="auto"/>
              </w:rPr>
              <w:t>2,420</w:t>
            </w:r>
          </w:p>
        </w:tc>
        <w:tc>
          <w:tcPr>
            <w:tcW w:w="100" w:type="dxa"/>
            <w:vAlign w:val="bottom"/>
          </w:tcPr>
          <w:p>
            <w:pPr>
              <w:spacing w:after="0"/>
              <w:rPr>
                <w:sz w:val="20"/>
                <w:szCs w:val="20"/>
                <w:color w:val="auto"/>
              </w:rPr>
            </w:pPr>
          </w:p>
        </w:tc>
        <w:tc>
          <w:tcPr>
            <w:tcW w:w="960" w:type="dxa"/>
            <w:vAlign w:val="bottom"/>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tcPr>
          <w:p>
            <w:pPr>
              <w:jc w:val="right"/>
              <w:ind w:right="19"/>
              <w:spacing w:after="0"/>
              <w:rPr>
                <w:sz w:val="20"/>
                <w:szCs w:val="20"/>
                <w:color w:val="auto"/>
              </w:rPr>
            </w:pPr>
            <w:r>
              <w:rPr>
                <w:rFonts w:ascii="Arial" w:cs="Arial" w:eastAsia="Arial" w:hAnsi="Arial"/>
                <w:sz w:val="16"/>
                <w:szCs w:val="16"/>
                <w:color w:val="auto"/>
              </w:rPr>
              <w:t>5,354</w:t>
            </w:r>
          </w:p>
        </w:tc>
      </w:tr>
      <w:tr>
        <w:trPr>
          <w:trHeight w:val="33"/>
        </w:trPr>
        <w:tc>
          <w:tcPr>
            <w:tcW w:w="8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37"/>
        </w:trPr>
        <w:tc>
          <w:tcPr>
            <w:tcW w:w="81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Interest paid</w:t>
            </w:r>
          </w:p>
        </w:tc>
        <w:tc>
          <w:tcPr>
            <w:tcW w:w="960" w:type="dxa"/>
            <w:vAlign w:val="bottom"/>
            <w:shd w:val="clear" w:color="auto" w:fill="CCEEFF"/>
          </w:tcPr>
          <w:p>
            <w:pPr>
              <w:jc w:val="right"/>
              <w:ind w:right="782"/>
              <w:spacing w:after="0"/>
              <w:rPr>
                <w:sz w:val="20"/>
                <w:szCs w:val="20"/>
                <w:color w:val="auto"/>
              </w:rPr>
            </w:pPr>
            <w:r>
              <w:rPr>
                <w:rFonts w:ascii="Arial" w:cs="Arial" w:eastAsia="Arial" w:hAnsi="Arial"/>
                <w:sz w:val="16"/>
                <w:szCs w:val="16"/>
                <w:color w:val="auto"/>
                <w:w w:val="89"/>
              </w:rPr>
              <w:t>$</w:t>
            </w:r>
          </w:p>
        </w:tc>
        <w:tc>
          <w:tcPr>
            <w:tcW w:w="66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43</w:t>
            </w:r>
          </w:p>
        </w:tc>
        <w:tc>
          <w:tcPr>
            <w:tcW w:w="100" w:type="dxa"/>
            <w:vAlign w:val="bottom"/>
            <w:shd w:val="clear" w:color="auto" w:fill="CCEEFF"/>
          </w:tcPr>
          <w:p>
            <w:pPr>
              <w:spacing w:after="0"/>
              <w:rPr>
                <w:sz w:val="20"/>
                <w:szCs w:val="20"/>
                <w:color w:val="auto"/>
              </w:rPr>
            </w:pPr>
          </w:p>
        </w:tc>
        <w:tc>
          <w:tcPr>
            <w:tcW w:w="960" w:type="dxa"/>
            <w:vAlign w:val="bottom"/>
            <w:shd w:val="clear" w:color="auto" w:fill="CCEEFF"/>
          </w:tcPr>
          <w:p>
            <w:pPr>
              <w:jc w:val="right"/>
              <w:ind w:right="781"/>
              <w:spacing w:after="0"/>
              <w:rPr>
                <w:sz w:val="20"/>
                <w:szCs w:val="20"/>
                <w:color w:val="auto"/>
              </w:rPr>
            </w:pPr>
            <w:r>
              <w:rPr>
                <w:rFonts w:ascii="Arial" w:cs="Arial" w:eastAsia="Arial" w:hAnsi="Arial"/>
                <w:sz w:val="16"/>
                <w:szCs w:val="16"/>
                <w:color w:val="auto"/>
                <w:w w:val="89"/>
              </w:rPr>
              <w:t>$</w:t>
            </w:r>
          </w:p>
        </w:tc>
        <w:tc>
          <w:tcPr>
            <w:tcW w:w="6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176</w:t>
            </w:r>
          </w:p>
        </w:tc>
      </w:tr>
      <w:tr>
        <w:trPr>
          <w:trHeight w:val="33"/>
        </w:trPr>
        <w:tc>
          <w:tcPr>
            <w:tcW w:w="81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See Note 4 for further information concerning our purchases from a related party vendor.</w:t>
      </w:r>
    </w:p>
    <w:p>
      <w:pPr>
        <w:spacing w:after="0" w:line="171" w:lineRule="exact"/>
        <w:rPr>
          <w:sz w:val="20"/>
          <w:szCs w:val="20"/>
          <w:color w:val="auto"/>
        </w:rPr>
      </w:pPr>
    </w:p>
    <w:p>
      <w:pPr>
        <w:ind w:left="2580"/>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ectPr>
          <w:pgSz w:w="11900" w:h="16838" w:orient="portrait"/>
          <w:cols w:equalWidth="0" w:num="1">
            <w:col w:w="11420"/>
          </w:cols>
          <w:pgMar w:left="240" w:top="11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18" w:right="239" w:bottom="1440" w:gutter="0" w:footer="0" w:header="0"/>
          <w:type w:val="continuous"/>
        </w:sectPr>
      </w:pPr>
    </w:p>
    <w:bookmarkStart w:id="6" w:name="page7"/>
    <w:bookmarkEnd w:id="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 and Significant Accounting Policies</w:t>
      </w:r>
    </w:p>
    <w:p>
      <w:pPr>
        <w:spacing w:after="0" w:line="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the opinion of management, the accompanying consolidated financial statements of Universal Electronics Inc. and its wholly-owned subsidiaries contain all the adjustments necessary for a fair presentation of financial position, results of operations and cash flows for the periods presented. All such adjustments are of a normal recurring nature and certain reclassifications have been made to prior year amounts in order to conform to the current year presentation. Information and footnote disclosures normally included in financial statements, which are prepared in accordance with accounting principles generally accepted in the United States of America, have been condensed or omitted pursuant to the rules and regulations of the Securities and Exchange Commission. As used herein, the terms "Company," "we," "us," and "our" refer to Universal Electronics Inc. and its subsidiaries, unless the context indicates to the contrary.</w:t>
      </w:r>
    </w:p>
    <w:p>
      <w:pPr>
        <w:spacing w:after="0" w:line="14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Our results of operations for the three and six months ended June 30, 2013 are not necessarily indicative of the results to be expected for the full year. These financial statements should be read in conjunction with the "Risk Factors," "Management Discussion and Analysis of Financial Condition and Results of Operations," "Quantitative and Qualitative Disclosures About Market Risk," and the "Financial Statements and Supplementary Data" and notes thereto included in Items 1A, 7, 7A, and 8, respectively, of our Annual Report on Form 10-K for the fiscal year ended December 31, 2012.</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Estimates, Judgments and Assumptions</w:t>
      </w:r>
    </w:p>
    <w:p>
      <w:pPr>
        <w:spacing w:after="0" w:line="7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The preparation of financial statements in conformity with accounting principles generally accepted in the United States of America requires us to make estimates, judgments and assumptions that affect the reported amounts of assets and liabilities, disclosure of contingent assets and liabilities at the date of the financial statements and the reported amounts of revenues and expenses during the reporting period. On an on-going basis, we evaluate our estimates, judgments and assumptions, including those related to revenue recognition, allowances for sales returns and doubtful accounts, warranties, inventory valuation, business combination purchase price allocations, impairment of long-lived assets, intangible assets and goodwill, income taxes and stock-based compensation expense. Actual results may differ from our expectations. Based on our evaluation, our estimates, judgments and assumptions may be adjusted as more information becomes available. Any adjustment may be material.</w:t>
      </w:r>
    </w:p>
    <w:p>
      <w:pPr>
        <w:spacing w:after="0" w:line="13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to the consolidated financial statements included in our Annual Report on Form 10-K for the year ended December 31, 2012 for a summary of our significant accounting policies.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17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December 2011, the FASB issued Accounting Standards Update ("ASU") 2011-11, "Disclosures about Offsetting Assets and Liabilities." The amendments in ASU 2011-11 require an entity to disclose information about offsetting and related arrangements to enable users of its financial statements to understand the effect of those arrangements on its financial position. In January 2013, the FASB issued ASU 2013-01, "Clarifying the Scope of Disclosures about Offsetting Assets and Liabilities," which limits the scope of ASU 2011-11 to derivatives, repurchase agreements and securities lending transactions. This guidance became effective on January 1, 2013 with retrospective application required. The adoption of this guidance did not have a material impact on our consolidated financial statements.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February 2013, the FASB issued ASU 2013-02, "Reporting of Amounts Reclassified Out of Accumulated Other Comprehensive Income," which updates ASU 2011-05, "Comprehensive Income." This standard requires the presentation in a single location, either in a note or parenthetically on the face of the financial statements, of the effect of significant amounts reclassified from each component of accumulated other comprehensive income based on its source and the income statement line items affected by the reclassification. We adopted this guidance effective January 1, 2013. The adoption of this guidance did not have a material impact on our consolidated financial statements.</w:t>
      </w:r>
    </w:p>
    <w:p>
      <w:pPr>
        <w:spacing w:after="0" w:line="13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July 2013, the FASB issued ASU 2013-11, "Presentation of an Unrecognized Tax Benefit When a Net Operating Loss Carryforward, a Similar Tax Loss, or a Tax Credit Carryforward Exists." This standard requires an entity to present an unrecognized tax benefit, or a portion of an unrecognized tax benefit, in the financial statements as a reduction to a deferred tax asset for a net operating loss carryforward, a similar tax loss, or a tax credit carryforward. To the extent a net operating loss carryforward, a similar tax loss, or a tax credit carryforward is not available at the reporting date under the tax law of the applicable jurisdiction to settle any additional income taxes that would result from the disallowance of a tax position or the tax law of the applicable jurisdiction does not require the entity to use, and the entity does not intend to use, the deferred tax asset for such purpose, the</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118" w:right="239" w:bottom="1440" w:gutter="0" w:footer="0" w:header="0"/>
        </w:sectPr>
      </w:pPr>
    </w:p>
    <w:bookmarkStart w:id="7" w:name="page8"/>
    <w:bookmarkEnd w:id="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unrecognized tax benefit should be presented in the financial statements as a liability and should not be combined with deferred tax assets. This guidance is effective for fiscal years, and interim periods within those years, beginning after December 15, 2013. Early adoption is permitted. The adoption of ASU 2013-11 is not expected to have a material impact on our consolidated results of operations or financial position.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Cash and Cash Equivalents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were held in the following geographic regions:</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10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June 30,</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606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50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14,208</w:t>
            </w:r>
          </w:p>
        </w:tc>
        <w:tc>
          <w:tcPr>
            <w:tcW w:w="260" w:type="dxa"/>
            <w:vAlign w:val="bottom"/>
            <w:tcBorders>
              <w:bottom w:val="single" w:sz="8" w:color="CCEEFF"/>
            </w:tcBorders>
            <w:gridSpan w:val="5"/>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2,741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Asia</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25,758</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27,317</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Europe</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6,079</w:t>
            </w: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9,361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Cayman Islands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ind w:right="8"/>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South America</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8"/>
              <w:spacing w:after="0"/>
              <w:rPr>
                <w:sz w:val="20"/>
                <w:szCs w:val="20"/>
                <w:color w:val="auto"/>
              </w:rPr>
            </w:pPr>
            <w:r>
              <w:rPr>
                <w:rFonts w:ascii="Arial" w:cs="Arial" w:eastAsia="Arial" w:hAnsi="Arial"/>
                <w:sz w:val="18"/>
                <w:szCs w:val="18"/>
                <w:color w:val="auto"/>
              </w:rPr>
              <w:t>3,699</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5,173</w:t>
            </w: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gridSpan w:val="2"/>
          </w:tcPr>
          <w:p>
            <w:pPr>
              <w:ind w:left="360"/>
              <w:spacing w:after="0"/>
              <w:rPr>
                <w:sz w:val="20"/>
                <w:szCs w:val="20"/>
                <w:color w:val="auto"/>
              </w:rPr>
            </w:pPr>
            <w:r>
              <w:rPr>
                <w:rFonts w:ascii="Arial" w:cs="Arial" w:eastAsia="Arial" w:hAnsi="Arial"/>
                <w:sz w:val="18"/>
                <w:szCs w:val="18"/>
                <w:color w:val="auto"/>
              </w:rPr>
              <w:t>Total cash and cash equivalents</w:t>
            </w:r>
          </w:p>
        </w:tc>
        <w:tc>
          <w:tcPr>
            <w:tcW w:w="1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gridSpan w:val="2"/>
          </w:tcPr>
          <w:p>
            <w:pPr>
              <w:jc w:val="right"/>
              <w:ind w:right="8"/>
              <w:spacing w:after="0"/>
              <w:rPr>
                <w:sz w:val="20"/>
                <w:szCs w:val="20"/>
                <w:color w:val="auto"/>
              </w:rPr>
            </w:pPr>
            <w:r>
              <w:rPr>
                <w:rFonts w:ascii="Arial" w:cs="Arial" w:eastAsia="Arial" w:hAnsi="Arial"/>
                <w:sz w:val="18"/>
                <w:szCs w:val="18"/>
                <w:color w:val="auto"/>
              </w:rPr>
              <w:t>49,745</w:t>
            </w: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gridSpan w:val="2"/>
          </w:tcPr>
          <w:p>
            <w:pPr>
              <w:spacing w:after="0"/>
              <w:rPr>
                <w:sz w:val="22"/>
                <w:szCs w:val="22"/>
                <w:color w:val="auto"/>
              </w:rPr>
            </w:pPr>
          </w:p>
        </w:tc>
        <w:tc>
          <w:tcPr>
            <w:tcW w:w="12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8"/>
                <w:szCs w:val="18"/>
                <w:color w:val="auto"/>
              </w:rPr>
              <w:t>44,593</w:t>
            </w: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Note 3 — Accounts Receivable, Net and Revenue Concentrations</w:t>
            </w: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60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80" w:type="dxa"/>
            <w:vAlign w:val="bottom"/>
            <w:gridSpan w:val="3"/>
          </w:tcPr>
          <w:p>
            <w:pPr>
              <w:spacing w:after="0"/>
              <w:rPr>
                <w:sz w:val="20"/>
                <w:szCs w:val="20"/>
                <w:color w:val="auto"/>
              </w:rPr>
            </w:pPr>
            <w:r>
              <w:rPr>
                <w:rFonts w:ascii="Arial" w:cs="Arial" w:eastAsia="Arial" w:hAnsi="Arial"/>
                <w:sz w:val="18"/>
                <w:szCs w:val="18"/>
                <w:color w:val="auto"/>
              </w:rPr>
              <w:t>Accounts receivable, net were as follows: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77"/>
        </w:trPr>
        <w:tc>
          <w:tcPr>
            <w:tcW w:w="20" w:type="dxa"/>
            <w:vAlign w:val="bottom"/>
          </w:tcPr>
          <w:p>
            <w:pPr>
              <w:spacing w:after="0"/>
              <w:rPr>
                <w:sz w:val="24"/>
                <w:szCs w:val="24"/>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jc w:val="right"/>
              <w:ind w:right="408"/>
              <w:spacing w:after="0"/>
              <w:rPr>
                <w:sz w:val="20"/>
                <w:szCs w:val="20"/>
                <w:color w:val="auto"/>
              </w:rPr>
            </w:pPr>
            <w:r>
              <w:rPr>
                <w:rFonts w:ascii="Arial" w:cs="Arial" w:eastAsia="Arial" w:hAnsi="Arial"/>
                <w:sz w:val="14"/>
                <w:szCs w:val="14"/>
                <w:b w:val="1"/>
                <w:bCs w:val="1"/>
                <w:color w:val="auto"/>
                <w:w w:val="85"/>
              </w:rPr>
              <w:t>June 30,</w:t>
            </w: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gridSpan w:val="2"/>
          </w:tcPr>
          <w:p>
            <w:pPr>
              <w:jc w:val="right"/>
              <w:ind w:right="235"/>
              <w:spacing w:after="0"/>
              <w:rPr>
                <w:sz w:val="20"/>
                <w:szCs w:val="20"/>
                <w:color w:val="auto"/>
              </w:rPr>
            </w:pPr>
            <w:r>
              <w:rPr>
                <w:rFonts w:ascii="Arial" w:cs="Arial" w:eastAsia="Arial" w:hAnsi="Arial"/>
                <w:sz w:val="14"/>
                <w:szCs w:val="14"/>
                <w:b w:val="1"/>
                <w:bCs w:val="1"/>
                <w:color w:val="auto"/>
                <w:w w:val="98"/>
              </w:rPr>
              <w:t>December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2"/>
        </w:trPr>
        <w:tc>
          <w:tcPr>
            <w:tcW w:w="20" w:type="dxa"/>
            <w:vAlign w:val="bottom"/>
            <w:tcBorders>
              <w:bottom w:val="single" w:sz="8" w:color="CCEEFF"/>
            </w:tcBorders>
          </w:tcPr>
          <w:p>
            <w:pPr>
              <w:spacing w:after="0"/>
              <w:rPr>
                <w:sz w:val="16"/>
                <w:szCs w:val="16"/>
                <w:color w:val="auto"/>
              </w:rPr>
            </w:pPr>
          </w:p>
        </w:tc>
        <w:tc>
          <w:tcPr>
            <w:tcW w:w="6060" w:type="dxa"/>
            <w:vAlign w:val="bottom"/>
            <w:tcBorders>
              <w:bottom w:val="single" w:sz="8" w:color="CCEEFF"/>
            </w:tcBorders>
            <w:gridSpan w:val="2"/>
            <w:vMerge w:val="continue"/>
          </w:tcPr>
          <w:p>
            <w:pPr>
              <w:spacing w:after="0"/>
              <w:rPr>
                <w:sz w:val="16"/>
                <w:szCs w:val="16"/>
                <w:color w:val="auto"/>
              </w:rPr>
            </w:pPr>
          </w:p>
        </w:tc>
        <w:tc>
          <w:tcPr>
            <w:tcW w:w="180" w:type="dxa"/>
            <w:vAlign w:val="bottom"/>
            <w:tcBorders>
              <w:bottom w:val="single" w:sz="8" w:color="CCEEFF"/>
            </w:tcBorders>
          </w:tcPr>
          <w:p>
            <w:pPr>
              <w:spacing w:after="0"/>
              <w:rPr>
                <w:sz w:val="16"/>
                <w:szCs w:val="16"/>
                <w:color w:val="auto"/>
              </w:rPr>
            </w:pPr>
          </w:p>
        </w:tc>
        <w:tc>
          <w:tcPr>
            <w:tcW w:w="1100" w:type="dxa"/>
            <w:vAlign w:val="bottom"/>
            <w:tcBorders>
              <w:bottom w:val="single" w:sz="8" w:color="CCEEFF"/>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880" w:type="dxa"/>
            <w:vAlign w:val="bottom"/>
            <w:tcBorders>
              <w:bottom w:val="single" w:sz="8" w:color="CCEEFF"/>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gridSpan w:val="2"/>
          </w:tcPr>
          <w:p>
            <w:pPr>
              <w:jc w:val="right"/>
              <w:ind w:right="488"/>
              <w:spacing w:after="0"/>
              <w:rPr>
                <w:sz w:val="20"/>
                <w:szCs w:val="20"/>
                <w:color w:val="auto"/>
              </w:rPr>
            </w:pPr>
            <w:r>
              <w:rPr>
                <w:rFonts w:ascii="Arial" w:cs="Arial" w:eastAsia="Arial" w:hAnsi="Arial"/>
                <w:sz w:val="14"/>
                <w:szCs w:val="14"/>
                <w:b w:val="1"/>
                <w:bCs w:val="1"/>
                <w:color w:val="auto"/>
              </w:rPr>
              <w:t>2013</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0" w:type="dxa"/>
            <w:vAlign w:val="bottom"/>
            <w:tcBorders>
              <w:bottom w:val="single" w:sz="8" w:color="CCEEFF"/>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Borders>
              <w:bottom w:val="single" w:sz="8" w:color="CCEEFF"/>
            </w:tcBorders>
            <w:shd w:val="clear" w:color="auto" w:fill="CCEEFF"/>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Trade receivables, gross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87,664</w:t>
            </w:r>
          </w:p>
        </w:tc>
        <w:tc>
          <w:tcPr>
            <w:tcW w:w="360" w:type="dxa"/>
            <w:vAlign w:val="bottom"/>
            <w:tcBorders>
              <w:bottom w:val="single" w:sz="8" w:color="CCEEFF"/>
            </w:tcBorders>
            <w:gridSpan w:val="6"/>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90,056</w:t>
            </w:r>
          </w:p>
        </w:tc>
        <w:tc>
          <w:tcPr>
            <w:tcW w:w="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20"/>
              <w:spacing w:after="0"/>
              <w:rPr>
                <w:sz w:val="20"/>
                <w:szCs w:val="20"/>
                <w:color w:val="auto"/>
              </w:rPr>
            </w:pPr>
            <w:r>
              <w:rPr>
                <w:rFonts w:ascii="Arial" w:cs="Arial" w:eastAsia="Arial" w:hAnsi="Arial"/>
                <w:sz w:val="18"/>
                <w:szCs w:val="18"/>
                <w:color w:val="auto"/>
              </w:rPr>
              <w:t>Allowance for doubtful accounts</w:t>
            </w:r>
          </w:p>
        </w:tc>
        <w:tc>
          <w:tcPr>
            <w:tcW w:w="1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(322)</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Allowance for sales returns</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(588)</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(996)</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Arial" w:cs="Arial" w:eastAsia="Arial" w:hAnsi="Arial"/>
                <w:sz w:val="18"/>
                <w:szCs w:val="18"/>
                <w:color w:val="auto"/>
              </w:rPr>
              <w:t>Net trade receivables</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86,751</w:t>
            </w:r>
          </w:p>
        </w:tc>
        <w:tc>
          <w:tcPr>
            <w:tcW w:w="20" w:type="dxa"/>
            <w:vAlign w:val="bottom"/>
            <w:tcBorders>
              <w:top w:val="single" w:sz="8" w:color="auto"/>
            </w:tcBorders>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88,738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0" w:type="dxa"/>
            <w:vAlign w:val="bottom"/>
            <w:tcBorders>
              <w:bottom w:val="single" w:sz="8" w:color="CCEEFF"/>
            </w:tcBorders>
            <w:shd w:val="clear" w:color="auto" w:fill="CCEEFF"/>
          </w:tcPr>
          <w:p>
            <w:pPr>
              <w:spacing w:after="0"/>
              <w:rPr>
                <w:sz w:val="23"/>
                <w:szCs w:val="23"/>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2,681</w:t>
            </w:r>
          </w:p>
        </w:tc>
        <w:tc>
          <w:tcPr>
            <w:tcW w:w="2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2,310</w:t>
            </w:r>
          </w:p>
        </w:tc>
        <w:tc>
          <w:tcPr>
            <w:tcW w:w="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gridSpan w:val="2"/>
          </w:tcPr>
          <w:p>
            <w:pPr>
              <w:ind w:left="360"/>
              <w:spacing w:after="0"/>
              <w:rPr>
                <w:sz w:val="20"/>
                <w:szCs w:val="20"/>
                <w:color w:val="auto"/>
              </w:rPr>
            </w:pPr>
            <w:r>
              <w:rPr>
                <w:rFonts w:ascii="Arial" w:cs="Arial" w:eastAsia="Arial" w:hAnsi="Arial"/>
                <w:sz w:val="18"/>
                <w:szCs w:val="18"/>
                <w:color w:val="auto"/>
              </w:rPr>
              <w:t>Accounts receivable, net</w:t>
            </w:r>
          </w:p>
        </w:tc>
        <w:tc>
          <w:tcPr>
            <w:tcW w:w="1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gridSpan w:val="2"/>
          </w:tcPr>
          <w:p>
            <w:pPr>
              <w:jc w:val="right"/>
              <w:spacing w:after="0"/>
              <w:rPr>
                <w:sz w:val="20"/>
                <w:szCs w:val="20"/>
                <w:color w:val="auto"/>
              </w:rPr>
            </w:pPr>
            <w:r>
              <w:rPr>
                <w:rFonts w:ascii="Arial" w:cs="Arial" w:eastAsia="Arial" w:hAnsi="Arial"/>
                <w:sz w:val="18"/>
                <w:szCs w:val="18"/>
                <w:color w:val="auto"/>
              </w:rPr>
              <w:t>89,432</w:t>
            </w:r>
          </w:p>
        </w:tc>
        <w:tc>
          <w:tcPr>
            <w:tcW w:w="40" w:type="dxa"/>
            <w:vAlign w:val="bottom"/>
            <w:tcBorders>
              <w:top w:val="single" w:sz="8" w:color="auto"/>
            </w:tcBorders>
            <w:gridSpan w:val="2"/>
          </w:tcPr>
          <w:p>
            <w:pPr>
              <w:spacing w:after="0"/>
              <w:rPr>
                <w:sz w:val="20"/>
                <w:szCs w:val="20"/>
                <w:color w:val="auto"/>
              </w:rPr>
            </w:pPr>
          </w:p>
        </w:tc>
        <w:tc>
          <w:tcPr>
            <w:tcW w:w="120" w:type="dxa"/>
            <w:vAlign w:val="bottom"/>
            <w:gridSpan w:val="2"/>
          </w:tcPr>
          <w:p>
            <w:pPr>
              <w:spacing w:after="0"/>
              <w:rPr>
                <w:sz w:val="20"/>
                <w:szCs w:val="20"/>
                <w:color w:val="auto"/>
              </w:rPr>
            </w:pPr>
          </w:p>
        </w:tc>
        <w:tc>
          <w:tcPr>
            <w:tcW w:w="200" w:type="dxa"/>
            <w:vAlign w:val="bottom"/>
            <w:tcBorders>
              <w:top w:val="single" w:sz="8" w:color="auto"/>
            </w:tcBorders>
            <w:gridSpan w:val="2"/>
          </w:tcPr>
          <w:p>
            <w:pPr>
              <w:jc w:val="right"/>
              <w:ind w:right="100"/>
              <w:spacing w:after="0"/>
              <w:rPr>
                <w:sz w:val="20"/>
                <w:szCs w:val="20"/>
                <w:color w:val="auto"/>
              </w:rPr>
            </w:pPr>
            <w:r>
              <w:rPr>
                <w:rFonts w:ascii="Arial" w:cs="Arial" w:eastAsia="Arial" w:hAnsi="Arial"/>
                <w:sz w:val="18"/>
                <w:szCs w:val="18"/>
                <w:color w:val="auto"/>
                <w:w w:val="79"/>
              </w:rPr>
              <w:t>$</w:t>
            </w: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91,048</w:t>
            </w:r>
          </w:p>
        </w:tc>
        <w:tc>
          <w:tcPr>
            <w:tcW w:w="20" w:type="dxa"/>
            <w:vAlign w:val="bottom"/>
            <w:tcBorders>
              <w:top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6080" w:type="dxa"/>
            <w:vAlign w:val="bottom"/>
            <w:gridSpan w:val="3"/>
            <w:vMerge w:val="restart"/>
          </w:tcPr>
          <w:p>
            <w:pPr>
              <w:spacing w:after="0"/>
              <w:rPr>
                <w:sz w:val="20"/>
                <w:szCs w:val="20"/>
                <w:color w:val="auto"/>
              </w:rPr>
            </w:pPr>
            <w:r>
              <w:rPr>
                <w:rFonts w:ascii="Arial" w:cs="Arial" w:eastAsia="Arial" w:hAnsi="Arial"/>
                <w:sz w:val="18"/>
                <w:szCs w:val="18"/>
                <w:i w:val="1"/>
                <w:iCs w:val="1"/>
                <w:color w:val="auto"/>
              </w:rPr>
              <w:t>Allowance for Doubtful Accounts</w:t>
            </w: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6080" w:type="dxa"/>
            <w:vAlign w:val="bottom"/>
            <w:gridSpan w:val="3"/>
            <w:vMerge w:val="continu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6080" w:type="dxa"/>
            <w:vAlign w:val="bottom"/>
            <w:gridSpan w:val="3"/>
            <w:vMerge w:val="continue"/>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6080" w:type="dxa"/>
            <w:vAlign w:val="bottom"/>
            <w:gridSpan w:val="3"/>
          </w:tcPr>
          <w:p>
            <w:pPr>
              <w:spacing w:after="0"/>
              <w:rPr>
                <w:sz w:val="20"/>
                <w:szCs w:val="20"/>
                <w:color w:val="auto"/>
              </w:rPr>
            </w:pPr>
            <w:r>
              <w:rPr>
                <w:rFonts w:ascii="Arial" w:cs="Arial" w:eastAsia="Arial" w:hAnsi="Arial"/>
                <w:sz w:val="18"/>
                <w:szCs w:val="18"/>
                <w:color w:val="auto"/>
              </w:rPr>
              <w:t>Changes in the allowance for doubtful accounts were as follows:</w:t>
            </w: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04"/>
        </w:trPr>
        <w:tc>
          <w:tcPr>
            <w:tcW w:w="20" w:type="dxa"/>
            <w:vAlign w:val="bottom"/>
          </w:tcPr>
          <w:p>
            <w:pPr>
              <w:spacing w:after="0"/>
              <w:rPr>
                <w:sz w:val="24"/>
                <w:szCs w:val="24"/>
                <w:color w:val="auto"/>
              </w:rPr>
            </w:pPr>
          </w:p>
        </w:tc>
        <w:tc>
          <w:tcPr>
            <w:tcW w:w="606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(In thousands)</w:t>
            </w:r>
          </w:p>
        </w:tc>
        <w:tc>
          <w:tcPr>
            <w:tcW w:w="180" w:type="dxa"/>
            <w:vAlign w:val="bottom"/>
          </w:tcPr>
          <w:p>
            <w:pPr>
              <w:spacing w:after="0"/>
              <w:rPr>
                <w:sz w:val="24"/>
                <w:szCs w:val="24"/>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1"/>
              </w:rPr>
              <w:t>Balance at</w:t>
            </w: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2"/>
              </w:rPr>
              <w:t>Additions</w:t>
            </w:r>
          </w:p>
        </w:tc>
        <w:tc>
          <w:tcPr>
            <w:tcW w:w="120" w:type="dxa"/>
            <w:vAlign w:val="bottom"/>
          </w:tcPr>
          <w:p>
            <w:pPr>
              <w:spacing w:after="0"/>
              <w:rPr>
                <w:sz w:val="24"/>
                <w:szCs w:val="24"/>
                <w:color w:val="auto"/>
              </w:rPr>
            </w:pPr>
          </w:p>
        </w:tc>
        <w:tc>
          <w:tcPr>
            <w:tcW w:w="1340" w:type="dxa"/>
            <w:vAlign w:val="bottom"/>
            <w:gridSpan w:val="7"/>
            <w:vMerge w:val="restart"/>
          </w:tcPr>
          <w:p>
            <w:pPr>
              <w:jc w:val="right"/>
              <w:ind w:right="340"/>
              <w:spacing w:after="0"/>
              <w:rPr>
                <w:sz w:val="20"/>
                <w:szCs w:val="20"/>
                <w:color w:val="auto"/>
              </w:rPr>
            </w:pPr>
            <w:r>
              <w:rPr>
                <w:rFonts w:ascii="Arial" w:cs="Arial" w:eastAsia="Arial" w:hAnsi="Arial"/>
                <w:sz w:val="14"/>
                <w:szCs w:val="14"/>
                <w:b w:val="1"/>
                <w:bCs w:val="1"/>
                <w:color w:val="auto"/>
              </w:rPr>
              <w:t>(Write-offs)/</w:t>
            </w:r>
          </w:p>
        </w:tc>
        <w:tc>
          <w:tcPr>
            <w:tcW w:w="220" w:type="dxa"/>
            <w:vAlign w:val="bottom"/>
          </w:tcPr>
          <w:p>
            <w:pPr>
              <w:spacing w:after="0"/>
              <w:rPr>
                <w:sz w:val="24"/>
                <w:szCs w:val="24"/>
                <w:color w:val="auto"/>
              </w:rPr>
            </w:pPr>
          </w:p>
        </w:tc>
        <w:tc>
          <w:tcPr>
            <w:tcW w:w="1020" w:type="dxa"/>
            <w:vAlign w:val="bottom"/>
          </w:tcPr>
          <w:p>
            <w:pPr>
              <w:jc w:val="right"/>
              <w:ind w:right="215"/>
              <w:spacing w:after="0"/>
              <w:rPr>
                <w:sz w:val="20"/>
                <w:szCs w:val="20"/>
                <w:color w:val="auto"/>
              </w:rPr>
            </w:pPr>
            <w:r>
              <w:rPr>
                <w:rFonts w:ascii="Arial" w:cs="Arial" w:eastAsia="Arial" w:hAnsi="Arial"/>
                <w:sz w:val="14"/>
                <w:szCs w:val="14"/>
                <w:b w:val="1"/>
                <w:bCs w:val="1"/>
                <w:color w:val="auto"/>
                <w:w w:val="99"/>
              </w:rPr>
              <w:t>Balance at</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0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20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1"/>
              </w:rPr>
              <w:t>Beginning of</w:t>
            </w:r>
          </w:p>
        </w:tc>
        <w:tc>
          <w:tcPr>
            <w:tcW w:w="124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94"/>
              </w:rPr>
              <w:t>to Costs and</w:t>
            </w:r>
          </w:p>
        </w:tc>
        <w:tc>
          <w:tcPr>
            <w:tcW w:w="120" w:type="dxa"/>
            <w:vAlign w:val="bottom"/>
          </w:tcPr>
          <w:p>
            <w:pPr>
              <w:spacing w:after="0"/>
              <w:rPr>
                <w:sz w:val="12"/>
                <w:szCs w:val="12"/>
                <w:color w:val="auto"/>
              </w:rPr>
            </w:pPr>
          </w:p>
        </w:tc>
        <w:tc>
          <w:tcPr>
            <w:tcW w:w="1340" w:type="dxa"/>
            <w:vAlign w:val="bottom"/>
            <w:gridSpan w:val="7"/>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jc w:val="right"/>
              <w:ind w:right="315"/>
              <w:spacing w:after="0" w:line="149" w:lineRule="exact"/>
              <w:rPr>
                <w:sz w:val="20"/>
                <w:szCs w:val="20"/>
                <w:color w:val="auto"/>
              </w:rPr>
            </w:pPr>
            <w:r>
              <w:rPr>
                <w:rFonts w:ascii="Arial" w:cs="Arial" w:eastAsia="Arial" w:hAnsi="Arial"/>
                <w:sz w:val="14"/>
                <w:szCs w:val="14"/>
                <w:b w:val="1"/>
                <w:bCs w:val="1"/>
                <w:color w:val="auto"/>
              </w:rPr>
              <w:t>End of</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594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center"/>
              <w:ind w:right="121"/>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5"/>
              </w:rPr>
              <w:t>Expenses</w:t>
            </w:r>
          </w:p>
        </w:tc>
        <w:tc>
          <w:tcPr>
            <w:tcW w:w="120" w:type="dxa"/>
            <w:vAlign w:val="bottom"/>
            <w:tcBorders>
              <w:bottom w:val="single" w:sz="8" w:color="CCEEFF"/>
            </w:tcBorders>
          </w:tcPr>
          <w:p>
            <w:pPr>
              <w:spacing w:after="0"/>
              <w:rPr>
                <w:sz w:val="16"/>
                <w:szCs w:val="16"/>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FX Effects</w:t>
            </w:r>
          </w:p>
        </w:tc>
        <w:tc>
          <w:tcPr>
            <w:tcW w:w="2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Period</w:t>
            </w: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Valuation account for trade receivables:</w:t>
            </w:r>
          </w:p>
        </w:tc>
        <w:tc>
          <w:tcPr>
            <w:tcW w:w="1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tcPr>
          <w:p>
            <w:pPr>
              <w:ind w:left="280"/>
              <w:spacing w:after="0"/>
              <w:rPr>
                <w:sz w:val="20"/>
                <w:szCs w:val="20"/>
                <w:color w:val="auto"/>
              </w:rPr>
            </w:pPr>
            <w:r>
              <w:rPr>
                <w:rFonts w:ascii="Arial" w:cs="Arial" w:eastAsia="Arial" w:hAnsi="Arial"/>
                <w:sz w:val="18"/>
                <w:szCs w:val="18"/>
                <w:color w:val="auto"/>
              </w:rPr>
              <w:t>Six months ended June 30, 2013</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41"/>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21"/>
                <w:szCs w:val="21"/>
                <w:color w:val="auto"/>
              </w:rPr>
            </w:pPr>
          </w:p>
        </w:tc>
        <w:tc>
          <w:tcPr>
            <w:tcW w:w="1240" w:type="dxa"/>
            <w:vAlign w:val="bottom"/>
            <w:gridSpan w:val="2"/>
          </w:tcPr>
          <w:p>
            <w:pPr>
              <w:jc w:val="right"/>
              <w:ind w:right="10"/>
              <w:spacing w:after="0"/>
              <w:rPr>
                <w:sz w:val="20"/>
                <w:szCs w:val="20"/>
                <w:color w:val="auto"/>
              </w:rPr>
            </w:pPr>
            <w:r>
              <w:rPr>
                <w:rFonts w:ascii="Arial" w:cs="Arial" w:eastAsia="Arial" w:hAnsi="Arial"/>
                <w:sz w:val="18"/>
                <w:szCs w:val="18"/>
                <w:color w:val="auto"/>
              </w:rPr>
              <w:t>48</w:t>
            </w:r>
          </w:p>
        </w:tc>
        <w:tc>
          <w:tcPr>
            <w:tcW w:w="1360" w:type="dxa"/>
            <w:vAlign w:val="bottom"/>
            <w:gridSpan w:val="7"/>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jc w:val="right"/>
              <w:ind w:right="19"/>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5"/>
              <w:spacing w:after="0"/>
              <w:rPr>
                <w:sz w:val="20"/>
                <w:szCs w:val="20"/>
                <w:color w:val="auto"/>
              </w:rPr>
            </w:pPr>
            <w:r>
              <w:rPr>
                <w:rFonts w:ascii="Arial" w:cs="Arial" w:eastAsia="Arial" w:hAnsi="Arial"/>
                <w:sz w:val="18"/>
                <w:szCs w:val="18"/>
                <w:color w:val="auto"/>
              </w:rPr>
              <w:t>325</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80" w:type="dxa"/>
            <w:vAlign w:val="bottom"/>
          </w:tcPr>
          <w:p>
            <w:pPr>
              <w:spacing w:after="0"/>
              <w:rPr>
                <w:sz w:val="2"/>
                <w:szCs w:val="2"/>
                <w:color w:val="auto"/>
              </w:rPr>
            </w:pPr>
          </w:p>
        </w:tc>
        <w:tc>
          <w:tcPr>
            <w:tcW w:w="260" w:type="dxa"/>
            <w:vAlign w:val="bottom"/>
            <w:gridSpan w:val="5"/>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20" w:type="dxa"/>
            <w:vAlign w:val="bottom"/>
          </w:tcPr>
          <w:p>
            <w:pPr>
              <w:spacing w:after="0"/>
              <w:rPr>
                <w:sz w:val="21"/>
                <w:szCs w:val="21"/>
                <w:color w:val="auto"/>
              </w:rPr>
            </w:pPr>
          </w:p>
        </w:tc>
        <w:tc>
          <w:tcPr>
            <w:tcW w:w="6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Six months ended June 30, 2012</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1,021</w:t>
            </w:r>
          </w:p>
        </w:tc>
        <w:tc>
          <w:tcPr>
            <w:tcW w:w="100" w:type="dxa"/>
            <w:vAlign w:val="bottom"/>
            <w:shd w:val="clear" w:color="auto" w:fill="CCEEFF"/>
          </w:tcPr>
          <w:p>
            <w:pPr>
              <w:spacing w:after="0"/>
              <w:rPr>
                <w:sz w:val="21"/>
                <w:szCs w:val="21"/>
                <w:color w:val="auto"/>
              </w:rPr>
            </w:pPr>
          </w:p>
        </w:tc>
        <w:tc>
          <w:tcPr>
            <w:tcW w:w="12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21"/>
                <w:szCs w:val="21"/>
                <w:color w:val="auto"/>
              </w:rPr>
            </w:pPr>
          </w:p>
        </w:tc>
        <w:tc>
          <w:tcPr>
            <w:tcW w:w="980" w:type="dxa"/>
            <w:vAlign w:val="bottom"/>
            <w:shd w:val="clear" w:color="auto" w:fill="CCEEFF"/>
          </w:tcPr>
          <w:p>
            <w:pPr>
              <w:spacing w:after="0"/>
              <w:rPr>
                <w:sz w:val="21"/>
                <w:szCs w:val="21"/>
                <w:color w:val="auto"/>
              </w:rPr>
            </w:pPr>
          </w:p>
        </w:tc>
        <w:tc>
          <w:tcPr>
            <w:tcW w:w="260" w:type="dxa"/>
            <w:vAlign w:val="bottom"/>
            <w:gridSpan w:val="5"/>
            <w:shd w:val="clear" w:color="auto" w:fill="CCEEFF"/>
          </w:tcPr>
          <w:p>
            <w:pPr>
              <w:jc w:val="right"/>
              <w:spacing w:after="0"/>
              <w:rPr>
                <w:sz w:val="20"/>
                <w:szCs w:val="20"/>
                <w:color w:val="auto"/>
              </w:rPr>
            </w:pPr>
            <w:r>
              <w:rPr>
                <w:rFonts w:ascii="Arial" w:cs="Arial" w:eastAsia="Arial" w:hAnsi="Arial"/>
                <w:sz w:val="18"/>
                <w:szCs w:val="18"/>
                <w:color w:val="auto"/>
                <w:w w:val="81"/>
              </w:rPr>
              <w:t>(7)</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5"/>
              <w:spacing w:after="0"/>
              <w:rPr>
                <w:sz w:val="20"/>
                <w:szCs w:val="20"/>
                <w:color w:val="auto"/>
              </w:rPr>
            </w:pPr>
            <w:r>
              <w:rPr>
                <w:rFonts w:ascii="Arial" w:cs="Arial" w:eastAsia="Arial" w:hAnsi="Arial"/>
                <w:sz w:val="18"/>
                <w:szCs w:val="18"/>
                <w:color w:val="auto"/>
              </w:rPr>
              <w:t>1,051</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880" w:type="dxa"/>
            <w:vAlign w:val="bottom"/>
            <w:shd w:val="clear" w:color="auto" w:fill="CCEEFF"/>
          </w:tcPr>
          <w:p>
            <w:pPr>
              <w:spacing w:after="0"/>
              <w:rPr>
                <w:sz w:val="2"/>
                <w:szCs w:val="2"/>
                <w:color w:val="auto"/>
              </w:rPr>
            </w:pPr>
          </w:p>
        </w:tc>
        <w:tc>
          <w:tcPr>
            <w:tcW w:w="3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Sales Returns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allowance for sales returns at June 30, 2013 and December 31, 2012 included reserves for items returned prior to period-end that were not completely processed, and therefore had not yet been removed from the allowance for sales returns balance. If these returns had been fully processed, the allowance for sales returns balance would have been approximately $0.3 million and $0.6 million on June 30, 2013 and December 31, 2012, respectively. The value of these returned goods was included in our inventory balance at June 30, 2013 and December 31, 2012.</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118" w:right="239" w:bottom="1440" w:gutter="0" w:footer="0" w:header="0"/>
        </w:sectPr>
      </w:pPr>
    </w:p>
    <w:bookmarkStart w:id="8" w:name="page9"/>
    <w:bookmarkEnd w:id="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Customer</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Net sales to the following significant customer that totaled more than 10% of our net sales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20" w:type="dxa"/>
            <w:vAlign w:val="bottom"/>
          </w:tcPr>
          <w:p>
            <w:pPr>
              <w:spacing w:after="0"/>
              <w:rPr>
                <w:sz w:val="16"/>
                <w:szCs w:val="16"/>
                <w:color w:val="auto"/>
              </w:rPr>
            </w:pPr>
          </w:p>
        </w:tc>
        <w:tc>
          <w:tcPr>
            <w:tcW w:w="542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40" w:type="dxa"/>
            <w:vAlign w:val="bottom"/>
            <w:tcBorders>
              <w:bottom w:val="single" w:sz="8" w:color="auto"/>
            </w:tcBorders>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3000" w:type="dxa"/>
            <w:vAlign w:val="bottom"/>
            <w:tcBorders>
              <w:bottom w:val="single" w:sz="8" w:color="auto"/>
            </w:tcBorders>
            <w:gridSpan w:val="10"/>
          </w:tcPr>
          <w:p>
            <w:pPr>
              <w:jc w:val="right"/>
              <w:ind w:right="820"/>
              <w:spacing w:after="0"/>
              <w:rPr>
                <w:sz w:val="20"/>
                <w:szCs w:val="20"/>
                <w:color w:val="auto"/>
              </w:rPr>
            </w:pPr>
            <w:r>
              <w:rPr>
                <w:rFonts w:ascii="Arial" w:cs="Arial" w:eastAsia="Arial" w:hAnsi="Arial"/>
                <w:sz w:val="14"/>
                <w:szCs w:val="14"/>
                <w:b w:val="1"/>
                <w:bCs w:val="1"/>
                <w:color w:val="auto"/>
              </w:rPr>
              <w:t>Three Months Ended June 30,</w:t>
            </w:r>
          </w:p>
        </w:tc>
        <w:tc>
          <w:tcPr>
            <w:tcW w:w="11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64"/>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80"/>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auto"/>
            </w:tcBorders>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100"/>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1"/>
              </w:rPr>
              <w:t>$ (thousands)</w:t>
            </w:r>
          </w:p>
        </w:tc>
        <w:tc>
          <w:tcPr>
            <w:tcW w:w="1300" w:type="dxa"/>
            <w:vAlign w:val="bottom"/>
            <w:gridSpan w:val="3"/>
          </w:tcPr>
          <w:p>
            <w:pPr>
              <w:ind w:left="40"/>
              <w:spacing w:after="0"/>
              <w:rPr>
                <w:sz w:val="20"/>
                <w:szCs w:val="20"/>
                <w:color w:val="auto"/>
              </w:rPr>
            </w:pPr>
            <w:r>
              <w:rPr>
                <w:rFonts w:ascii="Arial" w:cs="Arial" w:eastAsia="Arial" w:hAnsi="Arial"/>
                <w:sz w:val="14"/>
                <w:szCs w:val="14"/>
                <w:b w:val="1"/>
                <w:bCs w:val="1"/>
                <w:color w:val="auto"/>
              </w:rPr>
              <w:t>% of Net Sales</w:t>
            </w:r>
          </w:p>
        </w:tc>
        <w:tc>
          <w:tcPr>
            <w:tcW w:w="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460" w:type="dxa"/>
            <w:vAlign w:val="bottom"/>
            <w:gridSpan w:val="5"/>
          </w:tcPr>
          <w:p>
            <w:pPr>
              <w:jc w:val="right"/>
              <w:ind w:right="600"/>
              <w:spacing w:after="0"/>
              <w:rPr>
                <w:sz w:val="20"/>
                <w:szCs w:val="20"/>
                <w:color w:val="auto"/>
              </w:rPr>
            </w:pPr>
            <w:r>
              <w:rPr>
                <w:rFonts w:ascii="Arial" w:cs="Arial" w:eastAsia="Arial" w:hAnsi="Arial"/>
                <w:sz w:val="14"/>
                <w:szCs w:val="14"/>
                <w:b w:val="1"/>
                <w:bCs w:val="1"/>
                <w:color w:val="auto"/>
                <w:w w:val="91"/>
              </w:rPr>
              <w:t>$ (thousands)</w:t>
            </w:r>
          </w:p>
        </w:tc>
        <w:tc>
          <w:tcPr>
            <w:tcW w:w="1280" w:type="dxa"/>
            <w:vAlign w:val="bottom"/>
            <w:gridSpan w:val="2"/>
          </w:tcPr>
          <w:p>
            <w:pPr>
              <w:jc w:val="right"/>
              <w:ind w:right="360"/>
              <w:spacing w:after="0"/>
              <w:rPr>
                <w:sz w:val="20"/>
                <w:szCs w:val="20"/>
                <w:color w:val="auto"/>
              </w:rPr>
            </w:pPr>
            <w:r>
              <w:rPr>
                <w:rFonts w:ascii="Arial" w:cs="Arial" w:eastAsia="Arial" w:hAnsi="Arial"/>
                <w:sz w:val="14"/>
                <w:szCs w:val="14"/>
                <w:b w:val="1"/>
                <w:bCs w:val="1"/>
                <w:color w:val="auto"/>
                <w:w w:val="93"/>
              </w:rPr>
              <w:t>% of Net Sales</w:t>
            </w:r>
          </w:p>
        </w:tc>
      </w:tr>
      <w:tr>
        <w:trPr>
          <w:trHeight w:val="250"/>
        </w:trPr>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54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DIRECTV</w:t>
            </w:r>
          </w:p>
        </w:tc>
        <w:tc>
          <w:tcPr>
            <w:tcW w:w="220" w:type="dxa"/>
            <w:vAlign w:val="bottom"/>
            <w:tcBorders>
              <w:top w:val="single" w:sz="8" w:color="auto"/>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22"/>
              <w:spacing w:after="0"/>
              <w:rPr>
                <w:sz w:val="20"/>
                <w:szCs w:val="20"/>
                <w:color w:val="auto"/>
              </w:rPr>
            </w:pPr>
            <w:r>
              <w:rPr>
                <w:rFonts w:ascii="Arial" w:cs="Arial" w:eastAsia="Arial" w:hAnsi="Arial"/>
                <w:sz w:val="18"/>
                <w:szCs w:val="18"/>
                <w:color w:val="auto"/>
              </w:rPr>
              <w:t>22,137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4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CCEEFF"/>
            </w:tcBorders>
            <w:shd w:val="clear" w:color="auto" w:fill="CCEEFF"/>
          </w:tcPr>
          <w:p>
            <w:pPr>
              <w:jc w:val="right"/>
              <w:ind w:right="42"/>
              <w:spacing w:after="0"/>
              <w:rPr>
                <w:sz w:val="20"/>
                <w:szCs w:val="20"/>
                <w:color w:val="auto"/>
              </w:rPr>
            </w:pPr>
            <w:r>
              <w:rPr>
                <w:rFonts w:ascii="Arial" w:cs="Arial" w:eastAsia="Arial" w:hAnsi="Arial"/>
                <w:sz w:val="18"/>
                <w:szCs w:val="18"/>
                <w:color w:val="auto"/>
              </w:rPr>
              <w:t>19,215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1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r>
      <w:tr>
        <w:trPr>
          <w:trHeight w:val="548"/>
        </w:trPr>
        <w:tc>
          <w:tcPr>
            <w:tcW w:w="20" w:type="dxa"/>
            <w:vAlign w:val="bottom"/>
          </w:tcPr>
          <w:p>
            <w:pPr>
              <w:spacing w:after="0"/>
              <w:rPr>
                <w:sz w:val="24"/>
                <w:szCs w:val="24"/>
                <w:color w:val="auto"/>
              </w:rPr>
            </w:pPr>
          </w:p>
        </w:tc>
        <w:tc>
          <w:tcPr>
            <w:tcW w:w="54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4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3000" w:type="dxa"/>
            <w:vAlign w:val="bottom"/>
            <w:tcBorders>
              <w:bottom w:val="single" w:sz="8" w:color="auto"/>
            </w:tcBorders>
            <w:gridSpan w:val="10"/>
          </w:tcPr>
          <w:p>
            <w:pPr>
              <w:jc w:val="right"/>
              <w:ind w:right="820"/>
              <w:spacing w:after="0"/>
              <w:rPr>
                <w:sz w:val="20"/>
                <w:szCs w:val="20"/>
                <w:color w:val="auto"/>
              </w:rPr>
            </w:pPr>
            <w:r>
              <w:rPr>
                <w:rFonts w:ascii="Arial" w:cs="Arial" w:eastAsia="Arial" w:hAnsi="Arial"/>
                <w:sz w:val="14"/>
                <w:szCs w:val="14"/>
                <w:b w:val="1"/>
                <w:bCs w:val="1"/>
                <w:color w:val="auto"/>
              </w:rPr>
              <w:t>Six Months Ended June 30,</w:t>
            </w:r>
          </w:p>
        </w:tc>
        <w:tc>
          <w:tcPr>
            <w:tcW w:w="11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264"/>
        </w:trPr>
        <w:tc>
          <w:tcPr>
            <w:tcW w:w="20" w:type="dxa"/>
            <w:vAlign w:val="bottom"/>
          </w:tcPr>
          <w:p>
            <w:pPr>
              <w:spacing w:after="0"/>
              <w:rPr>
                <w:sz w:val="22"/>
                <w:szCs w:val="22"/>
                <w:color w:val="auto"/>
              </w:rPr>
            </w:pPr>
          </w:p>
        </w:tc>
        <w:tc>
          <w:tcPr>
            <w:tcW w:w="54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ind w:right="20"/>
              <w:spacing w:after="0"/>
              <w:rPr>
                <w:sz w:val="20"/>
                <w:szCs w:val="20"/>
                <w:color w:val="auto"/>
              </w:rPr>
            </w:pPr>
            <w:r>
              <w:rPr>
                <w:rFonts w:ascii="Arial" w:cs="Arial" w:eastAsia="Arial" w:hAnsi="Arial"/>
                <w:sz w:val="14"/>
                <w:szCs w:val="14"/>
                <w:b w:val="1"/>
                <w:bCs w:val="1"/>
                <w:color w:val="auto"/>
              </w:rPr>
              <w:t>2013</w:t>
            </w:r>
          </w:p>
        </w:tc>
        <w:tc>
          <w:tcPr>
            <w:tcW w:w="120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2012</w:t>
            </w:r>
          </w:p>
        </w:tc>
        <w:tc>
          <w:tcPr>
            <w:tcW w:w="118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r>
      <w:tr>
        <w:trPr>
          <w:trHeight w:val="264"/>
        </w:trPr>
        <w:tc>
          <w:tcPr>
            <w:tcW w:w="20" w:type="dxa"/>
            <w:vAlign w:val="bottom"/>
          </w:tcPr>
          <w:p>
            <w:pPr>
              <w:spacing w:after="0"/>
              <w:rPr>
                <w:sz w:val="22"/>
                <w:szCs w:val="22"/>
                <w:color w:val="auto"/>
              </w:rPr>
            </w:pPr>
          </w:p>
        </w:tc>
        <w:tc>
          <w:tcPr>
            <w:tcW w:w="54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00"/>
              <w:spacing w:after="0"/>
              <w:rPr>
                <w:sz w:val="20"/>
                <w:szCs w:val="20"/>
                <w:color w:val="auto"/>
              </w:rPr>
            </w:pPr>
            <w:r>
              <w:rPr>
                <w:rFonts w:ascii="Arial" w:cs="Arial" w:eastAsia="Arial" w:hAnsi="Arial"/>
                <w:sz w:val="14"/>
                <w:szCs w:val="14"/>
                <w:b w:val="1"/>
                <w:bCs w:val="1"/>
                <w:color w:val="auto"/>
              </w:rPr>
              <w:t>$ (thousands)</w:t>
            </w:r>
          </w:p>
        </w:tc>
        <w:tc>
          <w:tcPr>
            <w:tcW w:w="100" w:type="dxa"/>
            <w:vAlign w:val="bottom"/>
            <w:tcBorders>
              <w:bottom w:val="single" w:sz="8" w:color="CCEEFF"/>
            </w:tcBorders>
            <w:gridSpan w:val="2"/>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4"/>
                <w:szCs w:val="14"/>
                <w:b w:val="1"/>
                <w:bCs w:val="1"/>
                <w:color w:val="auto"/>
              </w:rPr>
              <w:t>% of Net Sales</w:t>
            </w:r>
          </w:p>
        </w:tc>
        <w:tc>
          <w:tcPr>
            <w:tcW w:w="2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 (thousands)</w:t>
            </w:r>
          </w:p>
        </w:tc>
        <w:tc>
          <w:tcPr>
            <w:tcW w:w="120" w:type="dxa"/>
            <w:vAlign w:val="bottom"/>
            <w:tcBorders>
              <w:bottom w:val="single" w:sz="8" w:color="CCEEFF"/>
            </w:tcBorders>
            <w:gridSpan w:val="2"/>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ind w:right="260"/>
              <w:spacing w:after="0"/>
              <w:rPr>
                <w:sz w:val="20"/>
                <w:szCs w:val="20"/>
                <w:color w:val="auto"/>
              </w:rPr>
            </w:pPr>
            <w:r>
              <w:rPr>
                <w:rFonts w:ascii="Arial" w:cs="Arial" w:eastAsia="Arial" w:hAnsi="Arial"/>
                <w:sz w:val="14"/>
                <w:szCs w:val="14"/>
                <w:b w:val="1"/>
                <w:bCs w:val="1"/>
                <w:color w:val="auto"/>
              </w:rPr>
              <w:t>% of Net Sales</w:t>
            </w:r>
          </w:p>
        </w:tc>
      </w:tr>
      <w:tr>
        <w:trPr>
          <w:trHeight w:val="243"/>
        </w:trPr>
        <w:tc>
          <w:tcPr>
            <w:tcW w:w="20" w:type="dxa"/>
            <w:vAlign w:val="bottom"/>
          </w:tcPr>
          <w:p>
            <w:pPr>
              <w:spacing w:after="0"/>
              <w:rPr>
                <w:sz w:val="21"/>
                <w:szCs w:val="21"/>
                <w:color w:val="auto"/>
              </w:rPr>
            </w:pPr>
          </w:p>
        </w:tc>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DIRECTV</w:t>
            </w:r>
          </w:p>
        </w:tc>
        <w:tc>
          <w:tcPr>
            <w:tcW w:w="2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42,984</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17.1%</w:t>
            </w:r>
          </w:p>
        </w:tc>
        <w:tc>
          <w:tcPr>
            <w:tcW w:w="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35,426</w:t>
            </w: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16.1%</w:t>
            </w:r>
          </w:p>
        </w:tc>
      </w:tr>
      <w:tr>
        <w:trPr>
          <w:trHeight w:val="27"/>
        </w:trPr>
        <w:tc>
          <w:tcPr>
            <w:tcW w:w="20" w:type="dxa"/>
            <w:vAlign w:val="bottom"/>
          </w:tcPr>
          <w:p>
            <w:pPr>
              <w:spacing w:after="0"/>
              <w:rPr>
                <w:sz w:val="2"/>
                <w:szCs w:val="2"/>
                <w:color w:val="auto"/>
              </w:rPr>
            </w:pPr>
          </w:p>
        </w:tc>
        <w:tc>
          <w:tcPr>
            <w:tcW w:w="542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2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Trade receivables associated with the significant customer activity disclosed above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ind w:left="940"/>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3"/>
          </w:tcPr>
          <w:p>
            <w:pPr>
              <w:jc w:val="right"/>
              <w:ind w:right="902"/>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152"/>
        </w:trPr>
        <w:tc>
          <w:tcPr>
            <w:tcW w:w="50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26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w w:val="98"/>
              </w:rPr>
              <w:t>$ (thousands)</w:t>
            </w:r>
          </w:p>
        </w:tc>
        <w:tc>
          <w:tcPr>
            <w:tcW w:w="100" w:type="dxa"/>
            <w:vAlign w:val="bottom"/>
            <w:vMerge w:val="restart"/>
          </w:tcPr>
          <w:p>
            <w:pPr>
              <w:spacing w:after="0"/>
              <w:rPr>
                <w:sz w:val="13"/>
                <w:szCs w:val="13"/>
                <w:color w:val="auto"/>
              </w:rPr>
            </w:pPr>
          </w:p>
        </w:tc>
        <w:tc>
          <w:tcPr>
            <w:tcW w:w="1880" w:type="dxa"/>
            <w:vAlign w:val="bottom"/>
            <w:gridSpan w:val="3"/>
          </w:tcPr>
          <w:p>
            <w:pPr>
              <w:ind w:left="320"/>
              <w:spacing w:after="0" w:line="153" w:lineRule="exact"/>
              <w:rPr>
                <w:sz w:val="20"/>
                <w:szCs w:val="20"/>
                <w:color w:val="auto"/>
              </w:rPr>
            </w:pPr>
            <w:r>
              <w:rPr>
                <w:rFonts w:ascii="Arial" w:cs="Arial" w:eastAsia="Arial" w:hAnsi="Arial"/>
                <w:sz w:val="14"/>
                <w:szCs w:val="14"/>
                <w:b w:val="1"/>
                <w:bCs w:val="1"/>
                <w:color w:val="auto"/>
              </w:rPr>
              <w:t>% of Accounts</w:t>
            </w:r>
          </w:p>
        </w:tc>
        <w:tc>
          <w:tcPr>
            <w:tcW w:w="1260" w:type="dxa"/>
            <w:vAlign w:val="bottom"/>
            <w:vMerge w:val="restart"/>
          </w:tcPr>
          <w:p>
            <w:pPr>
              <w:jc w:val="right"/>
              <w:ind w:right="262"/>
              <w:spacing w:after="0"/>
              <w:rPr>
                <w:sz w:val="20"/>
                <w:szCs w:val="20"/>
                <w:color w:val="auto"/>
              </w:rPr>
            </w:pPr>
            <w:r>
              <w:rPr>
                <w:rFonts w:ascii="Arial" w:cs="Arial" w:eastAsia="Arial" w:hAnsi="Arial"/>
                <w:sz w:val="14"/>
                <w:szCs w:val="14"/>
                <w:b w:val="1"/>
                <w:bCs w:val="1"/>
                <w:color w:val="auto"/>
                <w:w w:val="98"/>
              </w:rPr>
              <w:t>$ (thousands)</w:t>
            </w:r>
          </w:p>
        </w:tc>
        <w:tc>
          <w:tcPr>
            <w:tcW w:w="100" w:type="dxa"/>
            <w:vAlign w:val="bottom"/>
            <w:vMerge w:val="restart"/>
          </w:tcPr>
          <w:p>
            <w:pPr>
              <w:spacing w:after="0"/>
              <w:rPr>
                <w:sz w:val="13"/>
                <w:szCs w:val="13"/>
                <w:color w:val="auto"/>
              </w:rPr>
            </w:pPr>
          </w:p>
        </w:tc>
        <w:tc>
          <w:tcPr>
            <w:tcW w:w="1560" w:type="dxa"/>
            <w:vAlign w:val="bottom"/>
          </w:tcPr>
          <w:p>
            <w:pPr>
              <w:ind w:left="320"/>
              <w:spacing w:after="0" w:line="153" w:lineRule="exact"/>
              <w:rPr>
                <w:sz w:val="20"/>
                <w:szCs w:val="20"/>
                <w:color w:val="auto"/>
              </w:rPr>
            </w:pPr>
            <w:r>
              <w:rPr>
                <w:rFonts w:ascii="Arial" w:cs="Arial" w:eastAsia="Arial" w:hAnsi="Arial"/>
                <w:sz w:val="14"/>
                <w:szCs w:val="14"/>
                <w:b w:val="1"/>
                <w:bCs w:val="1"/>
                <w:color w:val="auto"/>
              </w:rPr>
              <w:t>% of Accounts</w:t>
            </w:r>
          </w:p>
        </w:tc>
        <w:tc>
          <w:tcPr>
            <w:tcW w:w="0" w:type="dxa"/>
            <w:vAlign w:val="bottom"/>
          </w:tcPr>
          <w:p>
            <w:pPr>
              <w:spacing w:after="0"/>
              <w:rPr>
                <w:sz w:val="1"/>
                <w:szCs w:val="1"/>
                <w:color w:val="auto"/>
              </w:rPr>
            </w:pPr>
          </w:p>
        </w:tc>
      </w:tr>
      <w:tr>
        <w:trPr>
          <w:trHeight w:val="192"/>
        </w:trPr>
        <w:tc>
          <w:tcPr>
            <w:tcW w:w="50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Receivable, Net</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560" w:type="dxa"/>
            <w:vAlign w:val="bottom"/>
            <w:tcBorders>
              <w:bottom w:val="single" w:sz="8" w:color="auto"/>
            </w:tcBorders>
          </w:tcPr>
          <w:p>
            <w:pPr>
              <w:ind w:left="300"/>
              <w:spacing w:after="0"/>
              <w:rPr>
                <w:sz w:val="20"/>
                <w:szCs w:val="20"/>
                <w:color w:val="auto"/>
              </w:rPr>
            </w:pPr>
            <w:r>
              <w:rPr>
                <w:rFonts w:ascii="Arial" w:cs="Arial" w:eastAsia="Arial" w:hAnsi="Arial"/>
                <w:sz w:val="14"/>
                <w:szCs w:val="14"/>
                <w:b w:val="1"/>
                <w:bCs w:val="1"/>
                <w:color w:val="auto"/>
              </w:rPr>
              <w:t>Receivable, Net</w:t>
            </w:r>
          </w:p>
        </w:tc>
        <w:tc>
          <w:tcPr>
            <w:tcW w:w="0" w:type="dxa"/>
            <w:vAlign w:val="bottom"/>
          </w:tcPr>
          <w:p>
            <w:pPr>
              <w:spacing w:after="0"/>
              <w:rPr>
                <w:sz w:val="1"/>
                <w:szCs w:val="1"/>
                <w:color w:val="auto"/>
              </w:rPr>
            </w:pPr>
          </w:p>
        </w:tc>
      </w:tr>
      <w:tr>
        <w:trPr>
          <w:trHeight w:val="243"/>
        </w:trPr>
        <w:tc>
          <w:tcPr>
            <w:tcW w:w="5020" w:type="dxa"/>
            <w:vAlign w:val="bottom"/>
            <w:shd w:val="clear" w:color="auto" w:fill="CCEEFF"/>
          </w:tcPr>
          <w:p>
            <w:pPr>
              <w:ind w:left="40"/>
              <w:spacing w:after="0"/>
              <w:rPr>
                <w:sz w:val="20"/>
                <w:szCs w:val="20"/>
                <w:color w:val="auto"/>
              </w:rPr>
            </w:pPr>
            <w:r>
              <w:rPr>
                <w:rFonts w:ascii="Arial" w:cs="Arial" w:eastAsia="Arial" w:hAnsi="Arial"/>
                <w:sz w:val="18"/>
                <w:szCs w:val="18"/>
                <w:color w:val="auto"/>
              </w:rPr>
              <w:t>DIRECTV</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10,360</w:t>
            </w:r>
          </w:p>
        </w:tc>
        <w:tc>
          <w:tcPr>
            <w:tcW w:w="100" w:type="dxa"/>
            <w:vAlign w:val="bottom"/>
            <w:shd w:val="clear" w:color="auto" w:fill="CCEEFF"/>
          </w:tcPr>
          <w:p>
            <w:pPr>
              <w:spacing w:after="0"/>
              <w:rPr>
                <w:sz w:val="21"/>
                <w:szCs w:val="21"/>
                <w:color w:val="auto"/>
              </w:rPr>
            </w:pPr>
          </w:p>
        </w:tc>
        <w:tc>
          <w:tcPr>
            <w:tcW w:w="18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11.6%  $</w:t>
            </w:r>
          </w:p>
        </w:tc>
        <w:tc>
          <w:tcPr>
            <w:tcW w:w="1260" w:type="dxa"/>
            <w:vAlign w:val="bottom"/>
            <w:shd w:val="clear" w:color="auto" w:fill="CCEEFF"/>
          </w:tcPr>
          <w:p>
            <w:pPr>
              <w:jc w:val="right"/>
              <w:ind w:right="42"/>
              <w:spacing w:after="0"/>
              <w:rPr>
                <w:sz w:val="20"/>
                <w:szCs w:val="20"/>
                <w:color w:val="auto"/>
              </w:rPr>
            </w:pPr>
            <w:r>
              <w:rPr>
                <w:rFonts w:ascii="Arial" w:cs="Arial" w:eastAsia="Arial" w:hAnsi="Arial"/>
                <w:sz w:val="18"/>
                <w:szCs w:val="18"/>
                <w:color w:val="auto"/>
              </w:rPr>
              <w:t>9,277</w:t>
            </w:r>
          </w:p>
        </w:tc>
        <w:tc>
          <w:tcPr>
            <w:tcW w:w="100" w:type="dxa"/>
            <w:vAlign w:val="bottom"/>
            <w:shd w:val="clear" w:color="auto" w:fill="CCEEFF"/>
          </w:tcPr>
          <w:p>
            <w:pPr>
              <w:spacing w:after="0"/>
              <w:rPr>
                <w:sz w:val="21"/>
                <w:szCs w:val="21"/>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7"/>
        </w:trPr>
        <w:tc>
          <w:tcPr>
            <w:tcW w:w="50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right="80"/>
        <w:spacing w:after="0" w:line="342" w:lineRule="auto"/>
        <w:rPr>
          <w:sz w:val="20"/>
          <w:szCs w:val="20"/>
          <w:color w:val="auto"/>
        </w:rPr>
      </w:pPr>
      <w:r>
        <w:rPr>
          <w:rFonts w:ascii="Arial" w:cs="Arial" w:eastAsia="Arial" w:hAnsi="Arial"/>
          <w:sz w:val="16"/>
          <w:szCs w:val="16"/>
          <w:color w:val="auto"/>
        </w:rPr>
        <w:t>The loss of this customer or any other customer, either in the United States or abroad, due to their financial weakness or bankruptcy, or our inability to obtain orders or maintain our order volume with them, may have a material adverse effect on our financial condition, results of operations and cash flows.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Inventories, Net and Significant Suppliers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Inventories,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3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34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June 30, 2013</w:t>
            </w:r>
          </w:p>
        </w:tc>
        <w:tc>
          <w:tcPr>
            <w:tcW w:w="12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w:t>
            </w:r>
          </w:p>
        </w:tc>
        <w:tc>
          <w:tcPr>
            <w:tcW w:w="362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23,683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17,438</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Components</w:t>
            </w: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16,733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20,978</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Work in process</w:t>
            </w:r>
          </w:p>
        </w:tc>
        <w:tc>
          <w:tcPr>
            <w:tcW w:w="334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3,250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1,050</w:t>
            </w:r>
          </w:p>
        </w:tc>
        <w:tc>
          <w:tcPr>
            <w:tcW w:w="0" w:type="dxa"/>
            <w:vAlign w:val="bottom"/>
          </w:tcPr>
          <w:p>
            <w:pPr>
              <w:spacing w:after="0"/>
              <w:rPr>
                <w:sz w:val="1"/>
                <w:szCs w:val="1"/>
                <w:color w:val="auto"/>
              </w:rPr>
            </w:pPr>
          </w:p>
        </w:tc>
      </w:tr>
      <w:tr>
        <w:trPr>
          <w:trHeight w:val="243"/>
        </w:trPr>
        <w:tc>
          <w:tcPr>
            <w:tcW w:w="4360" w:type="dxa"/>
            <w:vAlign w:val="bottom"/>
          </w:tcPr>
          <w:p>
            <w:pPr>
              <w:ind w:left="40"/>
              <w:spacing w:after="0"/>
              <w:rPr>
                <w:sz w:val="20"/>
                <w:szCs w:val="20"/>
                <w:color w:val="auto"/>
              </w:rPr>
            </w:pPr>
            <w:r>
              <w:rPr>
                <w:rFonts w:ascii="Arial" w:cs="Arial" w:eastAsia="Arial" w:hAnsi="Arial"/>
                <w:sz w:val="18"/>
                <w:szCs w:val="18"/>
                <w:color w:val="auto"/>
              </w:rPr>
              <w:t>Finished goods</w:t>
            </w:r>
          </w:p>
        </w:tc>
        <w:tc>
          <w:tcPr>
            <w:tcW w:w="3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20" w:type="dxa"/>
            <w:vAlign w:val="bottom"/>
          </w:tcPr>
          <w:p>
            <w:pPr>
              <w:jc w:val="right"/>
              <w:ind w:right="13"/>
              <w:spacing w:after="0"/>
              <w:rPr>
                <w:sz w:val="20"/>
                <w:szCs w:val="20"/>
                <w:color w:val="auto"/>
              </w:rPr>
            </w:pPr>
            <w:r>
              <w:rPr>
                <w:rFonts w:ascii="Arial" w:cs="Arial" w:eastAsia="Arial" w:hAnsi="Arial"/>
                <w:sz w:val="18"/>
                <w:szCs w:val="18"/>
                <w:color w:val="auto"/>
              </w:rPr>
              <w:t>58,306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46,939</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334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(1,922)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(2,024)</w:t>
            </w:r>
          </w:p>
        </w:tc>
        <w:tc>
          <w:tcPr>
            <w:tcW w:w="0" w:type="dxa"/>
            <w:vAlign w:val="bottom"/>
          </w:tcPr>
          <w:p>
            <w:pPr>
              <w:spacing w:after="0"/>
              <w:rPr>
                <w:sz w:val="1"/>
                <w:szCs w:val="1"/>
                <w:color w:val="auto"/>
              </w:rPr>
            </w:pPr>
          </w:p>
        </w:tc>
      </w:tr>
      <w:tr>
        <w:trPr>
          <w:trHeight w:val="237"/>
        </w:trPr>
        <w:tc>
          <w:tcPr>
            <w:tcW w:w="4360" w:type="dxa"/>
            <w:vAlign w:val="bottom"/>
          </w:tcPr>
          <w:p>
            <w:pPr>
              <w:ind w:left="280"/>
              <w:spacing w:after="0"/>
              <w:rPr>
                <w:sz w:val="20"/>
                <w:szCs w:val="20"/>
                <w:color w:val="auto"/>
              </w:rPr>
            </w:pPr>
            <w:r>
              <w:rPr>
                <w:rFonts w:ascii="Arial" w:cs="Arial" w:eastAsia="Arial" w:hAnsi="Arial"/>
                <w:sz w:val="18"/>
                <w:szCs w:val="18"/>
                <w:color w:val="auto"/>
              </w:rPr>
              <w:t>Inventories, net</w:t>
            </w:r>
          </w:p>
        </w:tc>
        <w:tc>
          <w:tcPr>
            <w:tcW w:w="334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100,050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tcBorders>
          </w:tcPr>
          <w:p>
            <w:pPr>
              <w:jc w:val="right"/>
              <w:ind w:right="13"/>
              <w:spacing w:after="0"/>
              <w:rPr>
                <w:sz w:val="20"/>
                <w:szCs w:val="20"/>
                <w:color w:val="auto"/>
              </w:rPr>
            </w:pPr>
            <w:r>
              <w:rPr>
                <w:rFonts w:ascii="Arial" w:cs="Arial" w:eastAsia="Arial" w:hAnsi="Arial"/>
                <w:sz w:val="18"/>
                <w:szCs w:val="18"/>
                <w:color w:val="auto"/>
              </w:rPr>
              <w:t>84,381</w:t>
            </w:r>
          </w:p>
        </w:tc>
        <w:tc>
          <w:tcPr>
            <w:tcW w:w="0" w:type="dxa"/>
            <w:vAlign w:val="bottom"/>
          </w:tcPr>
          <w:p>
            <w:pPr>
              <w:spacing w:after="0"/>
              <w:rPr>
                <w:sz w:val="1"/>
                <w:szCs w:val="1"/>
                <w:color w:val="auto"/>
              </w:rPr>
            </w:pPr>
          </w:p>
        </w:tc>
      </w:tr>
      <w:tr>
        <w:trPr>
          <w:trHeight w:val="27"/>
        </w:trPr>
        <w:tc>
          <w:tcPr>
            <w:tcW w:w="4360" w:type="dxa"/>
            <w:vAlign w:val="bottom"/>
          </w:tcPr>
          <w:p>
            <w:pPr>
              <w:spacing w:after="0"/>
              <w:rPr>
                <w:sz w:val="2"/>
                <w:szCs w:val="2"/>
                <w:color w:val="auto"/>
              </w:rPr>
            </w:pPr>
          </w:p>
        </w:tc>
        <w:tc>
          <w:tcPr>
            <w:tcW w:w="3340" w:type="dxa"/>
            <w:vAlign w:val="bottom"/>
            <w:vMerge w:val="restart"/>
          </w:tcPr>
          <w:p>
            <w:pPr>
              <w:jc w:val="right"/>
              <w:ind w:right="1850"/>
              <w:spacing w:after="0"/>
              <w:rPr>
                <w:sz w:val="20"/>
                <w:szCs w:val="20"/>
                <w:color w:val="auto"/>
              </w:rPr>
            </w:pPr>
            <w:r>
              <w:rPr>
                <w:rFonts w:ascii="Arial" w:cs="Arial" w:eastAsia="Arial" w:hAnsi="Arial"/>
                <w:sz w:val="18"/>
                <w:szCs w:val="18"/>
                <w:color w:val="auto"/>
              </w:rPr>
              <w:t>9</w:t>
            </w:r>
          </w:p>
        </w:tc>
        <w:tc>
          <w:tcPr>
            <w:tcW w:w="28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360" w:type="dxa"/>
            <w:vAlign w:val="bottom"/>
          </w:tcPr>
          <w:p>
            <w:pPr>
              <w:spacing w:after="0" w:line="20" w:lineRule="exact"/>
              <w:rPr>
                <w:sz w:val="1"/>
                <w:szCs w:val="1"/>
                <w:color w:val="auto"/>
              </w:rPr>
            </w:pPr>
          </w:p>
        </w:tc>
        <w:tc>
          <w:tcPr>
            <w:tcW w:w="3340" w:type="dxa"/>
            <w:vAlign w:val="bottom"/>
            <w:vMerge w:val="continue"/>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360" w:type="dxa"/>
            <w:vAlign w:val="bottom"/>
          </w:tcPr>
          <w:p>
            <w:pPr>
              <w:spacing w:after="0"/>
              <w:rPr>
                <w:sz w:val="24"/>
                <w:szCs w:val="24"/>
                <w:color w:val="auto"/>
              </w:rPr>
            </w:pPr>
          </w:p>
        </w:tc>
        <w:tc>
          <w:tcPr>
            <w:tcW w:w="334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18" w:right="259" w:bottom="1440" w:gutter="0" w:footer="0" w:header="0"/>
        </w:sectPr>
      </w:pPr>
    </w:p>
    <w:bookmarkStart w:id="9" w:name="page10"/>
    <w:bookmarkEnd w:id="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Reserve for Excess and Obsolete Inventory</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excess and obsolete inventory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60" w:type="dxa"/>
            <w:vAlign w:val="bottom"/>
            <w:gridSpan w:val="2"/>
            <w:vMerge w:val="restart"/>
          </w:tcPr>
          <w:p>
            <w:pPr>
              <w:jc w:val="center"/>
              <w:ind w:right="340"/>
              <w:spacing w:after="0"/>
              <w:rPr>
                <w:sz w:val="20"/>
                <w:szCs w:val="20"/>
                <w:color w:val="auto"/>
              </w:rPr>
            </w:pPr>
            <w:r>
              <w:rPr>
                <w:rFonts w:ascii="Arial" w:cs="Arial" w:eastAsia="Arial" w:hAnsi="Arial"/>
                <w:sz w:val="14"/>
                <w:szCs w:val="14"/>
                <w:b w:val="1"/>
                <w:bCs w:val="1"/>
                <w:color w:val="auto"/>
                <w:w w:val="94"/>
              </w:rPr>
              <w:t>Balance at</w:t>
            </w:r>
          </w:p>
        </w:tc>
        <w:tc>
          <w:tcPr>
            <w:tcW w:w="14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2"/>
              </w:rPr>
              <w:t>Additions</w:t>
            </w:r>
          </w:p>
        </w:tc>
        <w:tc>
          <w:tcPr>
            <w:tcW w:w="20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2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91"/>
              </w:rPr>
              <w:t>Charged to</w:t>
            </w:r>
          </w:p>
        </w:tc>
        <w:tc>
          <w:tcPr>
            <w:tcW w:w="200" w:type="dxa"/>
            <w:vAlign w:val="bottom"/>
          </w:tcPr>
          <w:p>
            <w:pPr>
              <w:spacing w:after="0"/>
              <w:rPr>
                <w:sz w:val="12"/>
                <w:szCs w:val="12"/>
                <w:color w:val="auto"/>
              </w:rPr>
            </w:pPr>
          </w:p>
        </w:tc>
        <w:tc>
          <w:tcPr>
            <w:tcW w:w="1160" w:type="dxa"/>
            <w:vAlign w:val="bottom"/>
            <w:gridSpan w:val="2"/>
            <w:vMerge w:val="restart"/>
          </w:tcPr>
          <w:p>
            <w:pPr>
              <w:ind w:left="320"/>
              <w:spacing w:after="0"/>
              <w:rPr>
                <w:sz w:val="20"/>
                <w:szCs w:val="20"/>
                <w:color w:val="auto"/>
              </w:rPr>
            </w:pPr>
            <w:r>
              <w:rPr>
                <w:rFonts w:ascii="Arial" w:cs="Arial" w:eastAsia="Arial" w:hAnsi="Arial"/>
                <w:sz w:val="14"/>
                <w:szCs w:val="14"/>
                <w:b w:val="1"/>
                <w:bCs w:val="1"/>
                <w:color w:val="auto"/>
              </w:rPr>
              <w:t>Sell</w:t>
            </w:r>
          </w:p>
        </w:tc>
        <w:tc>
          <w:tcPr>
            <w:tcW w:w="160" w:type="dxa"/>
            <w:vAlign w:val="bottom"/>
          </w:tcPr>
          <w:p>
            <w:pPr>
              <w:spacing w:after="0"/>
              <w:rPr>
                <w:sz w:val="12"/>
                <w:szCs w:val="12"/>
                <w:color w:val="auto"/>
              </w:rPr>
            </w:pPr>
          </w:p>
        </w:tc>
        <w:tc>
          <w:tcPr>
            <w:tcW w:w="120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Write-offs/FX</w:t>
            </w:r>
          </w:p>
        </w:tc>
        <w:tc>
          <w:tcPr>
            <w:tcW w:w="24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2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0"/>
              </w:rPr>
              <w:t>Beginning</w:t>
            </w:r>
          </w:p>
        </w:tc>
        <w:tc>
          <w:tcPr>
            <w:tcW w:w="14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Costs and</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16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240" w:type="dxa"/>
            <w:vAlign w:val="bottom"/>
          </w:tcPr>
          <w:p>
            <w:pPr>
              <w:spacing w:after="0"/>
              <w:rPr>
                <w:sz w:val="12"/>
                <w:szCs w:val="12"/>
                <w:color w:val="auto"/>
              </w:rPr>
            </w:pPr>
          </w:p>
        </w:tc>
        <w:tc>
          <w:tcPr>
            <w:tcW w:w="10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5"/>
              </w:rPr>
              <w:t>of Period</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0"/>
              </w:rPr>
              <w:t xml:space="preserve">Expenses </w:t>
            </w:r>
            <w:r>
              <w:rPr>
                <w:rFonts w:ascii="Arial" w:cs="Arial" w:eastAsia="Arial" w:hAnsi="Arial"/>
                <w:sz w:val="12"/>
                <w:szCs w:val="12"/>
                <w:b w:val="1"/>
                <w:bCs w:val="1"/>
                <w:color w:val="auto"/>
                <w:w w:val="90"/>
              </w:rPr>
              <w:t>(1)</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Through</w:t>
            </w:r>
            <w:r>
              <w:rPr>
                <w:rFonts w:ascii="Arial" w:cs="Arial" w:eastAsia="Arial" w:hAnsi="Arial"/>
                <w:sz w:val="12"/>
                <w:szCs w:val="12"/>
                <w:b w:val="1"/>
                <w:bCs w:val="1"/>
                <w:color w:val="auto"/>
              </w:rPr>
              <w:t>(2)</w:t>
            </w:r>
          </w:p>
        </w:tc>
        <w:tc>
          <w:tcPr>
            <w:tcW w:w="10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Effects</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48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Reserve for excess and obsolete inventory:</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820" w:type="dxa"/>
            <w:vAlign w:val="bottom"/>
            <w:gridSpan w:val="2"/>
          </w:tcPr>
          <w:p>
            <w:pPr>
              <w:ind w:left="280"/>
              <w:spacing w:after="0"/>
              <w:rPr>
                <w:sz w:val="20"/>
                <w:szCs w:val="20"/>
                <w:color w:val="auto"/>
              </w:rPr>
            </w:pPr>
            <w:r>
              <w:rPr>
                <w:rFonts w:ascii="Arial" w:cs="Arial" w:eastAsia="Arial" w:hAnsi="Arial"/>
                <w:sz w:val="18"/>
                <w:szCs w:val="18"/>
                <w:color w:val="auto"/>
              </w:rPr>
              <w:t>Six months ended June 30,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21"/>
              <w:spacing w:after="0"/>
              <w:rPr>
                <w:sz w:val="20"/>
                <w:szCs w:val="20"/>
                <w:color w:val="auto"/>
              </w:rPr>
            </w:pPr>
            <w:r>
              <w:rPr>
                <w:rFonts w:ascii="Arial" w:cs="Arial" w:eastAsia="Arial" w:hAnsi="Arial"/>
                <w:sz w:val="18"/>
                <w:szCs w:val="18"/>
                <w:color w:val="auto"/>
              </w:rPr>
              <w:t>2,024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22"/>
              <w:spacing w:after="0"/>
              <w:rPr>
                <w:sz w:val="20"/>
                <w:szCs w:val="20"/>
                <w:color w:val="auto"/>
              </w:rPr>
            </w:pPr>
            <w:r>
              <w:rPr>
                <w:rFonts w:ascii="Arial" w:cs="Arial" w:eastAsia="Arial" w:hAnsi="Arial"/>
                <w:sz w:val="18"/>
                <w:szCs w:val="18"/>
                <w:color w:val="auto"/>
              </w:rPr>
              <w:t>1,022</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21"/>
              <w:spacing w:after="0"/>
              <w:rPr>
                <w:sz w:val="20"/>
                <w:szCs w:val="20"/>
                <w:color w:val="auto"/>
              </w:rPr>
            </w:pPr>
            <w:r>
              <w:rPr>
                <w:rFonts w:ascii="Arial" w:cs="Arial" w:eastAsia="Arial" w:hAnsi="Arial"/>
                <w:sz w:val="18"/>
                <w:szCs w:val="18"/>
                <w:color w:val="auto"/>
              </w:rPr>
              <w:t>1,922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82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Six months ended June 30, 2012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3,447</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ind w:right="22"/>
              <w:spacing w:after="0"/>
              <w:rPr>
                <w:sz w:val="20"/>
                <w:szCs w:val="20"/>
                <w:color w:val="auto"/>
              </w:rPr>
            </w:pPr>
            <w:r>
              <w:rPr>
                <w:rFonts w:ascii="Arial" w:cs="Arial" w:eastAsia="Arial" w:hAnsi="Arial"/>
                <w:sz w:val="18"/>
                <w:szCs w:val="18"/>
                <w:color w:val="auto"/>
              </w:rPr>
              <w:t>1,386</w:t>
            </w:r>
          </w:p>
        </w:tc>
        <w:tc>
          <w:tcPr>
            <w:tcW w:w="12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3,037</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26"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The additions charged to costs and expenses do not include inventory directly written-off that was scrapped during production totaling $0.1 million and $0.2 million for the six months ended June 30, 2013 and 2012, respectively. These amounts are production waste and are not included in management’s reserve for excess and obsolete inventory.</w:t>
      </w:r>
    </w:p>
    <w:p>
      <w:pPr>
        <w:spacing w:after="0" w:line="2"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3"/>
        </w:numPr>
        <w:rPr>
          <w:rFonts w:ascii="Arial" w:cs="Arial" w:eastAsia="Arial" w:hAnsi="Arial"/>
          <w:sz w:val="25"/>
          <w:szCs w:val="25"/>
          <w:color w:val="auto"/>
          <w:vertAlign w:val="superscript"/>
        </w:rPr>
      </w:pPr>
      <w:r>
        <w:rPr>
          <w:rFonts w:ascii="Arial" w:cs="Arial" w:eastAsia="Arial" w:hAnsi="Arial"/>
          <w:sz w:val="18"/>
          <w:szCs w:val="18"/>
          <w:color w:val="auto"/>
        </w:rPr>
        <w:t>This column represents the reversal of reserves associated with inventory items that were sold during the period. Sell through is the result of differences between our judgment concerning the saleability of inventory items during the excess and obsolete inventory review process and our subsequent experience.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Significant Suppliers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purchase integrated circuits, components and finished goods from multiple sources. We had purchases from the following significant suppliers that totaled more than 10% of our total inventory purchases as follows:</w:t>
      </w:r>
    </w:p>
    <w:p>
      <w:pPr>
        <w:spacing w:after="0" w:line="32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0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4"/>
          </w:tcPr>
          <w:p>
            <w:pPr>
              <w:jc w:val="right"/>
              <w:ind w:right="177"/>
              <w:spacing w:after="0"/>
              <w:rPr>
                <w:sz w:val="20"/>
                <w:szCs w:val="20"/>
                <w:color w:val="auto"/>
              </w:rPr>
            </w:pPr>
            <w:r>
              <w:rPr>
                <w:rFonts w:ascii="Arial" w:cs="Arial" w:eastAsia="Arial" w:hAnsi="Arial"/>
                <w:sz w:val="14"/>
                <w:szCs w:val="14"/>
                <w:b w:val="1"/>
                <w:bCs w:val="1"/>
                <w:color w:val="auto"/>
              </w:rPr>
              <w:t>Three Months Ended June 30,</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06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08"/>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Inventory</w:t>
            </w:r>
          </w:p>
        </w:tc>
        <w:tc>
          <w:tcPr>
            <w:tcW w:w="160" w:type="dxa"/>
            <w:vAlign w:val="bottom"/>
          </w:tcPr>
          <w:p>
            <w:pPr>
              <w:spacing w:after="0"/>
              <w:rPr>
                <w:sz w:val="12"/>
                <w:szCs w:val="12"/>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3"/>
              </w:rPr>
              <w:t>$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Inventory</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Samsung</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5,719</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548"/>
        </w:trPr>
        <w:tc>
          <w:tcPr>
            <w:tcW w:w="60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4"/>
          </w:tcPr>
          <w:p>
            <w:pPr>
              <w:jc w:val="right"/>
              <w:ind w:right="257"/>
              <w:spacing w:after="0"/>
              <w:rPr>
                <w:sz w:val="20"/>
                <w:szCs w:val="20"/>
                <w:color w:val="auto"/>
              </w:rPr>
            </w:pPr>
            <w:r>
              <w:rPr>
                <w:rFonts w:ascii="Arial" w:cs="Arial" w:eastAsia="Arial" w:hAnsi="Arial"/>
                <w:sz w:val="14"/>
                <w:szCs w:val="14"/>
                <w:b w:val="1"/>
                <w:bCs w:val="1"/>
                <w:color w:val="auto"/>
              </w:rPr>
              <w:t>Six Months Ended June 30,</w:t>
            </w:r>
          </w:p>
        </w:tc>
        <w:tc>
          <w:tcPr>
            <w:tcW w:w="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02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gridSpan w:val="3"/>
          </w:tcPr>
          <w:p>
            <w:pPr>
              <w:jc w:val="right"/>
              <w:ind w:right="1064"/>
              <w:spacing w:after="0"/>
              <w:rPr>
                <w:sz w:val="20"/>
                <w:szCs w:val="20"/>
                <w:color w:val="auto"/>
              </w:rPr>
            </w:pPr>
            <w:r>
              <w:rPr>
                <w:rFonts w:ascii="Arial" w:cs="Arial" w:eastAsia="Arial" w:hAnsi="Arial"/>
                <w:sz w:val="14"/>
                <w:szCs w:val="14"/>
                <w:b w:val="1"/>
                <w:bCs w:val="1"/>
                <w:color w:val="auto"/>
                <w:w w:val="89"/>
              </w:rPr>
              <w:t>2013</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ind w:right="1108"/>
              <w:spacing w:after="0"/>
              <w:rPr>
                <w:sz w:val="20"/>
                <w:szCs w:val="20"/>
                <w:color w:val="auto"/>
              </w:rPr>
            </w:pPr>
            <w:r>
              <w:rPr>
                <w:rFonts w:ascii="Arial" w:cs="Arial" w:eastAsia="Arial" w:hAnsi="Arial"/>
                <w:sz w:val="14"/>
                <w:szCs w:val="14"/>
                <w:b w:val="1"/>
                <w:bCs w:val="1"/>
                <w:color w:val="auto"/>
                <w:w w:val="96"/>
              </w:rPr>
              <w:t>2012</w:t>
            </w:r>
          </w:p>
        </w:tc>
        <w:tc>
          <w:tcPr>
            <w:tcW w:w="0" w:type="dxa"/>
            <w:vAlign w:val="bottom"/>
          </w:tcPr>
          <w:p>
            <w:pPr>
              <w:spacing w:after="0"/>
              <w:rPr>
                <w:sz w:val="1"/>
                <w:szCs w:val="1"/>
                <w:color w:val="auto"/>
              </w:rPr>
            </w:pPr>
          </w:p>
        </w:tc>
      </w:tr>
      <w:tr>
        <w:trPr>
          <w:trHeight w:val="152"/>
        </w:trPr>
        <w:tc>
          <w:tcPr>
            <w:tcW w:w="60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rPr>
              <w:t>% of</w:t>
            </w:r>
          </w:p>
        </w:tc>
        <w:tc>
          <w:tcPr>
            <w:tcW w:w="16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2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rPr>
              <w:t>% of</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Total</w:t>
            </w:r>
          </w:p>
        </w:tc>
        <w:tc>
          <w:tcPr>
            <w:tcW w:w="16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9"/>
        </w:trPr>
        <w:tc>
          <w:tcPr>
            <w:tcW w:w="6020" w:type="dxa"/>
            <w:vAlign w:val="bottom"/>
          </w:tcPr>
          <w:p>
            <w:pPr>
              <w:spacing w:after="0"/>
              <w:rPr>
                <w:sz w:val="12"/>
                <w:szCs w:val="12"/>
                <w:color w:val="auto"/>
              </w:rPr>
            </w:pPr>
          </w:p>
        </w:tc>
        <w:tc>
          <w:tcPr>
            <w:tcW w:w="30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860" w:type="dxa"/>
            <w:vAlign w:val="bottom"/>
            <w:vMerge w:val="restart"/>
          </w:tcPr>
          <w:p>
            <w:pPr>
              <w:ind w:left="2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5"/>
              </w:rPr>
              <w:t>Inventory</w:t>
            </w:r>
          </w:p>
        </w:tc>
        <w:tc>
          <w:tcPr>
            <w:tcW w:w="160" w:type="dxa"/>
            <w:vAlign w:val="bottom"/>
          </w:tcPr>
          <w:p>
            <w:pPr>
              <w:spacing w:after="0"/>
              <w:rPr>
                <w:sz w:val="12"/>
                <w:szCs w:val="12"/>
                <w:color w:val="auto"/>
              </w:rPr>
            </w:pPr>
          </w:p>
        </w:tc>
        <w:tc>
          <w:tcPr>
            <w:tcW w:w="1020" w:type="dxa"/>
            <w:vAlign w:val="bottom"/>
            <w:vMerge w:val="restart"/>
          </w:tcPr>
          <w:p>
            <w:pPr>
              <w:jc w:val="right"/>
              <w:ind w:right="57"/>
              <w:spacing w:after="0"/>
              <w:rPr>
                <w:sz w:val="20"/>
                <w:szCs w:val="20"/>
                <w:color w:val="auto"/>
              </w:rPr>
            </w:pPr>
            <w:r>
              <w:rPr>
                <w:rFonts w:ascii="Arial" w:cs="Arial" w:eastAsia="Arial" w:hAnsi="Arial"/>
                <w:sz w:val="14"/>
                <w:szCs w:val="14"/>
                <w:b w:val="1"/>
                <w:bCs w:val="1"/>
                <w:color w:val="auto"/>
                <w:w w:val="93"/>
              </w:rPr>
              <w:t>$ (thousands)</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Inventory</w:t>
            </w:r>
          </w:p>
        </w:tc>
        <w:tc>
          <w:tcPr>
            <w:tcW w:w="0" w:type="dxa"/>
            <w:vAlign w:val="bottom"/>
          </w:tcPr>
          <w:p>
            <w:pPr>
              <w:spacing w:after="0"/>
              <w:rPr>
                <w:sz w:val="1"/>
                <w:szCs w:val="1"/>
                <w:color w:val="auto"/>
              </w:rPr>
            </w:pPr>
          </w:p>
        </w:tc>
      </w:tr>
      <w:tr>
        <w:trPr>
          <w:trHeight w:val="192"/>
        </w:trPr>
        <w:tc>
          <w:tcPr>
            <w:tcW w:w="602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vMerge w:val="continue"/>
          </w:tcPr>
          <w:p>
            <w:pPr>
              <w:spacing w:after="0"/>
              <w:rPr>
                <w:sz w:val="16"/>
                <w:szCs w:val="16"/>
                <w:color w:val="auto"/>
              </w:rPr>
            </w:pPr>
          </w:p>
        </w:tc>
        <w:tc>
          <w:tcPr>
            <w:tcW w:w="86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2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vMerge w:val="continue"/>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60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Samsung</w:t>
            </w:r>
          </w:p>
        </w:tc>
        <w:tc>
          <w:tcPr>
            <w:tcW w:w="300" w:type="dxa"/>
            <w:vAlign w:val="bottom"/>
            <w:tcBorders>
              <w:bottom w:val="single" w:sz="8" w:color="CCEEFF"/>
            </w:tcBorders>
            <w:shd w:val="clear" w:color="auto" w:fill="CCEEFF"/>
          </w:tcPr>
          <w:p>
            <w:pPr>
              <w:jc w:val="right"/>
              <w:ind w:right="97"/>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gridSpan w:val="2"/>
            <w:shd w:val="clear" w:color="auto" w:fill="CCEEFF"/>
          </w:tcPr>
          <w:p>
            <w:pPr>
              <w:ind w:left="104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10,935</w:t>
            </w:r>
          </w:p>
        </w:tc>
        <w:tc>
          <w:tcPr>
            <w:tcW w:w="150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43"/>
        </w:trPr>
        <w:tc>
          <w:tcPr>
            <w:tcW w:w="6020" w:type="dxa"/>
            <w:vAlign w:val="bottom"/>
          </w:tcPr>
          <w:p>
            <w:pPr>
              <w:ind w:left="40"/>
              <w:spacing w:after="0"/>
              <w:rPr>
                <w:sz w:val="20"/>
                <w:szCs w:val="20"/>
                <w:color w:val="auto"/>
              </w:rPr>
            </w:pPr>
            <w:r>
              <w:rPr>
                <w:rFonts w:ascii="Arial" w:cs="Arial" w:eastAsia="Arial" w:hAnsi="Arial"/>
                <w:sz w:val="18"/>
                <w:szCs w:val="18"/>
                <w:color w:val="auto"/>
              </w:rPr>
              <w:t>Samjin</w:t>
            </w:r>
          </w:p>
        </w:tc>
        <w:tc>
          <w:tcPr>
            <w:tcW w:w="300" w:type="dxa"/>
            <w:vAlign w:val="bottom"/>
          </w:tcPr>
          <w:p>
            <w:pPr>
              <w:jc w:val="right"/>
              <w:ind w:right="97"/>
              <w:spacing w:after="0"/>
              <w:rPr>
                <w:sz w:val="20"/>
                <w:szCs w:val="20"/>
                <w:color w:val="auto"/>
              </w:rPr>
            </w:pPr>
            <w:r>
              <w:rPr>
                <w:rFonts w:ascii="Arial" w:cs="Arial" w:eastAsia="Arial" w:hAnsi="Arial"/>
                <w:sz w:val="18"/>
                <w:szCs w:val="18"/>
                <w:color w:val="auto"/>
                <w:w w:val="99"/>
              </w:rPr>
              <w:t>$</w:t>
            </w:r>
          </w:p>
        </w:tc>
        <w:tc>
          <w:tcPr>
            <w:tcW w:w="860" w:type="dxa"/>
            <w:vAlign w:val="bottom"/>
          </w:tcPr>
          <w:p>
            <w:pPr>
              <w:ind w:left="660"/>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360" w:type="dxa"/>
            <w:vAlign w:val="bottom"/>
            <w:gridSpan w:val="2"/>
          </w:tcPr>
          <w:p>
            <w:pPr>
              <w:ind w:left="10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11,193</w:t>
            </w:r>
          </w:p>
        </w:tc>
        <w:tc>
          <w:tcPr>
            <w:tcW w:w="1500" w:type="dxa"/>
            <w:vAlign w:val="bottom"/>
            <w:gridSpan w:val="3"/>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have identified alternative sources of supply for these integrated circuits, components, and finished goods; however, there can be no assurance that we will be able to continue to obtain these inventory purchases on a timely basis. We maintain inventories of our integrated circuits, which may be utilized to mitigate, but not eliminate, delays resulting from supply interruptions. An extended interruption, shortage or termination in the supply of any of the components used in our products, a reduction in their quality or reliability, or a significant increase in the prices of components, would have an adverse effect on our operating results, financial condition and cash flows.</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118" w:right="239" w:bottom="1440" w:gutter="0" w:footer="0" w:header="0"/>
        </w:sectPr>
      </w:pPr>
    </w:p>
    <w:bookmarkStart w:id="10" w:name="page11"/>
    <w:bookmarkEnd w:id="1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40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Vendor</w:t>
      </w:r>
    </w:p>
    <w:p>
      <w:pPr>
        <w:spacing w:after="0" w:line="90"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purchase certain printed circuit board assemblies from a related party vendor. The vendor is considered a related party for financial reporting purposes because our Senior Vice President of Manufacturing owns 40% of this vendor. Inventory purchases from this vendor were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60" w:type="dxa"/>
            <w:vAlign w:val="bottom"/>
            <w:tcBorders>
              <w:bottom w:val="single" w:sz="8" w:color="auto"/>
            </w:tcBorders>
            <w:gridSpan w:val="4"/>
          </w:tcPr>
          <w:p>
            <w:pPr>
              <w:jc w:val="right"/>
              <w:ind w:right="420"/>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220" w:type="dxa"/>
            <w:vAlign w:val="bottom"/>
          </w:tcPr>
          <w:p>
            <w:pPr>
              <w:spacing w:after="0"/>
              <w:rPr>
                <w:sz w:val="13"/>
                <w:szCs w:val="13"/>
                <w:color w:val="auto"/>
              </w:rPr>
            </w:pPr>
          </w:p>
        </w:tc>
        <w:tc>
          <w:tcPr>
            <w:tcW w:w="11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2,469</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2,152</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480"/>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4"/>
          </w:tcPr>
          <w:p>
            <w:pPr>
              <w:jc w:val="right"/>
              <w:ind w:right="520"/>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504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48"/>
              <w:spacing w:after="0"/>
              <w:rPr>
                <w:sz w:val="20"/>
                <w:szCs w:val="20"/>
                <w:color w:val="auto"/>
              </w:rPr>
            </w:pPr>
            <w:r>
              <w:rPr>
                <w:rFonts w:ascii="Arial" w:cs="Arial" w:eastAsia="Arial" w:hAnsi="Arial"/>
                <w:sz w:val="14"/>
                <w:szCs w:val="14"/>
                <w:b w:val="1"/>
                <w:bCs w:val="1"/>
                <w:color w:val="auto"/>
                <w:w w:val="96"/>
              </w:rPr>
              <w:t>2013</w:t>
            </w:r>
          </w:p>
        </w:tc>
        <w:tc>
          <w:tcPr>
            <w:tcW w:w="10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28"/>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152"/>
        </w:trPr>
        <w:tc>
          <w:tcPr>
            <w:tcW w:w="5040" w:type="dxa"/>
            <w:vAlign w:val="bottom"/>
          </w:tcPr>
          <w:p>
            <w:pPr>
              <w:spacing w:after="0"/>
              <w:rPr>
                <w:sz w:val="13"/>
                <w:szCs w:val="13"/>
                <w:color w:val="auto"/>
              </w:rPr>
            </w:pPr>
          </w:p>
        </w:tc>
        <w:tc>
          <w:tcPr>
            <w:tcW w:w="420" w:type="dxa"/>
            <w:vAlign w:val="bottom"/>
            <w:vMerge w:val="restart"/>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60" w:type="dxa"/>
            <w:vAlign w:val="bottom"/>
            <w:gridSpan w:val="2"/>
          </w:tcPr>
          <w:p>
            <w:pPr>
              <w:jc w:val="center"/>
              <w:ind w:right="100"/>
              <w:spacing w:after="0" w:line="153" w:lineRule="exact"/>
              <w:rPr>
                <w:sz w:val="20"/>
                <w:szCs w:val="20"/>
                <w:color w:val="auto"/>
              </w:rPr>
            </w:pPr>
            <w:r>
              <w:rPr>
                <w:rFonts w:ascii="Arial" w:cs="Arial" w:eastAsia="Arial" w:hAnsi="Arial"/>
                <w:sz w:val="14"/>
                <w:szCs w:val="14"/>
                <w:b w:val="1"/>
                <w:bCs w:val="1"/>
                <w:color w:val="auto"/>
                <w:w w:val="95"/>
              </w:rPr>
              <w:t>% of Total Inventory</w:t>
            </w:r>
          </w:p>
        </w:tc>
        <w:tc>
          <w:tcPr>
            <w:tcW w:w="220" w:type="dxa"/>
            <w:vAlign w:val="bottom"/>
          </w:tcPr>
          <w:p>
            <w:pPr>
              <w:spacing w:after="0"/>
              <w:rPr>
                <w:sz w:val="13"/>
                <w:szCs w:val="13"/>
                <w:color w:val="auto"/>
              </w:rPr>
            </w:pPr>
          </w:p>
        </w:tc>
        <w:tc>
          <w:tcPr>
            <w:tcW w:w="1180" w:type="dxa"/>
            <w:vAlign w:val="bottom"/>
            <w:vMerge w:val="restart"/>
          </w:tcPr>
          <w:p>
            <w:pPr>
              <w:jc w:val="right"/>
              <w:ind w:right="160"/>
              <w:spacing w:after="0"/>
              <w:rPr>
                <w:sz w:val="20"/>
                <w:szCs w:val="20"/>
                <w:color w:val="auto"/>
              </w:rPr>
            </w:pPr>
            <w:r>
              <w:rPr>
                <w:rFonts w:ascii="Arial" w:cs="Arial" w:eastAsia="Arial" w:hAnsi="Arial"/>
                <w:sz w:val="14"/>
                <w:szCs w:val="14"/>
                <w:b w:val="1"/>
                <w:bCs w:val="1"/>
                <w:color w:val="auto"/>
              </w:rPr>
              <w:t>$ (thousands)</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7"/>
              </w:rPr>
              <w:t>% of Total Inventory</w:t>
            </w:r>
          </w:p>
        </w:tc>
        <w:tc>
          <w:tcPr>
            <w:tcW w:w="0" w:type="dxa"/>
            <w:vAlign w:val="bottom"/>
          </w:tcPr>
          <w:p>
            <w:pPr>
              <w:spacing w:after="0"/>
              <w:rPr>
                <w:sz w:val="1"/>
                <w:szCs w:val="1"/>
                <w:color w:val="auto"/>
              </w:rPr>
            </w:pPr>
          </w:p>
        </w:tc>
      </w:tr>
      <w:tr>
        <w:trPr>
          <w:trHeight w:val="192"/>
        </w:trPr>
        <w:tc>
          <w:tcPr>
            <w:tcW w:w="504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vMerge w:val="continue"/>
          </w:tcPr>
          <w:p>
            <w:pPr>
              <w:spacing w:after="0"/>
              <w:rPr>
                <w:sz w:val="16"/>
                <w:szCs w:val="16"/>
                <w:color w:val="auto"/>
              </w:rPr>
            </w:pPr>
          </w:p>
        </w:tc>
        <w:tc>
          <w:tcPr>
            <w:tcW w:w="9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10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vMerge w:val="continue"/>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CCEEFF"/>
            </w:tcBorders>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7"/>
              </w:rPr>
              <w:t>Purchases</w:t>
            </w:r>
          </w:p>
        </w:tc>
        <w:tc>
          <w:tcPr>
            <w:tcW w:w="0" w:type="dxa"/>
            <w:vAlign w:val="bottom"/>
          </w:tcPr>
          <w:p>
            <w:pPr>
              <w:spacing w:after="0"/>
              <w:rPr>
                <w:sz w:val="1"/>
                <w:szCs w:val="1"/>
                <w:color w:val="auto"/>
              </w:rPr>
            </w:pPr>
          </w:p>
        </w:tc>
      </w:tr>
      <w:tr>
        <w:trPr>
          <w:trHeight w:val="250"/>
        </w:trPr>
        <w:tc>
          <w:tcPr>
            <w:tcW w:w="50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2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4,685</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3,507</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378"/>
        </w:trPr>
        <w:tc>
          <w:tcPr>
            <w:tcW w:w="5040" w:type="dxa"/>
            <w:vAlign w:val="bottom"/>
          </w:tcPr>
          <w:p>
            <w:pPr>
              <w:spacing w:after="0"/>
              <w:rPr>
                <w:sz w:val="20"/>
                <w:szCs w:val="20"/>
                <w:color w:val="auto"/>
              </w:rPr>
            </w:pPr>
            <w:r>
              <w:rPr>
                <w:rFonts w:ascii="Arial" w:cs="Arial" w:eastAsia="Arial" w:hAnsi="Arial"/>
                <w:sz w:val="18"/>
                <w:szCs w:val="18"/>
                <w:color w:val="auto"/>
              </w:rPr>
              <w:t>The total accounts payable to this vendor were the following:</w:t>
            </w:r>
          </w:p>
        </w:tc>
        <w:tc>
          <w:tcPr>
            <w:tcW w:w="4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0"/>
        </w:trPr>
        <w:tc>
          <w:tcPr>
            <w:tcW w:w="5040" w:type="dxa"/>
            <w:vAlign w:val="bottom"/>
          </w:tcPr>
          <w:p>
            <w:pPr>
              <w:spacing w:after="0"/>
              <w:rPr>
                <w:sz w:val="24"/>
                <w:szCs w:val="24"/>
                <w:color w:val="auto"/>
              </w:rPr>
            </w:pPr>
          </w:p>
        </w:tc>
        <w:tc>
          <w:tcPr>
            <w:tcW w:w="420" w:type="dxa"/>
            <w:vAlign w:val="bottom"/>
            <w:tcBorders>
              <w:bottom w:val="single" w:sz="8" w:color="auto"/>
            </w:tcBorders>
          </w:tcPr>
          <w:p>
            <w:pPr>
              <w:spacing w:after="0"/>
              <w:rPr>
                <w:sz w:val="24"/>
                <w:szCs w:val="24"/>
                <w:color w:val="auto"/>
              </w:rPr>
            </w:pPr>
          </w:p>
        </w:tc>
        <w:tc>
          <w:tcPr>
            <w:tcW w:w="2720" w:type="dxa"/>
            <w:vAlign w:val="bottom"/>
            <w:tcBorders>
              <w:bottom w:val="single" w:sz="8" w:color="auto"/>
            </w:tcBorders>
            <w:gridSpan w:val="4"/>
          </w:tcPr>
          <w:p>
            <w:pPr>
              <w:jc w:val="right"/>
              <w:ind w:right="1068"/>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920" w:type="dxa"/>
            <w:vAlign w:val="bottom"/>
            <w:tcBorders>
              <w:bottom w:val="single" w:sz="8" w:color="auto"/>
            </w:tcBorders>
            <w:gridSpan w:val="4"/>
          </w:tcPr>
          <w:p>
            <w:pPr>
              <w:jc w:val="right"/>
              <w:ind w:right="908"/>
              <w:spacing w:after="0"/>
              <w:rPr>
                <w:sz w:val="20"/>
                <w:szCs w:val="20"/>
                <w:color w:val="auto"/>
              </w:rPr>
            </w:pPr>
            <w:r>
              <w:rPr>
                <w:rFonts w:ascii="Arial" w:cs="Arial" w:eastAsia="Arial" w:hAnsi="Arial"/>
                <w:sz w:val="14"/>
                <w:szCs w:val="14"/>
                <w:b w:val="1"/>
                <w:bCs w:val="1"/>
                <w:color w:val="auto"/>
              </w:rPr>
              <w:t>December 31, 2012</w:t>
            </w:r>
          </w:p>
        </w:tc>
        <w:tc>
          <w:tcPr>
            <w:tcW w:w="0" w:type="dxa"/>
            <w:vAlign w:val="bottom"/>
          </w:tcPr>
          <w:p>
            <w:pPr>
              <w:spacing w:after="0"/>
              <w:rPr>
                <w:sz w:val="1"/>
                <w:szCs w:val="1"/>
                <w:color w:val="auto"/>
              </w:rPr>
            </w:pPr>
          </w:p>
        </w:tc>
      </w:tr>
      <w:tr>
        <w:trPr>
          <w:trHeight w:val="264"/>
        </w:trPr>
        <w:tc>
          <w:tcPr>
            <w:tcW w:w="504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w:t>
            </w:r>
          </w:p>
        </w:tc>
        <w:tc>
          <w:tcPr>
            <w:tcW w:w="9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w w:val="89"/>
              </w:rPr>
              <w:t>(thousands)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3"/>
              </w:rPr>
              <w:t>% of Accounts Payable</w:t>
            </w:r>
          </w:p>
        </w:tc>
        <w:tc>
          <w:tcPr>
            <w:tcW w:w="10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160"/>
              <w:spacing w:after="0"/>
              <w:rPr>
                <w:sz w:val="20"/>
                <w:szCs w:val="20"/>
                <w:color w:val="auto"/>
              </w:rPr>
            </w:pPr>
            <w:r>
              <w:rPr>
                <w:rFonts w:ascii="Arial" w:cs="Arial" w:eastAsia="Arial" w:hAnsi="Arial"/>
                <w:sz w:val="14"/>
                <w:szCs w:val="14"/>
                <w:b w:val="1"/>
                <w:bCs w:val="1"/>
                <w:color w:val="auto"/>
              </w:rPr>
              <w:t>$ (thousands)</w:t>
            </w:r>
          </w:p>
        </w:tc>
        <w:tc>
          <w:tcPr>
            <w:tcW w:w="8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 of Accounts Payable</w:t>
            </w:r>
          </w:p>
        </w:tc>
        <w:tc>
          <w:tcPr>
            <w:tcW w:w="0" w:type="dxa"/>
            <w:vAlign w:val="bottom"/>
          </w:tcPr>
          <w:p>
            <w:pPr>
              <w:spacing w:after="0"/>
              <w:rPr>
                <w:sz w:val="1"/>
                <w:szCs w:val="1"/>
                <w:color w:val="auto"/>
              </w:rPr>
            </w:pPr>
          </w:p>
        </w:tc>
      </w:tr>
      <w:tr>
        <w:trPr>
          <w:trHeight w:val="243"/>
        </w:trPr>
        <w:tc>
          <w:tcPr>
            <w:tcW w:w="5040" w:type="dxa"/>
            <w:vAlign w:val="bottom"/>
            <w:shd w:val="clear" w:color="auto" w:fill="CCEEFF"/>
          </w:tcPr>
          <w:p>
            <w:pPr>
              <w:ind w:left="40"/>
              <w:spacing w:after="0"/>
              <w:rPr>
                <w:sz w:val="20"/>
                <w:szCs w:val="20"/>
                <w:color w:val="auto"/>
              </w:rPr>
            </w:pPr>
            <w:r>
              <w:rPr>
                <w:rFonts w:ascii="Arial" w:cs="Arial" w:eastAsia="Arial" w:hAnsi="Arial"/>
                <w:sz w:val="18"/>
                <w:szCs w:val="18"/>
                <w:color w:val="auto"/>
              </w:rPr>
              <w:t>Related party vendor</w:t>
            </w:r>
          </w:p>
        </w:tc>
        <w:tc>
          <w:tcPr>
            <w:tcW w:w="420" w:type="dxa"/>
            <w:vAlign w:val="bottom"/>
            <w:shd w:val="clear" w:color="auto" w:fill="CCEEFF"/>
          </w:tcPr>
          <w:p>
            <w:pPr>
              <w:jc w:val="right"/>
              <w:ind w:right="219"/>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1,476</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1,815</w:t>
            </w:r>
          </w:p>
        </w:tc>
        <w:tc>
          <w:tcPr>
            <w:tcW w:w="174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5040" w:type="dxa"/>
            <w:vAlign w:val="bottom"/>
            <w:shd w:val="clear" w:color="auto" w:fill="CCEEFF"/>
          </w:tcPr>
          <w:p>
            <w:pPr>
              <w:spacing w:after="0"/>
              <w:rPr>
                <w:sz w:val="2"/>
                <w:szCs w:val="2"/>
                <w:color w:val="auto"/>
              </w:rPr>
            </w:pPr>
          </w:p>
        </w:tc>
        <w:tc>
          <w:tcPr>
            <w:tcW w:w="42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Our payable terms and pricing with this vendor are consistent with the terms offered by other vendors in the ordinary course of business. The accounting policies that we apply to our transactions with our related party vendor are consistent with those applied in transactions with independent third parties. Corporate management routinely monitors purchases from our related party vendor to ensure these purchases remain consistent with our business objectives.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Goodwill and Intangible Assets,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Goodwill and changes in the carrying amount of goodwill were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8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6"/>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December 31, 2012</w:t>
            </w:r>
          </w:p>
        </w:tc>
        <w:tc>
          <w:tcPr>
            <w:tcW w:w="64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30,890</w:t>
            </w:r>
          </w:p>
        </w:tc>
        <w:tc>
          <w:tcPr>
            <w:tcW w:w="0" w:type="dxa"/>
            <w:vAlign w:val="bottom"/>
          </w:tcPr>
          <w:p>
            <w:pPr>
              <w:spacing w:after="0"/>
              <w:rPr>
                <w:sz w:val="1"/>
                <w:szCs w:val="1"/>
                <w:color w:val="auto"/>
              </w:rPr>
            </w:pPr>
          </w:p>
        </w:tc>
      </w:tr>
      <w:tr>
        <w:trPr>
          <w:trHeight w:val="243"/>
        </w:trPr>
        <w:tc>
          <w:tcPr>
            <w:tcW w:w="3940" w:type="dxa"/>
            <w:vAlign w:val="bottom"/>
          </w:tcPr>
          <w:p>
            <w:pPr>
              <w:ind w:left="380"/>
              <w:spacing w:after="0"/>
              <w:rPr>
                <w:sz w:val="20"/>
                <w:szCs w:val="20"/>
                <w:color w:val="auto"/>
              </w:rPr>
            </w:pPr>
            <w:r>
              <w:rPr>
                <w:rFonts w:ascii="Arial" w:cs="Arial" w:eastAsia="Arial" w:hAnsi="Arial"/>
                <w:sz w:val="18"/>
                <w:szCs w:val="18"/>
                <w:color w:val="auto"/>
              </w:rPr>
              <w:t>Foreign currency</w:t>
            </w:r>
          </w:p>
        </w:tc>
        <w:tc>
          <w:tcPr>
            <w:tcW w:w="58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588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Balance at June 30, 2013</w:t>
            </w:r>
          </w:p>
        </w:tc>
        <w:tc>
          <w:tcPr>
            <w:tcW w:w="6440" w:type="dxa"/>
            <w:vAlign w:val="bottom"/>
            <w:tcBorders>
              <w:bottom w:val="single" w:sz="8" w:color="CCEEFF"/>
            </w:tcBorders>
            <w:gridSpan w:val="2"/>
            <w:shd w:val="clear" w:color="auto" w:fill="CCEEFF"/>
          </w:tcPr>
          <w:p>
            <w:pPr>
              <w:jc w:val="right"/>
              <w:ind w:right="4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30,876</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tcBorders>
          </w:tcPr>
          <w:p>
            <w:pPr>
              <w:spacing w:after="0" w:line="20" w:lineRule="exact"/>
              <w:rPr>
                <w:sz w:val="1"/>
                <w:szCs w:val="1"/>
                <w:color w:val="auto"/>
              </w:rPr>
            </w:pPr>
          </w:p>
        </w:tc>
        <w:tc>
          <w:tcPr>
            <w:tcW w:w="5880" w:type="dxa"/>
            <w:vAlign w:val="bottom"/>
            <w:tcBorders>
              <w:top w:val="single" w:sz="8" w:color="CCEEFF"/>
              <w:bottom w:val="single" w:sz="8" w:color="CCEEFF"/>
            </w:tcBorders>
            <w:vMerge w:val="restart"/>
          </w:tcPr>
          <w:p>
            <w:pPr>
              <w:jc w:val="right"/>
              <w:ind w:right="3930"/>
              <w:spacing w:after="0"/>
              <w:rPr>
                <w:sz w:val="20"/>
                <w:szCs w:val="20"/>
                <w:color w:val="auto"/>
              </w:rPr>
            </w:pPr>
            <w:r>
              <w:rPr>
                <w:rFonts w:ascii="Arial" w:cs="Arial" w:eastAsia="Arial" w:hAnsi="Arial"/>
                <w:sz w:val="18"/>
                <w:szCs w:val="18"/>
                <w:color w:val="auto"/>
              </w:rPr>
              <w:t>11</w:t>
            </w: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0"/>
        </w:trPr>
        <w:tc>
          <w:tcPr>
            <w:tcW w:w="3940" w:type="dxa"/>
            <w:vAlign w:val="bottom"/>
          </w:tcPr>
          <w:p>
            <w:pPr>
              <w:spacing w:after="0"/>
              <w:rPr>
                <w:sz w:val="24"/>
                <w:szCs w:val="24"/>
                <w:color w:val="auto"/>
              </w:rPr>
            </w:pPr>
          </w:p>
        </w:tc>
        <w:tc>
          <w:tcPr>
            <w:tcW w:w="5880" w:type="dxa"/>
            <w:vAlign w:val="bottom"/>
            <w:vMerge w:val="continue"/>
          </w:tcPr>
          <w:p>
            <w:pPr>
              <w:spacing w:after="0"/>
              <w:rPr>
                <w:sz w:val="24"/>
                <w:szCs w:val="24"/>
                <w:color w:val="auto"/>
              </w:rPr>
            </w:pPr>
          </w:p>
        </w:tc>
        <w:tc>
          <w:tcPr>
            <w:tcW w:w="5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11" w:name="page12"/>
    <w:bookmarkEnd w:id="1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 Net</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intangible assets, net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3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gridSpan w:val="2"/>
          </w:tcPr>
          <w:p>
            <w:pPr>
              <w:ind w:left="40"/>
              <w:spacing w:after="0"/>
              <w:rPr>
                <w:sz w:val="20"/>
                <w:szCs w:val="20"/>
                <w:color w:val="auto"/>
              </w:rPr>
            </w:pPr>
            <w:r>
              <w:rPr>
                <w:rFonts w:ascii="Arial" w:cs="Arial" w:eastAsia="Arial" w:hAnsi="Arial"/>
                <w:sz w:val="14"/>
                <w:szCs w:val="14"/>
                <w:b w:val="1"/>
                <w:bCs w:val="1"/>
                <w:color w:val="auto"/>
              </w:rPr>
              <w:t>June 30, 2013</w:t>
            </w:r>
          </w:p>
        </w:tc>
        <w:tc>
          <w:tcPr>
            <w:tcW w:w="3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360" w:type="dxa"/>
            <w:vAlign w:val="bottom"/>
            <w:tcBorders>
              <w:bottom w:val="single" w:sz="8" w:color="auto"/>
            </w:tcBorders>
            <w:gridSpan w:val="3"/>
          </w:tcPr>
          <w:p>
            <w:pPr>
              <w:jc w:val="center"/>
              <w:ind w:right="80"/>
              <w:spacing w:after="0"/>
              <w:rPr>
                <w:sz w:val="20"/>
                <w:szCs w:val="20"/>
                <w:color w:val="auto"/>
              </w:rPr>
            </w:pPr>
            <w:r>
              <w:rPr>
                <w:rFonts w:ascii="Arial" w:cs="Arial" w:eastAsia="Arial" w:hAnsi="Arial"/>
                <w:sz w:val="14"/>
                <w:szCs w:val="14"/>
                <w:b w:val="1"/>
                <w:bCs w:val="1"/>
                <w:color w:val="auto"/>
                <w:w w:val="91"/>
              </w:rPr>
              <w:t>December 31, 2012</w:t>
            </w:r>
          </w:p>
        </w:tc>
        <w:tc>
          <w:tcPr>
            <w:tcW w:w="3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33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80" w:type="dxa"/>
            <w:vAlign w:val="bottom"/>
          </w:tcPr>
          <w:p>
            <w:pPr>
              <w:spacing w:after="0"/>
              <w:rPr>
                <w:sz w:val="13"/>
                <w:szCs w:val="13"/>
                <w:color w:val="auto"/>
              </w:rPr>
            </w:pPr>
          </w:p>
        </w:tc>
        <w:tc>
          <w:tcPr>
            <w:tcW w:w="1200" w:type="dxa"/>
            <w:vAlign w:val="bottom"/>
            <w:gridSpan w:val="2"/>
          </w:tcPr>
          <w:p>
            <w:pPr>
              <w:ind w:left="40"/>
              <w:spacing w:after="0" w:line="153" w:lineRule="exact"/>
              <w:rPr>
                <w:sz w:val="20"/>
                <w:szCs w:val="20"/>
                <w:color w:val="auto"/>
              </w:rPr>
            </w:pPr>
            <w:r>
              <w:rPr>
                <w:rFonts w:ascii="Arial" w:cs="Arial" w:eastAsia="Arial" w:hAnsi="Arial"/>
                <w:sz w:val="14"/>
                <w:szCs w:val="14"/>
                <w:b w:val="1"/>
                <w:bCs w:val="1"/>
                <w:color w:val="auto"/>
              </w:rPr>
              <w:t>Accumulated</w:t>
            </w:r>
          </w:p>
        </w:tc>
        <w:tc>
          <w:tcPr>
            <w:tcW w:w="320" w:type="dxa"/>
            <w:vAlign w:val="bottom"/>
          </w:tcPr>
          <w:p>
            <w:pPr>
              <w:spacing w:after="0"/>
              <w:rPr>
                <w:sz w:val="13"/>
                <w:szCs w:val="13"/>
                <w:color w:val="auto"/>
              </w:rPr>
            </w:pPr>
          </w:p>
        </w:tc>
        <w:tc>
          <w:tcPr>
            <w:tcW w:w="1040" w:type="dxa"/>
            <w:vAlign w:val="bottom"/>
            <w:gridSpan w:val="2"/>
            <w:vMerge w:val="restart"/>
          </w:tcPr>
          <w:p>
            <w:pPr>
              <w:ind w:left="200"/>
              <w:spacing w:after="0"/>
              <w:rPr>
                <w:sz w:val="20"/>
                <w:szCs w:val="20"/>
                <w:color w:val="auto"/>
              </w:rPr>
            </w:pPr>
            <w:r>
              <w:rPr>
                <w:rFonts w:ascii="Arial" w:cs="Arial" w:eastAsia="Arial" w:hAnsi="Arial"/>
                <w:sz w:val="14"/>
                <w:szCs w:val="14"/>
                <w:b w:val="1"/>
                <w:bCs w:val="1"/>
                <w:color w:val="auto"/>
              </w:rPr>
              <w:t>Net</w:t>
            </w:r>
          </w:p>
        </w:tc>
        <w:tc>
          <w:tcPr>
            <w:tcW w:w="280" w:type="dxa"/>
            <w:vAlign w:val="bottom"/>
          </w:tcPr>
          <w:p>
            <w:pPr>
              <w:spacing w:after="0"/>
              <w:rPr>
                <w:sz w:val="13"/>
                <w:szCs w:val="13"/>
                <w:color w:val="auto"/>
              </w:rPr>
            </w:pPr>
          </w:p>
        </w:tc>
        <w:tc>
          <w:tcPr>
            <w:tcW w:w="108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Gross</w:t>
            </w:r>
          </w:p>
        </w:tc>
        <w:tc>
          <w:tcPr>
            <w:tcW w:w="160" w:type="dxa"/>
            <w:vAlign w:val="bottom"/>
          </w:tcPr>
          <w:p>
            <w:pPr>
              <w:spacing w:after="0"/>
              <w:rPr>
                <w:sz w:val="13"/>
                <w:szCs w:val="13"/>
                <w:color w:val="auto"/>
              </w:rPr>
            </w:pPr>
          </w:p>
        </w:tc>
        <w:tc>
          <w:tcPr>
            <w:tcW w:w="1200" w:type="dxa"/>
            <w:vAlign w:val="bottom"/>
            <w:gridSpan w:val="2"/>
          </w:tcPr>
          <w:p>
            <w:pPr>
              <w:jc w:val="center"/>
              <w:ind w:right="260"/>
              <w:spacing w:after="0" w:line="153" w:lineRule="exact"/>
              <w:rPr>
                <w:sz w:val="20"/>
                <w:szCs w:val="20"/>
                <w:color w:val="auto"/>
              </w:rPr>
            </w:pPr>
            <w:r>
              <w:rPr>
                <w:rFonts w:ascii="Arial" w:cs="Arial" w:eastAsia="Arial" w:hAnsi="Arial"/>
                <w:sz w:val="14"/>
                <w:szCs w:val="14"/>
                <w:b w:val="1"/>
                <w:bCs w:val="1"/>
                <w:color w:val="auto"/>
                <w:w w:val="93"/>
              </w:rPr>
              <w:t>Accumulated</w:t>
            </w:r>
          </w:p>
        </w:tc>
        <w:tc>
          <w:tcPr>
            <w:tcW w:w="320" w:type="dxa"/>
            <w:vAlign w:val="bottom"/>
          </w:tcPr>
          <w:p>
            <w:pPr>
              <w:spacing w:after="0"/>
              <w:rPr>
                <w:sz w:val="13"/>
                <w:szCs w:val="13"/>
                <w:color w:val="auto"/>
              </w:rPr>
            </w:pPr>
          </w:p>
        </w:tc>
        <w:tc>
          <w:tcPr>
            <w:tcW w:w="940" w:type="dxa"/>
            <w:vAlign w:val="bottom"/>
            <w:vMerge w:val="restart"/>
          </w:tcPr>
          <w:p>
            <w:pPr>
              <w:jc w:val="right"/>
              <w:ind w:right="432"/>
              <w:spacing w:after="0"/>
              <w:rPr>
                <w:sz w:val="20"/>
                <w:szCs w:val="20"/>
                <w:color w:val="auto"/>
              </w:rPr>
            </w:pPr>
            <w:r>
              <w:rPr>
                <w:rFonts w:ascii="Arial" w:cs="Arial" w:eastAsia="Arial" w:hAnsi="Arial"/>
                <w:sz w:val="14"/>
                <w:szCs w:val="14"/>
                <w:b w:val="1"/>
                <w:bCs w:val="1"/>
                <w:color w:val="auto"/>
              </w:rPr>
              <w:t>Net</w:t>
            </w:r>
          </w:p>
        </w:tc>
        <w:tc>
          <w:tcPr>
            <w:tcW w:w="0" w:type="dxa"/>
            <w:vAlign w:val="bottom"/>
          </w:tcPr>
          <w:p>
            <w:pPr>
              <w:spacing w:after="0"/>
              <w:rPr>
                <w:sz w:val="1"/>
                <w:szCs w:val="1"/>
                <w:color w:val="auto"/>
              </w:rPr>
            </w:pPr>
          </w:p>
        </w:tc>
      </w:tr>
      <w:tr>
        <w:trPr>
          <w:trHeight w:val="192"/>
        </w:trPr>
        <w:tc>
          <w:tcPr>
            <w:tcW w:w="334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Amortization</w:t>
            </w:r>
          </w:p>
        </w:tc>
        <w:tc>
          <w:tcPr>
            <w:tcW w:w="32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28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Amortization</w:t>
            </w: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334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Carrying amount </w:t>
            </w:r>
            <w:r>
              <w:rPr>
                <w:rFonts w:ascii="Arial" w:cs="Arial" w:eastAsia="Arial" w:hAnsi="Arial"/>
                <w:sz w:val="25"/>
                <w:szCs w:val="25"/>
                <w:color w:val="auto"/>
                <w:vertAlign w:val="superscript"/>
              </w:rPr>
              <w:t>(1)</w:t>
            </w:r>
            <w:r>
              <w:rPr>
                <w:rFonts w:ascii="Arial" w:cs="Arial" w:eastAsia="Arial" w:hAnsi="Arial"/>
                <w:sz w:val="18"/>
                <w:szCs w:val="18"/>
                <w:color w:val="auto"/>
              </w:rPr>
              <w:t>:</w:t>
            </w: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108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2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280" w:type="dxa"/>
            <w:vAlign w:val="bottom"/>
            <w:tcBorders>
              <w:top w:val="single" w:sz="8" w:color="auto"/>
            </w:tcBorders>
            <w:shd w:val="clear" w:color="auto" w:fill="CCEEFF"/>
          </w:tcPr>
          <w:p>
            <w:pPr>
              <w:spacing w:after="0"/>
              <w:rPr>
                <w:sz w:val="23"/>
                <w:szCs w:val="23"/>
                <w:color w:val="auto"/>
              </w:rPr>
            </w:pPr>
          </w:p>
        </w:tc>
        <w:tc>
          <w:tcPr>
            <w:tcW w:w="98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60" w:type="dxa"/>
            <w:vAlign w:val="bottom"/>
            <w:tcBorders>
              <w:top w:val="single" w:sz="8" w:color="auto"/>
            </w:tcBorders>
            <w:shd w:val="clear" w:color="auto" w:fill="CCEEFF"/>
          </w:tcPr>
          <w:p>
            <w:pPr>
              <w:spacing w:after="0"/>
              <w:rPr>
                <w:sz w:val="23"/>
                <w:szCs w:val="23"/>
                <w:color w:val="auto"/>
              </w:rPr>
            </w:pPr>
          </w:p>
        </w:tc>
        <w:tc>
          <w:tcPr>
            <w:tcW w:w="1100" w:type="dxa"/>
            <w:vAlign w:val="bottom"/>
            <w:tcBorders>
              <w:top w:val="single" w:sz="8" w:color="auto"/>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320" w:type="dxa"/>
            <w:vAlign w:val="bottom"/>
            <w:tcBorders>
              <w:top w:val="single" w:sz="8" w:color="auto"/>
            </w:tcBorders>
            <w:shd w:val="clear" w:color="auto" w:fill="CCEEFF"/>
          </w:tcPr>
          <w:p>
            <w:pPr>
              <w:spacing w:after="0"/>
              <w:rPr>
                <w:sz w:val="23"/>
                <w:szCs w:val="23"/>
                <w:color w:val="auto"/>
              </w:rPr>
            </w:pPr>
          </w:p>
        </w:tc>
        <w:tc>
          <w:tcPr>
            <w:tcW w:w="940" w:type="dxa"/>
            <w:vAlign w:val="bottom"/>
            <w:tcBorders>
              <w:top w:val="single" w:sz="8" w:color="auto"/>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Distribution rights</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373</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323</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378</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328</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Patents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8,541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(4,097)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4,444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8,113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(3,847)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4,266</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rPr>
              <w:t>Trademark and trade names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2,840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(1,268)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1,572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2,841</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(1,127)</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1,714</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Developed and core technology</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3,505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2,483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3,507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2,601</w:t>
            </w:r>
          </w:p>
        </w:tc>
        <w:tc>
          <w:tcPr>
            <w:tcW w:w="0" w:type="dxa"/>
            <w:vAlign w:val="bottom"/>
          </w:tcPr>
          <w:p>
            <w:pPr>
              <w:spacing w:after="0"/>
              <w:rPr>
                <w:sz w:val="1"/>
                <w:szCs w:val="1"/>
                <w:color w:val="auto"/>
              </w:rPr>
            </w:pPr>
          </w:p>
        </w:tc>
      </w:tr>
      <w:tr>
        <w:trPr>
          <w:trHeight w:val="243"/>
        </w:trPr>
        <w:tc>
          <w:tcPr>
            <w:tcW w:w="3340" w:type="dxa"/>
            <w:vAlign w:val="bottom"/>
          </w:tcPr>
          <w:p>
            <w:pPr>
              <w:ind w:left="280"/>
              <w:spacing w:after="0"/>
              <w:rPr>
                <w:sz w:val="20"/>
                <w:szCs w:val="20"/>
                <w:color w:val="auto"/>
              </w:rPr>
            </w:pPr>
            <w:r>
              <w:rPr>
                <w:rFonts w:ascii="Arial" w:cs="Arial" w:eastAsia="Arial" w:hAnsi="Arial"/>
                <w:sz w:val="18"/>
                <w:szCs w:val="18"/>
                <w:color w:val="auto"/>
                <w:w w:val="95"/>
              </w:rPr>
              <w:t>Capitalized software development costs</w:t>
            </w:r>
          </w:p>
        </w:tc>
        <w:tc>
          <w:tcPr>
            <w:tcW w:w="280" w:type="dxa"/>
            <w:vAlign w:val="bottom"/>
          </w:tcPr>
          <w:p>
            <w:pPr>
              <w:spacing w:after="0"/>
              <w:rPr>
                <w:sz w:val="21"/>
                <w:szCs w:val="21"/>
                <w:color w:val="auto"/>
              </w:rPr>
            </w:pPr>
          </w:p>
        </w:tc>
        <w:tc>
          <w:tcPr>
            <w:tcW w:w="980" w:type="dxa"/>
            <w:vAlign w:val="bottom"/>
          </w:tcPr>
          <w:p>
            <w:pPr>
              <w:jc w:val="right"/>
              <w:ind w:right="12"/>
              <w:spacing w:after="0"/>
              <w:rPr>
                <w:sz w:val="20"/>
                <w:szCs w:val="20"/>
                <w:color w:val="auto"/>
              </w:rPr>
            </w:pPr>
            <w:r>
              <w:rPr>
                <w:rFonts w:ascii="Arial" w:cs="Arial" w:eastAsia="Arial" w:hAnsi="Arial"/>
                <w:sz w:val="18"/>
                <w:szCs w:val="18"/>
                <w:color w:val="auto"/>
              </w:rPr>
              <w:t>327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980" w:type="dxa"/>
            <w:vAlign w:val="bottom"/>
          </w:tcPr>
          <w:p>
            <w:pPr>
              <w:jc w:val="right"/>
              <w:ind w:right="32"/>
              <w:spacing w:after="0"/>
              <w:rPr>
                <w:sz w:val="20"/>
                <w:szCs w:val="20"/>
                <w:color w:val="auto"/>
              </w:rPr>
            </w:pPr>
            <w:r>
              <w:rPr>
                <w:rFonts w:ascii="Arial" w:cs="Arial" w:eastAsia="Arial" w:hAnsi="Arial"/>
                <w:sz w:val="18"/>
                <w:szCs w:val="18"/>
                <w:color w:val="auto"/>
              </w:rPr>
              <w:t>1,276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940" w:type="dxa"/>
            <w:vAlign w:val="bottom"/>
          </w:tcPr>
          <w:p>
            <w:pPr>
              <w:jc w:val="right"/>
              <w:ind w:right="12"/>
              <w:spacing w:after="0"/>
              <w:rPr>
                <w:sz w:val="20"/>
                <w:szCs w:val="20"/>
                <w:color w:val="auto"/>
              </w:rPr>
            </w:pPr>
            <w:r>
              <w:rPr>
                <w:rFonts w:ascii="Arial" w:cs="Arial" w:eastAsia="Arial" w:hAnsi="Arial"/>
                <w:sz w:val="18"/>
                <w:szCs w:val="18"/>
                <w:color w:val="auto"/>
              </w:rPr>
              <w:t>363</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3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Customer relationships</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26,400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(7,118)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19,282</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26,415</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(5,852)</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20,563</w:t>
            </w:r>
          </w:p>
        </w:tc>
        <w:tc>
          <w:tcPr>
            <w:tcW w:w="0" w:type="dxa"/>
            <w:vAlign w:val="bottom"/>
          </w:tcPr>
          <w:p>
            <w:pPr>
              <w:spacing w:after="0"/>
              <w:rPr>
                <w:sz w:val="1"/>
                <w:szCs w:val="1"/>
                <w:color w:val="auto"/>
              </w:rPr>
            </w:pPr>
          </w:p>
        </w:tc>
      </w:tr>
      <w:tr>
        <w:trPr>
          <w:trHeight w:val="237"/>
        </w:trPr>
        <w:tc>
          <w:tcPr>
            <w:tcW w:w="3340" w:type="dxa"/>
            <w:vAlign w:val="bottom"/>
          </w:tcPr>
          <w:p>
            <w:pPr>
              <w:ind w:left="40"/>
              <w:spacing w:after="0"/>
              <w:rPr>
                <w:sz w:val="20"/>
                <w:szCs w:val="20"/>
                <w:color w:val="auto"/>
              </w:rPr>
            </w:pPr>
            <w:r>
              <w:rPr>
                <w:rFonts w:ascii="Arial" w:cs="Arial" w:eastAsia="Arial" w:hAnsi="Arial"/>
                <w:sz w:val="18"/>
                <w:szCs w:val="18"/>
                <w:color w:val="auto"/>
              </w:rPr>
              <w:t>Total carrying amount</w:t>
            </w: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41,986</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(13,674)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28,312</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42,530</w:t>
            </w: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(12,695)</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9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29,835</w:t>
            </w:r>
          </w:p>
        </w:tc>
        <w:tc>
          <w:tcPr>
            <w:tcW w:w="0" w:type="dxa"/>
            <w:vAlign w:val="bottom"/>
          </w:tcPr>
          <w:p>
            <w:pPr>
              <w:spacing w:after="0"/>
              <w:rPr>
                <w:sz w:val="1"/>
                <w:szCs w:val="1"/>
                <w:color w:val="auto"/>
              </w:rPr>
            </w:pPr>
          </w:p>
        </w:tc>
      </w:tr>
      <w:tr>
        <w:trPr>
          <w:trHeight w:val="27"/>
        </w:trPr>
        <w:tc>
          <w:tcPr>
            <w:tcW w:w="334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33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right="300" w:hanging="328"/>
        <w:spacing w:after="0" w:line="216" w:lineRule="auto"/>
        <w:tabs>
          <w:tab w:leader="none" w:pos="660" w:val="left"/>
        </w:tabs>
        <w:numPr>
          <w:ilvl w:val="0"/>
          <w:numId w:val="4"/>
        </w:numPr>
        <w:rPr>
          <w:rFonts w:ascii="Arial" w:cs="Arial" w:eastAsia="Arial" w:hAnsi="Arial"/>
          <w:sz w:val="25"/>
          <w:szCs w:val="25"/>
          <w:color w:val="auto"/>
          <w:vertAlign w:val="superscript"/>
        </w:rPr>
      </w:pPr>
      <w:r>
        <w:rPr>
          <w:rFonts w:ascii="Arial" w:cs="Arial" w:eastAsia="Arial" w:hAnsi="Arial"/>
          <w:sz w:val="18"/>
          <w:szCs w:val="18"/>
          <w:color w:val="auto"/>
        </w:rPr>
        <w:t>This table excludes the gross value of fully amortized intangible assets totaling $6.3 million and $9.1 million on June 30, 2013 and December 31, 2012, respectively.</w:t>
      </w:r>
    </w:p>
    <w:p>
      <w:pPr>
        <w:spacing w:after="0" w:line="14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is recorded in selling, general and administrative expenses, except amortization expense related to capitalized software development costs which is recorded in cost of sales. Amortization expense by income statement caption was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254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5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700" w:type="dxa"/>
            <w:vAlign w:val="bottom"/>
            <w:tcBorders>
              <w:bottom w:val="single" w:sz="8" w:color="auto"/>
            </w:tcBorders>
            <w:gridSpan w:val="4"/>
          </w:tcPr>
          <w:p>
            <w:pPr>
              <w:jc w:val="right"/>
              <w:ind w:right="59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2013</w:t>
            </w:r>
          </w:p>
        </w:tc>
        <w:tc>
          <w:tcPr>
            <w:tcW w:w="56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5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2012</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sales</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51</w:t>
            </w: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143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157</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940" w:type="dxa"/>
            <w:vAlign w:val="bottom"/>
          </w:tcPr>
          <w:p>
            <w:pPr>
              <w:spacing w:after="0"/>
              <w:rPr>
                <w:sz w:val="21"/>
                <w:szCs w:val="21"/>
                <w:color w:val="auto"/>
              </w:rPr>
            </w:pPr>
          </w:p>
        </w:tc>
        <w:tc>
          <w:tcPr>
            <w:tcW w:w="560" w:type="dxa"/>
            <w:vAlign w:val="bottom"/>
          </w:tcPr>
          <w:p>
            <w:pPr>
              <w:jc w:val="right"/>
              <w:ind w:right="30"/>
              <w:spacing w:after="0"/>
              <w:rPr>
                <w:sz w:val="20"/>
                <w:szCs w:val="20"/>
                <w:color w:val="auto"/>
              </w:rPr>
            </w:pPr>
            <w:r>
              <w:rPr>
                <w:rFonts w:ascii="Arial" w:cs="Arial" w:eastAsia="Arial" w:hAnsi="Arial"/>
                <w:sz w:val="18"/>
                <w:szCs w:val="18"/>
                <w:color w:val="auto"/>
              </w:rPr>
              <w:t>973</w:t>
            </w:r>
          </w:p>
        </w:tc>
        <w:tc>
          <w:tcPr>
            <w:tcW w:w="1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560" w:type="dxa"/>
            <w:vAlign w:val="bottom"/>
          </w:tcPr>
          <w:p>
            <w:pPr>
              <w:jc w:val="right"/>
              <w:ind w:right="10"/>
              <w:spacing w:after="0"/>
              <w:rPr>
                <w:sz w:val="20"/>
                <w:szCs w:val="20"/>
                <w:color w:val="auto"/>
              </w:rPr>
            </w:pPr>
            <w:r>
              <w:rPr>
                <w:rFonts w:ascii="Arial" w:cs="Arial" w:eastAsia="Arial" w:hAnsi="Arial"/>
                <w:sz w:val="18"/>
                <w:szCs w:val="18"/>
                <w:color w:val="auto"/>
              </w:rPr>
              <w:t>962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7"/>
              <w:spacing w:after="0"/>
              <w:rPr>
                <w:sz w:val="20"/>
                <w:szCs w:val="20"/>
                <w:color w:val="auto"/>
              </w:rPr>
            </w:pPr>
            <w:r>
              <w:rPr>
                <w:rFonts w:ascii="Arial" w:cs="Arial" w:eastAsia="Arial" w:hAnsi="Arial"/>
                <w:sz w:val="18"/>
                <w:szCs w:val="18"/>
                <w:color w:val="auto"/>
              </w:rPr>
              <w:t>1,945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1,920</w:t>
            </w:r>
          </w:p>
        </w:tc>
      </w:tr>
      <w:tr>
        <w:trPr>
          <w:trHeight w:val="27"/>
        </w:trPr>
        <w:tc>
          <w:tcPr>
            <w:tcW w:w="516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amortization expense</w:t>
            </w:r>
          </w:p>
        </w:tc>
        <w:tc>
          <w:tcPr>
            <w:tcW w:w="940" w:type="dxa"/>
            <w:vAlign w:val="bottom"/>
            <w:tcBorders>
              <w:bottom w:val="single" w:sz="8" w:color="CCEEFF"/>
            </w:tcBorders>
            <w:shd w:val="clear" w:color="auto" w:fill="CCEEFF"/>
          </w:tcPr>
          <w:p>
            <w:pPr>
              <w:jc w:val="right"/>
              <w:ind w:right="739"/>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3"/>
              </w:rPr>
              <w:t>1,024</w:t>
            </w:r>
          </w:p>
        </w:tc>
        <w:tc>
          <w:tcPr>
            <w:tcW w:w="1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716"/>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7"/>
              </w:rPr>
              <w:t>1,038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2,088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2,077</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Estimated future amortization expense related to our intangible assets at June 30, 2013, is as follows:</w:t>
      </w:r>
    </w:p>
    <w:p>
      <w:pPr>
        <w:spacing w:after="0" w:line="352"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994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500" w:type="dxa"/>
            <w:vAlign w:val="bottom"/>
          </w:tcPr>
          <w:p>
            <w:pPr>
              <w:spacing w:after="0"/>
              <w:rPr>
                <w:sz w:val="16"/>
                <w:szCs w:val="16"/>
                <w:color w:val="auto"/>
              </w:rPr>
            </w:pPr>
          </w:p>
        </w:tc>
        <w:tc>
          <w:tcPr>
            <w:tcW w:w="980" w:type="dxa"/>
            <w:vAlign w:val="bottom"/>
          </w:tcPr>
          <w:p>
            <w:pPr>
              <w:spacing w:after="0"/>
              <w:rPr>
                <w:sz w:val="16"/>
                <w:szCs w:val="16"/>
                <w:color w:val="auto"/>
              </w:rPr>
            </w:pPr>
          </w:p>
        </w:tc>
      </w:tr>
      <w:tr>
        <w:trPr>
          <w:trHeight w:val="256"/>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2013 (remaining 6 months)</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2,048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2014</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4,053</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2015</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3,888</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2016</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3,871</w:t>
            </w:r>
          </w:p>
        </w:tc>
      </w:tr>
      <w:tr>
        <w:trPr>
          <w:trHeight w:val="27"/>
        </w:trPr>
        <w:tc>
          <w:tcPr>
            <w:tcW w:w="9940" w:type="dxa"/>
            <w:vAlign w:val="bottom"/>
          </w:tcPr>
          <w:p>
            <w:pPr>
              <w:spacing w:after="0"/>
              <w:rPr>
                <w:sz w:val="2"/>
                <w:szCs w:val="2"/>
                <w:color w:val="auto"/>
              </w:rPr>
            </w:pPr>
          </w:p>
        </w:tc>
        <w:tc>
          <w:tcPr>
            <w:tcW w:w="500" w:type="dxa"/>
            <w:vAlign w:val="bottom"/>
          </w:tcPr>
          <w:p>
            <w:pPr>
              <w:spacing w:after="0"/>
              <w:rPr>
                <w:sz w:val="2"/>
                <w:szCs w:val="2"/>
                <w:color w:val="auto"/>
              </w:rPr>
            </w:pPr>
          </w:p>
        </w:tc>
        <w:tc>
          <w:tcPr>
            <w:tcW w:w="980" w:type="dxa"/>
            <w:vAlign w:val="bottom"/>
          </w:tcPr>
          <w:p>
            <w:pPr>
              <w:spacing w:after="0"/>
              <w:rPr>
                <w:sz w:val="2"/>
                <w:szCs w:val="2"/>
                <w:color w:val="auto"/>
              </w:rPr>
            </w:pPr>
          </w:p>
        </w:tc>
      </w:tr>
      <w:tr>
        <w:trPr>
          <w:trHeight w:val="250"/>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2017</w:t>
            </w:r>
          </w:p>
        </w:tc>
        <w:tc>
          <w:tcPr>
            <w:tcW w:w="5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3,842</w:t>
            </w:r>
          </w:p>
        </w:tc>
      </w:tr>
      <w:tr>
        <w:trPr>
          <w:trHeight w:val="243"/>
        </w:trPr>
        <w:tc>
          <w:tcPr>
            <w:tcW w:w="9940" w:type="dxa"/>
            <w:vAlign w:val="bottom"/>
          </w:tcPr>
          <w:p>
            <w:pPr>
              <w:ind w:left="40"/>
              <w:spacing w:after="0"/>
              <w:rPr>
                <w:sz w:val="20"/>
                <w:szCs w:val="20"/>
                <w:color w:val="auto"/>
              </w:rPr>
            </w:pPr>
            <w:r>
              <w:rPr>
                <w:rFonts w:ascii="Arial" w:cs="Arial" w:eastAsia="Arial" w:hAnsi="Arial"/>
                <w:sz w:val="18"/>
                <w:szCs w:val="18"/>
                <w:color w:val="auto"/>
              </w:rPr>
              <w:t>Thereafter</w:t>
            </w:r>
          </w:p>
        </w:tc>
        <w:tc>
          <w:tcPr>
            <w:tcW w:w="500" w:type="dxa"/>
            <w:vAlign w:val="bottom"/>
          </w:tcPr>
          <w:p>
            <w:pPr>
              <w:spacing w:after="0"/>
              <w:rPr>
                <w:sz w:val="21"/>
                <w:szCs w:val="21"/>
                <w:color w:val="auto"/>
              </w:rPr>
            </w:pPr>
          </w:p>
        </w:tc>
        <w:tc>
          <w:tcPr>
            <w:tcW w:w="980" w:type="dxa"/>
            <w:vAlign w:val="bottom"/>
          </w:tcPr>
          <w:p>
            <w:pPr>
              <w:jc w:val="right"/>
              <w:ind w:right="10"/>
              <w:spacing w:after="0"/>
              <w:rPr>
                <w:sz w:val="20"/>
                <w:szCs w:val="20"/>
                <w:color w:val="auto"/>
              </w:rPr>
            </w:pPr>
            <w:r>
              <w:rPr>
                <w:rFonts w:ascii="Arial" w:cs="Arial" w:eastAsia="Arial" w:hAnsi="Arial"/>
                <w:sz w:val="18"/>
                <w:szCs w:val="18"/>
                <w:color w:val="auto"/>
              </w:rPr>
              <w:t>10,610</w:t>
            </w:r>
          </w:p>
        </w:tc>
      </w:tr>
      <w:tr>
        <w:trPr>
          <w:trHeight w:val="27"/>
        </w:trPr>
        <w:tc>
          <w:tcPr>
            <w:tcW w:w="994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r>
      <w:tr>
        <w:trPr>
          <w:trHeight w:val="269"/>
        </w:trPr>
        <w:tc>
          <w:tcPr>
            <w:tcW w:w="9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28,312</w:t>
            </w:r>
          </w:p>
        </w:tc>
      </w:tr>
      <w:tr>
        <w:trPr>
          <w:trHeight w:val="20"/>
        </w:trPr>
        <w:tc>
          <w:tcPr>
            <w:tcW w:w="994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Impairment charges are recorded in selling, general and administrative expenses as a component of amortization expense, except impairment charges related to capitalized software development costs which are recorded in cost of sales. We recorded immaterial impairment charges related to our intangible assets for the three and six months ended June 30, 2013 and 2012.</w:t>
      </w:r>
    </w:p>
    <w:p>
      <w:pPr>
        <w:spacing w:after="0" w:line="46"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We disposed of three patents and one trademark with an immaterial aggregate carrying amount during the six months ended June 30, 2013. We disposed of eleven patents with an immaterial aggregate carrying amount during the six months ended June 30, 2012. These assets no longer held any probable future economic benefits and thus were written-off.</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Line of Credit</w:t>
      </w:r>
    </w:p>
    <w:p>
      <w:pPr>
        <w:spacing w:after="0" w:line="175"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On October 2, 2012, we entered into an Amended and Restated Credit Agreement ("Amended Credit Agreement") with U.S. Bank National Association ("U.S. Bank") which provides for a $55.0 million line of credit ("Credit Line") that may be used for working</w:t>
      </w:r>
    </w:p>
    <w:p>
      <w:pPr>
        <w:sectPr>
          <w:pgSz w:w="11900" w:h="16838" w:orient="portrait"/>
          <w:cols w:equalWidth="0" w:num="1">
            <w:col w:w="11420"/>
          </w:cols>
          <w:pgMar w:left="240" w:top="118" w:right="239" w:bottom="1440" w:gutter="0" w:footer="0" w:header="0"/>
        </w:sectPr>
      </w:pP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18" w:right="239" w:bottom="1440" w:gutter="0" w:footer="0" w:header="0"/>
          <w:type w:val="continuous"/>
        </w:sectPr>
      </w:pPr>
    </w:p>
    <w:bookmarkStart w:id="12" w:name="page13"/>
    <w:bookmarkEnd w:id="1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capital and other general corporate purposes including acquisitions, share repurchases and capital expenditures. The Amended Credit Agreement expires on November 1, 2014. Amounts available for borrowing under the Credit Line are reduced by the balance of any outstanding letters of credit, of which there were $13 thousand at June 30, 2013.</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People's Republic of China ("PRC").</w:t>
      </w:r>
    </w:p>
    <w:p>
      <w:pPr>
        <w:spacing w:after="0" w:line="7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June 30, 2013, we were in compliance with the covenants and conditions of the Amended Credit Agreement.</w:t>
      </w:r>
    </w:p>
    <w:p>
      <w:pPr>
        <w:spacing w:after="0" w:line="127"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Our total interest expense on borrowings was $16 thousand and $0.1 million during the three months ended June 30, 2013 and 2012, respectively. Our total interest expense on borrowings was $49 thousand and $0.2 million during the six months ended June 30, 2013 and 2012, respectively.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Income Taxes</w:t>
      </w:r>
    </w:p>
    <w:p>
      <w:pPr>
        <w:spacing w:after="0" w:line="81"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We utilize our estimated annual effective tax rate to determine our provision for income taxes for interim periods. The income tax provision is computed by taking the estimated annual effective tax rate and multiplying it by the year-to-date pre-tax book income. We recorded income tax expense of $2.5 million and $1.1 million for the three months ended June 30, 2013 and 2012, respectively. Our effective tax rate was 30.0% and 18.1% during the three months ended June 30, 2013 and 2012, respectively. The increase in our effective tax rate was due to the following: the recording of approximately $0.4 million of additional tax reserves in the second quarter of 2013 resulting from a tax audit in Hong Kong for years preceding our acquisition of Enson Assets Limited; a greater percentage of income earned in higher tax rate jurisdictions in 2013 compared to 2012; and the reversal of $0.3 million of unrecognized tax benefits in the second quarter of 2012 which were originally recorded in 2007, 2010 and 2011.</w:t>
      </w:r>
    </w:p>
    <w:p>
      <w:pPr>
        <w:spacing w:after="0" w:line="43"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We recorded income tax expense of $2.9 million and $1.5 million for the six months ended June 30, 2013 and 2012, respectively. Our effective tax rate was 24.9% and 17.7% during the six months ended June 30, 2013 and 2012, respectively. The increase in our effective tax rate was due to the following: the recording of approximately $0.4 million of additional tax reserves in the second quarter of 2013 resulting from a tax audit in Hong Kong for years preceding our acquisition of Enson Assets Limited; a greater percentage of income earned in higher tax rate jurisdictions in 2013 compared to 2012; and the reversal of $0.5 million of unrecognized tax benefits in 2012 which were originally recorded in 2007 through 2011.</w:t>
      </w:r>
    </w:p>
    <w:p>
      <w:pPr>
        <w:spacing w:after="0" w:line="213"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On June 30, 2013, we had gross unrecognized tax benefits of approximately $5.5 million, including interest and penalties, of which approximately $5.0 million would affect the annual effective tax rate if these tax benefits are realized. Further, we are unaware of any positions for which it is reasonably possible that the total amount of unrecognized tax benefits will significantly increase within the next twelve months. However, based on federal, state and foreign statute expirations in various jurisdictions, we anticipate a decrease in unrecognized tax benefits of approximately $0.1 million within the next twelve months.</w:t>
      </w:r>
    </w:p>
    <w:p>
      <w:pPr>
        <w:spacing w:after="0" w:line="11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have elected to classify interest and penalties as a component of tax expense. Accrued interest and penalties of $0.5 million and $0.1 million on June 30, 2013 and December 31, 2012, respectively, are included in our unrecognized tax benefits.</w:t>
      </w:r>
    </w:p>
    <w:p>
      <w:pPr>
        <w:spacing w:after="0" w:line="13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We file income tax returns in the U.S. federal jurisdiction, and in various state and foreign jurisdictions. On June 30, 2013, the open statutes of limitations in our significant tax jurisdictions were as follows: federal 2009 through 2012, state 2008 through 2012, and non-U.S. 2006 through 2012. On June 30, 2013, of our gross unrecognized tax benefits of $5.5 million, which included $0.5 million of interest and penalties, $3.6 million are classified as current and $1.9 million are classified as long term.</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Accrued Compensation</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accrued compensation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16"/>
                <w:szCs w:val="16"/>
                <w:color w:val="auto"/>
              </w:rPr>
            </w:pPr>
          </w:p>
        </w:tc>
        <w:tc>
          <w:tcPr>
            <w:tcW w:w="1580" w:type="dxa"/>
            <w:vAlign w:val="bottom"/>
          </w:tcPr>
          <w:p>
            <w:pPr>
              <w:jc w:val="right"/>
              <w:ind w:right="232"/>
              <w:spacing w:after="0"/>
              <w:rPr>
                <w:sz w:val="20"/>
                <w:szCs w:val="20"/>
                <w:color w:val="auto"/>
              </w:rPr>
            </w:pPr>
            <w:r>
              <w:rPr>
                <w:rFonts w:ascii="Arial" w:cs="Arial" w:eastAsia="Arial" w:hAnsi="Arial"/>
                <w:sz w:val="14"/>
                <w:szCs w:val="14"/>
                <w:b w:val="1"/>
                <w:bCs w:val="1"/>
                <w:color w:val="auto"/>
                <w:w w:val="98"/>
              </w:rPr>
              <w:t>December 31, 2012</w:t>
            </w:r>
          </w:p>
        </w:tc>
      </w:tr>
      <w:tr>
        <w:trPr>
          <w:trHeight w:val="270"/>
        </w:trPr>
        <w:tc>
          <w:tcPr>
            <w:tcW w:w="7620" w:type="dxa"/>
            <w:vAlign w:val="bottom"/>
            <w:tcBorders>
              <w:top w:val="single" w:sz="8" w:color="CCEEFF"/>
            </w:tcBorders>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Accrued social insurance </w:t>
            </w:r>
            <w:r>
              <w:rPr>
                <w:rFonts w:ascii="Arial" w:cs="Arial" w:eastAsia="Arial" w:hAnsi="Arial"/>
                <w:sz w:val="25"/>
                <w:szCs w:val="25"/>
                <w:color w:val="auto"/>
                <w:vertAlign w:val="superscript"/>
              </w:rPr>
              <w:t>(1)</w:t>
            </w: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20,135</w:t>
            </w:r>
          </w:p>
        </w:tc>
        <w:tc>
          <w:tcPr>
            <w:tcW w:w="120" w:type="dxa"/>
            <w:vAlign w:val="bottom"/>
            <w:tcBorders>
              <w:top w:val="single" w:sz="8" w:color="CCEEFF"/>
            </w:tcBorders>
            <w:shd w:val="clear" w:color="auto" w:fill="CCEEFF"/>
          </w:tcPr>
          <w:p>
            <w:pPr>
              <w:spacing w:after="0"/>
              <w:rPr>
                <w:sz w:val="23"/>
                <w:szCs w:val="23"/>
                <w:color w:val="auto"/>
              </w:rPr>
            </w:pPr>
          </w:p>
        </w:tc>
        <w:tc>
          <w:tcPr>
            <w:tcW w:w="22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19,842</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Accrued salary/wages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5,393</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4,862</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vacation/holiday</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2,202</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2,048</w:t>
            </w:r>
          </w:p>
        </w:tc>
      </w:tr>
      <w:tr>
        <w:trPr>
          <w:trHeight w:val="270"/>
        </w:trPr>
        <w:tc>
          <w:tcPr>
            <w:tcW w:w="762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Accrued bonus </w:t>
            </w:r>
            <w:r>
              <w:rPr>
                <w:rFonts w:ascii="Arial" w:cs="Arial" w:eastAsia="Arial" w:hAnsi="Arial"/>
                <w:sz w:val="25"/>
                <w:szCs w:val="25"/>
                <w:color w:val="auto"/>
                <w:vertAlign w:val="superscript"/>
              </w:rPr>
              <w:t>(2)</w:t>
            </w:r>
          </w:p>
        </w:tc>
        <w:tc>
          <w:tcPr>
            <w:tcW w:w="320" w:type="dxa"/>
            <w:vAlign w:val="bottom"/>
          </w:tcPr>
          <w:p>
            <w:pPr>
              <w:spacing w:after="0"/>
              <w:rPr>
                <w:sz w:val="23"/>
                <w:szCs w:val="23"/>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3,076</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4,181</w:t>
            </w: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commission</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470</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478</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Accrued medical insurance claims</w:t>
            </w:r>
          </w:p>
        </w:tc>
        <w:tc>
          <w:tcPr>
            <w:tcW w:w="320" w:type="dxa"/>
            <w:vAlign w:val="bottom"/>
          </w:tcPr>
          <w:p>
            <w:pPr>
              <w:spacing w:after="0"/>
              <w:rPr>
                <w:sz w:val="21"/>
                <w:szCs w:val="21"/>
                <w:color w:val="auto"/>
              </w:rPr>
            </w:pPr>
          </w:p>
        </w:tc>
        <w:tc>
          <w:tcPr>
            <w:tcW w:w="1500" w:type="dxa"/>
            <w:vAlign w:val="bottom"/>
          </w:tcPr>
          <w:p>
            <w:pPr>
              <w:jc w:val="right"/>
              <w:ind w:right="12"/>
              <w:spacing w:after="0"/>
              <w:rPr>
                <w:sz w:val="20"/>
                <w:szCs w:val="20"/>
                <w:color w:val="auto"/>
              </w:rPr>
            </w:pPr>
            <w:r>
              <w:rPr>
                <w:rFonts w:ascii="Arial" w:cs="Arial" w:eastAsia="Arial" w:hAnsi="Arial"/>
                <w:sz w:val="18"/>
                <w:szCs w:val="18"/>
                <w:color w:val="auto"/>
              </w:rPr>
              <w:t>669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2"/>
              <w:spacing w:after="0"/>
              <w:rPr>
                <w:sz w:val="20"/>
                <w:szCs w:val="20"/>
                <w:color w:val="auto"/>
              </w:rPr>
            </w:pPr>
            <w:r>
              <w:rPr>
                <w:rFonts w:ascii="Arial" w:cs="Arial" w:eastAsia="Arial" w:hAnsi="Arial"/>
                <w:sz w:val="18"/>
                <w:szCs w:val="18"/>
                <w:color w:val="auto"/>
              </w:rPr>
              <w:t>643</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accrued compensation</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1,060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1,344</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Total accrued compensation</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33,005</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33,398</w:t>
            </w:r>
          </w:p>
        </w:tc>
      </w:tr>
      <w:tr>
        <w:trPr>
          <w:trHeight w:val="27"/>
        </w:trPr>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left="660" w:hanging="328"/>
        <w:spacing w:after="0" w:line="235" w:lineRule="auto"/>
        <w:tabs>
          <w:tab w:leader="none" w:pos="660" w:val="left"/>
        </w:tabs>
        <w:numPr>
          <w:ilvl w:val="0"/>
          <w:numId w:val="5"/>
        </w:numPr>
        <w:rPr>
          <w:rFonts w:ascii="Arial" w:cs="Arial" w:eastAsia="Arial" w:hAnsi="Arial"/>
          <w:sz w:val="25"/>
          <w:szCs w:val="25"/>
          <w:color w:val="auto"/>
          <w:vertAlign w:val="superscript"/>
        </w:rPr>
      </w:pPr>
      <w:r>
        <w:rPr>
          <w:rFonts w:ascii="Arial" w:cs="Arial" w:eastAsia="Arial" w:hAnsi="Arial"/>
          <w:sz w:val="18"/>
          <w:szCs w:val="18"/>
          <w:color w:val="auto"/>
        </w:rPr>
        <w:t>Effective January 1, 2008, the Chinese Labor Contract Law was enacted in the PRC. This law mandated that PRC employers remit the applicable social insurance payments to their local government. Social insurance is comprised of various components such as pension, medical insurance, job injury insurance, unemployment insurance, and a housing assistance fund, and is administered in a manner similar to social security in the United States. This amount represents our estimate of the amounts due to the PRC government for social insurance on June 30, 2013 and December 31, 2012.</w:t>
      </w:r>
    </w:p>
    <w:p>
      <w:pPr>
        <w:spacing w:after="0" w:line="96" w:lineRule="exact"/>
        <w:rPr>
          <w:rFonts w:ascii="Arial" w:cs="Arial" w:eastAsia="Arial" w:hAnsi="Arial"/>
          <w:sz w:val="25"/>
          <w:szCs w:val="25"/>
          <w:color w:val="auto"/>
          <w:vertAlign w:val="superscript"/>
        </w:rPr>
      </w:pPr>
    </w:p>
    <w:p>
      <w:pPr>
        <w:jc w:val="both"/>
        <w:ind w:left="660" w:hanging="328"/>
        <w:spacing w:after="0" w:line="220" w:lineRule="auto"/>
        <w:tabs>
          <w:tab w:leader="none" w:pos="660" w:val="left"/>
        </w:tabs>
        <w:numPr>
          <w:ilvl w:val="0"/>
          <w:numId w:val="5"/>
        </w:numPr>
        <w:rPr>
          <w:rFonts w:ascii="Arial" w:cs="Arial" w:eastAsia="Arial" w:hAnsi="Arial"/>
          <w:sz w:val="24"/>
          <w:szCs w:val="24"/>
          <w:color w:val="auto"/>
          <w:vertAlign w:val="superscript"/>
        </w:rPr>
      </w:pPr>
      <w:r>
        <w:rPr>
          <w:rFonts w:ascii="Arial" w:cs="Arial" w:eastAsia="Arial" w:hAnsi="Arial"/>
          <w:sz w:val="17"/>
          <w:szCs w:val="17"/>
          <w:color w:val="auto"/>
        </w:rPr>
        <w:t>Accrued bonus includes an accrual for an extra month of salary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to be paid to employees in certain geographies where it is the customary business practice. This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is paid to these employees if they remain employed with us through December 31st. The total accrued for the 13</w:t>
      </w:r>
      <w:r>
        <w:rPr>
          <w:rFonts w:ascii="Arial" w:cs="Arial" w:eastAsia="Arial" w:hAnsi="Arial"/>
          <w:sz w:val="24"/>
          <w:szCs w:val="24"/>
          <w:color w:val="auto"/>
          <w:vertAlign w:val="superscript"/>
        </w:rPr>
        <w:t>th</w:t>
      </w:r>
      <w:r>
        <w:rPr>
          <w:rFonts w:ascii="Arial" w:cs="Arial" w:eastAsia="Arial" w:hAnsi="Arial"/>
          <w:sz w:val="17"/>
          <w:szCs w:val="17"/>
          <w:color w:val="auto"/>
        </w:rPr>
        <w:t xml:space="preserve"> month salary was $0.4 million and $0.5 million at June 30, 2013 and December 31, 2012, respectively.</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Other Accrued Expenses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other accrued expenses are listed below:</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620" w:type="dxa"/>
            <w:vAlign w:val="bottom"/>
          </w:tcPr>
          <w:p>
            <w:pPr>
              <w:ind w:left="40"/>
              <w:spacing w:after="0"/>
              <w:rPr>
                <w:sz w:val="20"/>
                <w:szCs w:val="20"/>
                <w:color w:val="auto"/>
              </w:rPr>
            </w:pPr>
            <w:r>
              <w:rPr>
                <w:rFonts w:ascii="Arial" w:cs="Arial" w:eastAsia="Arial" w:hAnsi="Arial"/>
                <w:sz w:val="14"/>
                <w:szCs w:val="14"/>
                <w:b w:val="1"/>
                <w:bCs w:val="1"/>
                <w:color w:val="auto"/>
              </w:rPr>
              <w:t>(In thousands)</w:t>
            </w:r>
          </w:p>
        </w:tc>
        <w:tc>
          <w:tcPr>
            <w:tcW w:w="320" w:type="dxa"/>
            <w:vAlign w:val="bottom"/>
          </w:tcPr>
          <w:p>
            <w:pPr>
              <w:spacing w:after="0"/>
              <w:rPr>
                <w:sz w:val="16"/>
                <w:szCs w:val="16"/>
                <w:color w:val="auto"/>
              </w:rPr>
            </w:pPr>
          </w:p>
        </w:tc>
        <w:tc>
          <w:tcPr>
            <w:tcW w:w="1620" w:type="dxa"/>
            <w:vAlign w:val="bottom"/>
            <w:gridSpan w:val="2"/>
          </w:tcPr>
          <w:p>
            <w:pPr>
              <w:ind w:left="180"/>
              <w:spacing w:after="0"/>
              <w:rPr>
                <w:sz w:val="20"/>
                <w:szCs w:val="20"/>
                <w:color w:val="auto"/>
              </w:rPr>
            </w:pPr>
            <w:r>
              <w:rPr>
                <w:rFonts w:ascii="Arial" w:cs="Arial" w:eastAsia="Arial" w:hAnsi="Arial"/>
                <w:sz w:val="14"/>
                <w:szCs w:val="14"/>
                <w:b w:val="1"/>
                <w:bCs w:val="1"/>
                <w:color w:val="auto"/>
              </w:rPr>
              <w:t>June 30, 2013</w:t>
            </w:r>
          </w:p>
        </w:tc>
        <w:tc>
          <w:tcPr>
            <w:tcW w:w="220" w:type="dxa"/>
            <w:vAlign w:val="bottom"/>
          </w:tcPr>
          <w:p>
            <w:pPr>
              <w:spacing w:after="0"/>
              <w:rPr>
                <w:sz w:val="16"/>
                <w:szCs w:val="16"/>
                <w:color w:val="auto"/>
              </w:rPr>
            </w:pPr>
          </w:p>
        </w:tc>
        <w:tc>
          <w:tcPr>
            <w:tcW w:w="1580" w:type="dxa"/>
            <w:vAlign w:val="bottom"/>
          </w:tcPr>
          <w:p>
            <w:pPr>
              <w:jc w:val="right"/>
              <w:ind w:right="231"/>
              <w:spacing w:after="0"/>
              <w:rPr>
                <w:sz w:val="20"/>
                <w:szCs w:val="20"/>
                <w:color w:val="auto"/>
              </w:rPr>
            </w:pPr>
            <w:r>
              <w:rPr>
                <w:rFonts w:ascii="Arial" w:cs="Arial" w:eastAsia="Arial" w:hAnsi="Arial"/>
                <w:sz w:val="14"/>
                <w:szCs w:val="14"/>
                <w:b w:val="1"/>
                <w:bCs w:val="1"/>
                <w:color w:val="auto"/>
                <w:w w:val="98"/>
              </w:rPr>
              <w:t>December 31, 2012</w:t>
            </w:r>
          </w:p>
        </w:tc>
      </w:tr>
      <w:tr>
        <w:trPr>
          <w:trHeight w:val="250"/>
        </w:trPr>
        <w:tc>
          <w:tcPr>
            <w:tcW w:w="7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Advertising and marketing</w:t>
            </w: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478</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Duties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819</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584</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Freight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1,458</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1,666</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Product development</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381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569</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Product warranty claim costs</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279</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Professional fees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806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1,234</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5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Sales taxes and VAT</w:t>
            </w:r>
          </w:p>
        </w:tc>
        <w:tc>
          <w:tcPr>
            <w:tcW w:w="32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671</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1,979</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Third-party commissions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677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337</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Tooling </w:t>
            </w:r>
            <w:r>
              <w:rPr>
                <w:rFonts w:ascii="Arial" w:cs="Arial" w:eastAsia="Arial" w:hAnsi="Arial"/>
                <w:sz w:val="25"/>
                <w:szCs w:val="25"/>
                <w:color w:val="auto"/>
                <w:vertAlign w:val="superscript"/>
              </w:rPr>
              <w:t>(1)</w:t>
            </w:r>
          </w:p>
        </w:tc>
        <w:tc>
          <w:tcPr>
            <w:tcW w:w="320" w:type="dxa"/>
            <w:vAlign w:val="bottom"/>
            <w:shd w:val="clear" w:color="auto" w:fill="CCEEFF"/>
          </w:tcPr>
          <w:p>
            <w:pPr>
              <w:spacing w:after="0"/>
              <w:rPr>
                <w:sz w:val="23"/>
                <w:szCs w:val="23"/>
                <w:color w:val="auto"/>
              </w:rPr>
            </w:pPr>
          </w:p>
        </w:tc>
        <w:tc>
          <w:tcPr>
            <w:tcW w:w="150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638</w:t>
            </w:r>
          </w:p>
        </w:tc>
        <w:tc>
          <w:tcPr>
            <w:tcW w:w="1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221</w:t>
            </w:r>
          </w:p>
        </w:tc>
      </w:tr>
      <w:tr>
        <w:trPr>
          <w:trHeight w:val="243"/>
        </w:trPr>
        <w:tc>
          <w:tcPr>
            <w:tcW w:w="7620" w:type="dxa"/>
            <w:vAlign w:val="bottom"/>
          </w:tcPr>
          <w:p>
            <w:pPr>
              <w:ind w:left="40"/>
              <w:spacing w:after="0"/>
              <w:rPr>
                <w:sz w:val="20"/>
                <w:szCs w:val="20"/>
                <w:color w:val="auto"/>
              </w:rPr>
            </w:pPr>
            <w:r>
              <w:rPr>
                <w:rFonts w:ascii="Arial" w:cs="Arial" w:eastAsia="Arial" w:hAnsi="Arial"/>
                <w:sz w:val="18"/>
                <w:szCs w:val="18"/>
                <w:color w:val="auto"/>
              </w:rPr>
              <w:t>Utilities</w:t>
            </w:r>
          </w:p>
        </w:tc>
        <w:tc>
          <w:tcPr>
            <w:tcW w:w="320" w:type="dxa"/>
            <w:vAlign w:val="bottom"/>
          </w:tcPr>
          <w:p>
            <w:pPr>
              <w:spacing w:after="0"/>
              <w:rPr>
                <w:sz w:val="21"/>
                <w:szCs w:val="21"/>
                <w:color w:val="auto"/>
              </w:rPr>
            </w:pPr>
          </w:p>
        </w:tc>
        <w:tc>
          <w:tcPr>
            <w:tcW w:w="1500" w:type="dxa"/>
            <w:vAlign w:val="bottom"/>
          </w:tcPr>
          <w:p>
            <w:pPr>
              <w:jc w:val="right"/>
              <w:ind w:right="11"/>
              <w:spacing w:after="0"/>
              <w:rPr>
                <w:sz w:val="20"/>
                <w:szCs w:val="20"/>
                <w:color w:val="auto"/>
              </w:rPr>
            </w:pPr>
            <w:r>
              <w:rPr>
                <w:rFonts w:ascii="Arial" w:cs="Arial" w:eastAsia="Arial" w:hAnsi="Arial"/>
                <w:sz w:val="18"/>
                <w:szCs w:val="18"/>
                <w:color w:val="auto"/>
              </w:rPr>
              <w:t>356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580" w:type="dxa"/>
            <w:vAlign w:val="bottom"/>
          </w:tcPr>
          <w:p>
            <w:pPr>
              <w:jc w:val="right"/>
              <w:ind w:right="11"/>
              <w:spacing w:after="0"/>
              <w:rPr>
                <w:sz w:val="20"/>
                <w:szCs w:val="20"/>
                <w:color w:val="auto"/>
              </w:rPr>
            </w:pPr>
            <w:r>
              <w:rPr>
                <w:rFonts w:ascii="Arial" w:cs="Arial" w:eastAsia="Arial" w:hAnsi="Arial"/>
                <w:sz w:val="18"/>
                <w:szCs w:val="18"/>
                <w:color w:val="auto"/>
              </w:rPr>
              <w:t>316</w:t>
            </w:r>
          </w:p>
        </w:tc>
      </w:tr>
      <w:tr>
        <w:trPr>
          <w:trHeight w:val="27"/>
        </w:trPr>
        <w:tc>
          <w:tcPr>
            <w:tcW w:w="76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580" w:type="dxa"/>
            <w:vAlign w:val="bottom"/>
          </w:tcPr>
          <w:p>
            <w:pPr>
              <w:spacing w:after="0"/>
              <w:rPr>
                <w:sz w:val="2"/>
                <w:szCs w:val="2"/>
                <w:color w:val="auto"/>
              </w:rPr>
            </w:pPr>
          </w:p>
        </w:tc>
      </w:tr>
      <w:tr>
        <w:trPr>
          <w:trHeight w:val="270"/>
        </w:trPr>
        <w:tc>
          <w:tcPr>
            <w:tcW w:w="7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3,195</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2,833</w:t>
            </w:r>
          </w:p>
        </w:tc>
      </w:tr>
      <w:tr>
        <w:trPr>
          <w:trHeight w:val="237"/>
        </w:trPr>
        <w:tc>
          <w:tcPr>
            <w:tcW w:w="7620" w:type="dxa"/>
            <w:vAlign w:val="bottom"/>
          </w:tcPr>
          <w:p>
            <w:pPr>
              <w:ind w:left="380"/>
              <w:spacing w:after="0"/>
              <w:rPr>
                <w:sz w:val="20"/>
                <w:szCs w:val="20"/>
                <w:color w:val="auto"/>
              </w:rPr>
            </w:pPr>
            <w:r>
              <w:rPr>
                <w:rFonts w:ascii="Arial" w:cs="Arial" w:eastAsia="Arial" w:hAnsi="Arial"/>
                <w:sz w:val="18"/>
                <w:szCs w:val="18"/>
                <w:color w:val="auto"/>
              </w:rPr>
              <w:t>Total other accrued expenses</w:t>
            </w: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9,758</w:t>
            </w:r>
          </w:p>
        </w:tc>
        <w:tc>
          <w:tcPr>
            <w:tcW w:w="120" w:type="dxa"/>
            <w:vAlign w:val="bottom"/>
            <w:tcBorders>
              <w:top w:val="single" w:sz="8" w:color="auto"/>
            </w:tcBorders>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10,644</w:t>
            </w:r>
          </w:p>
        </w:tc>
      </w:tr>
      <w:tr>
        <w:trPr>
          <w:trHeight w:val="27"/>
        </w:trPr>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r>
      <w:tr>
        <w:trPr>
          <w:trHeight w:val="20"/>
        </w:trPr>
        <w:tc>
          <w:tcPr>
            <w:tcW w:w="76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3740" w:hanging="5288"/>
        <w:spacing w:after="0" w:line="716" w:lineRule="auto"/>
        <w:tabs>
          <w:tab w:leader="none" w:pos="652"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The tooling accrual balance relates to unearned revenue for tooling that will be sold to customers. 14</w:t>
      </w:r>
    </w:p>
    <w:p>
      <w:pPr>
        <w:sectPr>
          <w:pgSz w:w="11900" w:h="16838" w:orient="portrait"/>
          <w:cols w:equalWidth="0" w:num="1">
            <w:col w:w="11420"/>
          </w:cols>
          <w:pgMar w:left="240" w:top="118" w:right="239" w:bottom="1440" w:gutter="0" w:footer="0" w:header="0"/>
        </w:sectPr>
      </w:pPr>
    </w:p>
    <w:bookmarkStart w:id="14" w:name="page15"/>
    <w:bookmarkEnd w:id="1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Warranties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reserve for product warranty claim costs were as follows:</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Accruals</w:t>
            </w:r>
          </w:p>
        </w:tc>
        <w:tc>
          <w:tcPr>
            <w:tcW w:w="200" w:type="dxa"/>
            <w:vAlign w:val="bottom"/>
          </w:tcPr>
          <w:p>
            <w:pPr>
              <w:spacing w:after="0"/>
              <w:rPr>
                <w:sz w:val="14"/>
                <w:szCs w:val="14"/>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0"/>
              </w:rPr>
              <w:t>Settlements</w:t>
            </w:r>
          </w:p>
        </w:tc>
        <w:tc>
          <w:tcPr>
            <w:tcW w:w="2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for</w:t>
            </w:r>
          </w:p>
        </w:tc>
        <w:tc>
          <w:tcPr>
            <w:tcW w:w="20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5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vMerge w:val="restart"/>
          </w:tcPr>
          <w:p>
            <w:pPr>
              <w:jc w:val="center"/>
              <w:ind w:right="320"/>
              <w:spacing w:after="0"/>
              <w:rPr>
                <w:sz w:val="20"/>
                <w:szCs w:val="20"/>
                <w:color w:val="auto"/>
              </w:rPr>
            </w:pPr>
            <w:r>
              <w:rPr>
                <w:rFonts w:ascii="Arial" w:cs="Arial" w:eastAsia="Arial" w:hAnsi="Arial"/>
                <w:sz w:val="14"/>
                <w:szCs w:val="14"/>
                <w:b w:val="1"/>
                <w:bCs w:val="1"/>
                <w:color w:val="auto"/>
                <w:w w:val="91"/>
              </w:rPr>
              <w:t>Balance at</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6"/>
              </w:rPr>
              <w:t>Warranties</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2"/>
              </w:rPr>
              <w:t>(in Cash or</w:t>
            </w:r>
          </w:p>
        </w:tc>
        <w:tc>
          <w:tcPr>
            <w:tcW w:w="220" w:type="dxa"/>
            <w:vAlign w:val="bottom"/>
          </w:tcPr>
          <w:p>
            <w:pPr>
              <w:spacing w:after="0"/>
              <w:rPr>
                <w:sz w:val="12"/>
                <w:szCs w:val="12"/>
                <w:color w:val="auto"/>
              </w:rPr>
            </w:pPr>
          </w:p>
        </w:tc>
        <w:tc>
          <w:tcPr>
            <w:tcW w:w="1020" w:type="dxa"/>
            <w:vAlign w:val="bottom"/>
            <w:vMerge w:val="restart"/>
          </w:tcPr>
          <w:p>
            <w:pPr>
              <w:jc w:val="center"/>
              <w:ind w:right="161"/>
              <w:spacing w:after="0"/>
              <w:rPr>
                <w:sz w:val="20"/>
                <w:szCs w:val="20"/>
                <w:color w:val="auto"/>
              </w:rPr>
            </w:pPr>
            <w:r>
              <w:rPr>
                <w:rFonts w:ascii="Arial" w:cs="Arial" w:eastAsia="Arial" w:hAnsi="Arial"/>
                <w:sz w:val="14"/>
                <w:szCs w:val="14"/>
                <w:b w:val="1"/>
                <w:bCs w:val="1"/>
                <w:color w:val="auto"/>
                <w:w w:val="93"/>
              </w:rPr>
              <w:t>Balance</w:t>
            </w:r>
          </w:p>
        </w:tc>
        <w:tc>
          <w:tcPr>
            <w:tcW w:w="0" w:type="dxa"/>
            <w:vAlign w:val="bottom"/>
          </w:tcPr>
          <w:p>
            <w:pPr>
              <w:spacing w:after="0"/>
              <w:rPr>
                <w:sz w:val="1"/>
                <w:szCs w:val="1"/>
                <w:color w:val="auto"/>
              </w:rPr>
            </w:pPr>
          </w:p>
        </w:tc>
      </w:tr>
      <w:tr>
        <w:trPr>
          <w:trHeight w:val="149"/>
        </w:trPr>
        <w:tc>
          <w:tcPr>
            <w:tcW w:w="6060" w:type="dxa"/>
            <w:vAlign w:val="bottom"/>
            <w:gridSpan w:val="2"/>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220" w:type="dxa"/>
            <w:vAlign w:val="bottom"/>
          </w:tcPr>
          <w:p>
            <w:pPr>
              <w:spacing w:after="0"/>
              <w:rPr>
                <w:sz w:val="12"/>
                <w:szCs w:val="12"/>
                <w:color w:val="auto"/>
              </w:rPr>
            </w:pPr>
          </w:p>
        </w:tc>
        <w:tc>
          <w:tcPr>
            <w:tcW w:w="116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Issued</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9"/>
              </w:rPr>
              <w:t>in Kind)</w:t>
            </w:r>
          </w:p>
        </w:tc>
        <w:tc>
          <w:tcPr>
            <w:tcW w:w="220" w:type="dxa"/>
            <w:vAlign w:val="bottom"/>
          </w:tcPr>
          <w:p>
            <w:pPr>
              <w:spacing w:after="0"/>
              <w:rPr>
                <w:sz w:val="12"/>
                <w:szCs w:val="12"/>
                <w:color w:val="auto"/>
              </w:rPr>
            </w:pPr>
          </w:p>
        </w:tc>
        <w:tc>
          <w:tcPr>
            <w:tcW w:w="10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6060" w:type="dxa"/>
            <w:vAlign w:val="bottom"/>
            <w:gridSpan w:val="2"/>
            <w:vMerge w:val="continue"/>
          </w:tcPr>
          <w:p>
            <w:pPr>
              <w:spacing w:after="0"/>
              <w:rPr>
                <w:sz w:val="12"/>
                <w:szCs w:val="12"/>
                <w:color w:val="auto"/>
              </w:rPr>
            </w:pPr>
          </w:p>
        </w:tc>
        <w:tc>
          <w:tcPr>
            <w:tcW w:w="22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3"/>
              </w:rPr>
              <w:t>Beginning</w:t>
            </w:r>
          </w:p>
        </w:tc>
        <w:tc>
          <w:tcPr>
            <w:tcW w:w="200" w:type="dxa"/>
            <w:vAlign w:val="bottom"/>
          </w:tcPr>
          <w:p>
            <w:pPr>
              <w:spacing w:after="0"/>
              <w:rPr>
                <w:sz w:val="12"/>
                <w:szCs w:val="12"/>
                <w:color w:val="auto"/>
              </w:rPr>
            </w:pPr>
          </w:p>
        </w:tc>
        <w:tc>
          <w:tcPr>
            <w:tcW w:w="116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4"/>
              </w:rPr>
              <w:t>During the</w:t>
            </w:r>
          </w:p>
        </w:tc>
        <w:tc>
          <w:tcPr>
            <w:tcW w:w="200" w:type="dxa"/>
            <w:vAlign w:val="bottom"/>
          </w:tcPr>
          <w:p>
            <w:pPr>
              <w:spacing w:after="0"/>
              <w:rPr>
                <w:sz w:val="12"/>
                <w:szCs w:val="12"/>
                <w:color w:val="auto"/>
              </w:rPr>
            </w:pPr>
          </w:p>
        </w:tc>
        <w:tc>
          <w:tcPr>
            <w:tcW w:w="1160" w:type="dxa"/>
            <w:vAlign w:val="bottom"/>
            <w:gridSpan w:val="2"/>
          </w:tcPr>
          <w:p>
            <w:pPr>
              <w:jc w:val="center"/>
              <w:ind w:right="320"/>
              <w:spacing w:after="0" w:line="149" w:lineRule="exact"/>
              <w:rPr>
                <w:sz w:val="20"/>
                <w:szCs w:val="20"/>
                <w:color w:val="auto"/>
              </w:rPr>
            </w:pPr>
            <w:r>
              <w:rPr>
                <w:rFonts w:ascii="Arial" w:cs="Arial" w:eastAsia="Arial" w:hAnsi="Arial"/>
                <w:sz w:val="14"/>
                <w:szCs w:val="14"/>
                <w:b w:val="1"/>
                <w:bCs w:val="1"/>
                <w:color w:val="auto"/>
                <w:w w:val="97"/>
              </w:rPr>
              <w:t>During the</w:t>
            </w:r>
          </w:p>
        </w:tc>
        <w:tc>
          <w:tcPr>
            <w:tcW w:w="220" w:type="dxa"/>
            <w:vAlign w:val="bottom"/>
          </w:tcPr>
          <w:p>
            <w:pPr>
              <w:spacing w:after="0"/>
              <w:rPr>
                <w:sz w:val="12"/>
                <w:szCs w:val="12"/>
                <w:color w:val="auto"/>
              </w:rPr>
            </w:pPr>
          </w:p>
        </w:tc>
        <w:tc>
          <w:tcPr>
            <w:tcW w:w="1020" w:type="dxa"/>
            <w:vAlign w:val="bottom"/>
          </w:tcPr>
          <w:p>
            <w:pPr>
              <w:jc w:val="center"/>
              <w:ind w:right="161"/>
              <w:spacing w:after="0" w:line="149" w:lineRule="exact"/>
              <w:rPr>
                <w:sz w:val="20"/>
                <w:szCs w:val="20"/>
                <w:color w:val="auto"/>
              </w:rPr>
            </w:pPr>
            <w:r>
              <w:rPr>
                <w:rFonts w:ascii="Arial" w:cs="Arial" w:eastAsia="Arial" w:hAnsi="Arial"/>
                <w:sz w:val="14"/>
                <w:szCs w:val="14"/>
                <w:b w:val="1"/>
                <w:bCs w:val="1"/>
                <w:color w:val="auto"/>
                <w:w w:val="98"/>
              </w:rPr>
              <w:t>at End</w:t>
            </w:r>
          </w:p>
        </w:tc>
        <w:tc>
          <w:tcPr>
            <w:tcW w:w="0" w:type="dxa"/>
            <w:vAlign w:val="bottom"/>
          </w:tcPr>
          <w:p>
            <w:pPr>
              <w:spacing w:after="0"/>
              <w:rPr>
                <w:sz w:val="1"/>
                <w:szCs w:val="1"/>
                <w:color w:val="auto"/>
              </w:rPr>
            </w:pPr>
          </w:p>
        </w:tc>
      </w:tr>
      <w:tr>
        <w:trPr>
          <w:trHeight w:val="192"/>
        </w:trPr>
        <w:tc>
          <w:tcPr>
            <w:tcW w:w="59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Description</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of 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center"/>
              <w:ind w:right="124"/>
              <w:spacing w:after="0"/>
              <w:rPr>
                <w:sz w:val="20"/>
                <w:szCs w:val="20"/>
                <w:color w:val="auto"/>
              </w:rPr>
            </w:pPr>
            <w:r>
              <w:rPr>
                <w:rFonts w:ascii="Arial" w:cs="Arial" w:eastAsia="Arial" w:hAnsi="Arial"/>
                <w:sz w:val="14"/>
                <w:szCs w:val="14"/>
                <w:b w:val="1"/>
                <w:bCs w:val="1"/>
                <w:color w:val="auto"/>
                <w:w w:val="96"/>
              </w:rPr>
              <w:t>Period</w:t>
            </w:r>
          </w:p>
        </w:tc>
        <w:tc>
          <w:tcPr>
            <w:tcW w:w="10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123"/>
              <w:spacing w:after="0"/>
              <w:rPr>
                <w:sz w:val="20"/>
                <w:szCs w:val="20"/>
                <w:color w:val="auto"/>
              </w:rPr>
            </w:pPr>
            <w:r>
              <w:rPr>
                <w:rFonts w:ascii="Arial" w:cs="Arial" w:eastAsia="Arial" w:hAnsi="Arial"/>
                <w:sz w:val="14"/>
                <w:szCs w:val="14"/>
                <w:b w:val="1"/>
                <w:bCs w:val="1"/>
                <w:color w:val="auto"/>
                <w:w w:val="91"/>
              </w:rPr>
              <w:t>Period</w:t>
            </w:r>
          </w:p>
        </w:tc>
        <w:tc>
          <w:tcPr>
            <w:tcW w:w="120" w:type="dxa"/>
            <w:vAlign w:val="bottom"/>
            <w:tcBorders>
              <w:bottom w:val="single" w:sz="8" w:color="CCEEFF"/>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center"/>
              <w:ind w:right="141"/>
              <w:spacing w:after="0"/>
              <w:rPr>
                <w:sz w:val="20"/>
                <w:szCs w:val="20"/>
                <w:color w:val="auto"/>
              </w:rPr>
            </w:pPr>
            <w:r>
              <w:rPr>
                <w:rFonts w:ascii="Arial" w:cs="Arial" w:eastAsia="Arial" w:hAnsi="Arial"/>
                <w:sz w:val="14"/>
                <w:szCs w:val="14"/>
                <w:b w:val="1"/>
                <w:bCs w:val="1"/>
                <w:color w:val="auto"/>
                <w:w w:val="92"/>
              </w:rPr>
              <w:t>of Period</w:t>
            </w:r>
          </w:p>
        </w:tc>
        <w:tc>
          <w:tcPr>
            <w:tcW w:w="0" w:type="dxa"/>
            <w:vAlign w:val="bottom"/>
          </w:tcPr>
          <w:p>
            <w:pPr>
              <w:spacing w:after="0"/>
              <w:rPr>
                <w:sz w:val="1"/>
                <w:szCs w:val="1"/>
                <w:color w:val="auto"/>
              </w:rPr>
            </w:pPr>
          </w:p>
        </w:tc>
      </w:tr>
      <w:tr>
        <w:trPr>
          <w:trHeight w:val="250"/>
        </w:trPr>
        <w:tc>
          <w:tcPr>
            <w:tcW w:w="606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8"/>
                <w:szCs w:val="18"/>
                <w:color w:val="auto"/>
              </w:rPr>
              <w:t>Reserve for product warranty claim costs:</w:t>
            </w: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6060" w:type="dxa"/>
            <w:vAlign w:val="bottom"/>
            <w:gridSpan w:val="2"/>
          </w:tcPr>
          <w:p>
            <w:pPr>
              <w:ind w:left="280"/>
              <w:spacing w:after="0"/>
              <w:rPr>
                <w:sz w:val="20"/>
                <w:szCs w:val="20"/>
                <w:color w:val="auto"/>
              </w:rPr>
            </w:pPr>
            <w:r>
              <w:rPr>
                <w:rFonts w:ascii="Arial" w:cs="Arial" w:eastAsia="Arial" w:hAnsi="Arial"/>
                <w:sz w:val="18"/>
                <w:szCs w:val="18"/>
                <w:color w:val="auto"/>
              </w:rPr>
              <w:t>Six months ended June 30, 2013</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41"/>
              <w:spacing w:after="0"/>
              <w:rPr>
                <w:sz w:val="20"/>
                <w:szCs w:val="20"/>
                <w:color w:val="auto"/>
              </w:rPr>
            </w:pPr>
            <w:r>
              <w:rPr>
                <w:rFonts w:ascii="Arial" w:cs="Arial" w:eastAsia="Arial" w:hAnsi="Arial"/>
                <w:sz w:val="18"/>
                <w:szCs w:val="18"/>
                <w:color w:val="auto"/>
              </w:rPr>
              <w:t>404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44"/>
              <w:spacing w:after="0"/>
              <w:rPr>
                <w:sz w:val="20"/>
                <w:szCs w:val="20"/>
                <w:color w:val="auto"/>
              </w:rPr>
            </w:pPr>
            <w:r>
              <w:rPr>
                <w:rFonts w:ascii="Arial" w:cs="Arial" w:eastAsia="Arial" w:hAnsi="Arial"/>
                <w:sz w:val="18"/>
                <w:szCs w:val="18"/>
                <w:color w:val="auto"/>
              </w:rPr>
              <w:t>375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41"/>
              <w:spacing w:after="0"/>
              <w:rPr>
                <w:sz w:val="20"/>
                <w:szCs w:val="20"/>
                <w:color w:val="auto"/>
              </w:rPr>
            </w:pPr>
            <w:r>
              <w:rPr>
                <w:rFonts w:ascii="Arial" w:cs="Arial" w:eastAsia="Arial" w:hAnsi="Arial"/>
                <w:sz w:val="18"/>
                <w:szCs w:val="18"/>
                <w:color w:val="auto"/>
              </w:rPr>
              <w:t>279</w:t>
            </w:r>
          </w:p>
        </w:tc>
        <w:tc>
          <w:tcPr>
            <w:tcW w:w="0" w:type="dxa"/>
            <w:vAlign w:val="bottom"/>
          </w:tcPr>
          <w:p>
            <w:pPr>
              <w:spacing w:after="0"/>
              <w:rPr>
                <w:sz w:val="1"/>
                <w:szCs w:val="1"/>
                <w:color w:val="auto"/>
              </w:rPr>
            </w:pPr>
          </w:p>
        </w:tc>
      </w:tr>
      <w:tr>
        <w:trPr>
          <w:trHeight w:val="27"/>
        </w:trPr>
        <w:tc>
          <w:tcPr>
            <w:tcW w:w="5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606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rPr>
              <w:t>Six months ended June 30, 2012</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ind w:right="41"/>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
        </w:trPr>
        <w:tc>
          <w:tcPr>
            <w:tcW w:w="59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Litigation</w:t>
      </w:r>
    </w:p>
    <w:p>
      <w:pPr>
        <w:spacing w:after="0" w:line="171"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On March 2, 2012, we filed a lawsuit against Universal Remote Control, Inc. ("URC") in the United States District Court, Central District of California (Universal Electronics Inc. v. Universal Remote Control, Inc., SACV12-0039 AG (JPRx)) alleging that URC is infringing, directly and indirectly, four of our patents related to remote control technology. We have alleged that this complaint relates to multiple URC remote control products, including the URC model numbers UR5U-9000L, WR7 and other remote controls with different model names or numbers, but with substantially the same designs, features, and functionalities. We are seeking monetary relief for the infringement, including enhanced damages due to the willfulness of URC's actions, injunctive relief to enjoin URC from further infringing, including contributory infringement and/or inducing infringement, and attorney's fees. URC has denied infringing our patents. On January 29, 2013, the Court held its "Markman" hearing and on February 1, 2013, the Court issued its ruling that four of the 24 claims we have asserted against URC were invalid, effectively removing one of the four patents alleged by us to be infringed by URC from this litigation. We are presently determining whether or not to appeal this decision, but in our estimation this ruling does not materially affect our position in this litigation. In all other respects, this litigation is continuing as scheduled with discovery continuing.</w:t>
      </w:r>
    </w:p>
    <w:p>
      <w:pPr>
        <w:spacing w:after="0" w:line="12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June 28, 2013, we filed a second lawsuit against URC, also in the United States District Court, Central District of California (Universal Electronics Inc. v. Universal Remote Control, Inc., SACV13-00987 JAK (SHx)). In this second lawsuit, we are alleging that URC is infringing, directly and indirectly, nine additional patents that we own related to remote control technology. As in the first lawsuit, in this second lawsuit we have alleged that this complaint relates to multiple URC remote control products. We are seeking monetary relief for infringement, including enhanced damages due to the willfulness of URC's actions, injunctive relief to enjoin URC from further infringing, including contributory infringement and/or inducing infringement, and attorney's fees. URC has not yet responded to this complaint.</w:t>
      </w:r>
    </w:p>
    <w:p>
      <w:pPr>
        <w:spacing w:after="0" w:line="139"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There are no other material pending legal proceedings to which we or any of our subsidiaries is a party or of which our respective property is the subject. However, as is typical in our industry and to the nature and kind of business in which we are engaged, from time to time, various claims, charges and litigation are asserted or commenced by third parties against us or by us against third parties arising from or related to product liability, infringement of patent or other intellectual property rights, breach of warranty, contractual relations, or employee relations. The amounts claimed may be substantial but may not bear any reasonable relationship to the merits of the claims or the extent of any real risk of court awards assessed against us or in our favor. However, no assurances can be made as to the outcome of any of these matters, nor can we estimate the range of potential losses to us. In our opinion, final judgments, if any, which might be rendered against us in potential or pending litigation would not have a material adverse effect on our financial condition, results of operations, or cash flows. Moreover, we believe that our products do not infringe any third parties' patents or other intellectual property rights.</w:t>
      </w:r>
    </w:p>
    <w:p>
      <w:pPr>
        <w:spacing w:after="0" w:line="11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maintain directors' and officers' liability insurance which insures our individual directors and officers against certain claims, as well as attorney's fees and related expenses incurred in connection with the defense of such claims.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Defined Benefit Plan</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Our subsidiary in India maintains a defined benefit pension plan ("India Plan") for local employees, which is consistent with local statutes and practices. The pension plan was adequately funded on June 30, 2013 and December 31, 2012 based on its latest actuarial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18" w:right="239" w:bottom="1440" w:gutter="0" w:footer="0" w:header="0"/>
        </w:sectPr>
      </w:pPr>
    </w:p>
    <w:bookmarkStart w:id="15" w:name="page16"/>
    <w:bookmarkEnd w:id="1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report. The India Plan has an independent external manager that advises us of the appropriate funding contribution requirements to which we comply. At June 30, 2013, approximately 38 percent of our India subsidiary employees had qualified for eligibility. An individual must be employed by our India subsidiary for a minimum of 5 years before becoming eligible. Upon the termination, resignation or retirement of an eligible employee, we are liable to pay the employee an amount equal to 15 days salary for each full year of service completed. The total amount of liability outstanding at June 30, 2013 and December 31, 2012 for the India Plan was not material. During the six months ended June 30, 2013 and 2012, the net periodic benefit costs were also not material.</w:t>
      </w:r>
    </w:p>
    <w:p>
      <w:pPr>
        <w:spacing w:after="0" w:line="21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Treasury Stock</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Repurchased shares of our common stock were as follows:</w:t>
      </w:r>
    </w:p>
    <w:p>
      <w:pPr>
        <w:spacing w:after="0" w:line="31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7180" w:type="dxa"/>
            <w:vAlign w:val="bottom"/>
          </w:tcPr>
          <w:p>
            <w:pPr>
              <w:spacing w:after="0"/>
              <w:rPr>
                <w:sz w:val="16"/>
                <w:szCs w:val="16"/>
                <w:color w:val="auto"/>
              </w:rPr>
            </w:pPr>
          </w:p>
        </w:tc>
        <w:tc>
          <w:tcPr>
            <w:tcW w:w="50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Six Months Ended June 30,</w:t>
            </w:r>
          </w:p>
        </w:tc>
        <w:tc>
          <w:tcPr>
            <w:tcW w:w="1200" w:type="dxa"/>
            <w:vAlign w:val="bottom"/>
            <w:tcBorders>
              <w:bottom w:val="single" w:sz="8" w:color="auto"/>
            </w:tcBorders>
          </w:tcPr>
          <w:p>
            <w:pPr>
              <w:spacing w:after="0"/>
              <w:rPr>
                <w:sz w:val="16"/>
                <w:szCs w:val="16"/>
                <w:color w:val="auto"/>
              </w:rPr>
            </w:pPr>
          </w:p>
        </w:tc>
      </w:tr>
      <w:tr>
        <w:trPr>
          <w:trHeight w:val="264"/>
        </w:trPr>
        <w:tc>
          <w:tcPr>
            <w:tcW w:w="718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(In thousands, except share data)</w:t>
            </w:r>
          </w:p>
        </w:tc>
        <w:tc>
          <w:tcPr>
            <w:tcW w:w="500" w:type="dxa"/>
            <w:vAlign w:val="bottom"/>
            <w:tcBorders>
              <w:bottom w:val="single" w:sz="8" w:color="auto"/>
            </w:tcBorders>
          </w:tcPr>
          <w:p>
            <w:pPr>
              <w:spacing w:after="0"/>
              <w:rPr>
                <w:sz w:val="22"/>
                <w:szCs w:val="22"/>
                <w:color w:val="auto"/>
              </w:rPr>
            </w:pPr>
          </w:p>
        </w:tc>
        <w:tc>
          <w:tcPr>
            <w:tcW w:w="1560" w:type="dxa"/>
            <w:vAlign w:val="bottom"/>
            <w:tcBorders>
              <w:bottom w:val="single" w:sz="8" w:color="auto"/>
            </w:tcBorders>
          </w:tcPr>
          <w:p>
            <w:pPr>
              <w:jc w:val="right"/>
              <w:ind w:right="79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8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776"/>
              <w:spacing w:after="0"/>
              <w:rPr>
                <w:sz w:val="20"/>
                <w:szCs w:val="20"/>
                <w:color w:val="auto"/>
              </w:rPr>
            </w:pPr>
            <w:r>
              <w:rPr>
                <w:rFonts w:ascii="Arial" w:cs="Arial" w:eastAsia="Arial" w:hAnsi="Arial"/>
                <w:sz w:val="14"/>
                <w:szCs w:val="14"/>
                <w:b w:val="1"/>
                <w:bCs w:val="1"/>
                <w:color w:val="auto"/>
              </w:rPr>
              <w:t>2012</w:t>
            </w: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repurchased</w:t>
            </w:r>
          </w:p>
        </w:tc>
        <w:tc>
          <w:tcPr>
            <w:tcW w:w="50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117,666</w:t>
            </w:r>
          </w:p>
        </w:tc>
        <w:tc>
          <w:tcPr>
            <w:tcW w:w="1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27,980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Cost of shares repurchased</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560" w:type="dxa"/>
            <w:vAlign w:val="bottom"/>
          </w:tcPr>
          <w:p>
            <w:pPr>
              <w:jc w:val="right"/>
              <w:ind w:right="19"/>
              <w:spacing w:after="0"/>
              <w:rPr>
                <w:sz w:val="20"/>
                <w:szCs w:val="20"/>
                <w:color w:val="auto"/>
              </w:rPr>
            </w:pPr>
            <w:r>
              <w:rPr>
                <w:rFonts w:ascii="Arial" w:cs="Arial" w:eastAsia="Arial" w:hAnsi="Arial"/>
                <w:sz w:val="18"/>
                <w:szCs w:val="18"/>
                <w:color w:val="auto"/>
              </w:rPr>
              <w:t>2,435</w:t>
            </w:r>
          </w:p>
        </w:tc>
        <w:tc>
          <w:tcPr>
            <w:tcW w:w="100" w:type="dxa"/>
            <w:vAlign w:val="bottom"/>
          </w:tcPr>
          <w:p>
            <w:pPr>
              <w:spacing w:after="0"/>
              <w:rPr>
                <w:sz w:val="21"/>
                <w:szCs w:val="21"/>
                <w:color w:val="auto"/>
              </w:rPr>
            </w:pPr>
          </w:p>
        </w:tc>
        <w:tc>
          <w:tcPr>
            <w:tcW w:w="840" w:type="dxa"/>
            <w:vAlign w:val="bottom"/>
          </w:tcPr>
          <w:p>
            <w:pPr>
              <w:jc w:val="right"/>
              <w:ind w:right="63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486</w:t>
            </w:r>
          </w:p>
        </w:tc>
      </w:tr>
    </w:tbl>
    <w:p>
      <w:pPr>
        <w:spacing w:after="0" w:line="17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Repurchased shares are recorded as shares held in treasury at cost. We hold these shares for future use as management and the Board of Directors deem appropriate, which has included compensating our outside directors. During the six months ended June 30, 2013 and 2012, we issued 15,000 and 22,500 shares from treasury, respectively, to outside directors for services performed (see Note 13).</w:t>
      </w:r>
    </w:p>
    <w:p>
      <w:pPr>
        <w:spacing w:after="0" w:line="12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June 30, 2013, we had 968,905 shares available for repurchase under the Board's authorizations.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Business Segment and Foreign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Reportable Segment</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An operating segment, in part, is a component of an enterprise whose operating results are regularly reviewed by the chief operating decision maker to make decisions about resources to be allocated to the segment and assess its performance. Operating segments may be aggregated only to a limited extent. Our chief operating decision maker, the Chief Executive Officer, reviews financial information presented on a consolidated basis, accompanied by disaggregated information about revenues for purposes of making operating decisions and assessing financial performance. Accordingly, we only have a single operating and reportable segment.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Operations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Our net sales to external customers by geographic area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660" w:type="dxa"/>
            <w:vAlign w:val="bottom"/>
            <w:gridSpan w:val="5"/>
          </w:tcPr>
          <w:p>
            <w:pPr>
              <w:ind w:left="20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300" w:type="dxa"/>
            <w:vAlign w:val="bottom"/>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47,979</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40,129</w:t>
            </w:r>
          </w:p>
        </w:tc>
        <w:tc>
          <w:tcPr>
            <w:tcW w:w="100" w:type="dxa"/>
            <w:vAlign w:val="bottom"/>
          </w:tcPr>
          <w:p>
            <w:pPr>
              <w:spacing w:after="0"/>
              <w:rPr>
                <w:sz w:val="21"/>
                <w:szCs w:val="21"/>
                <w:color w:val="auto"/>
              </w:rPr>
            </w:pP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92,747</w:t>
            </w:r>
          </w:p>
        </w:tc>
        <w:tc>
          <w:tcPr>
            <w:tcW w:w="12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74,349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Asia (excluding PRC)</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29,575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32,857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51,735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61,519</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People's Republic of China</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24,803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19,287</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41,624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34,709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5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Europe</w:t>
            </w:r>
          </w:p>
        </w:tc>
        <w:tc>
          <w:tcPr>
            <w:tcW w:w="3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17,992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14,982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33,521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28,134</w:t>
            </w:r>
          </w:p>
        </w:tc>
      </w:tr>
      <w:tr>
        <w:trPr>
          <w:trHeight w:val="243"/>
        </w:trPr>
        <w:tc>
          <w:tcPr>
            <w:tcW w:w="5620" w:type="dxa"/>
            <w:vAlign w:val="bottom"/>
          </w:tcPr>
          <w:p>
            <w:pPr>
              <w:ind w:left="380"/>
              <w:spacing w:after="0"/>
              <w:rPr>
                <w:sz w:val="20"/>
                <w:szCs w:val="20"/>
                <w:color w:val="auto"/>
              </w:rPr>
            </w:pPr>
            <w:r>
              <w:rPr>
                <w:rFonts w:ascii="Arial" w:cs="Arial" w:eastAsia="Arial" w:hAnsi="Arial"/>
                <w:sz w:val="18"/>
                <w:szCs w:val="18"/>
                <w:color w:val="auto"/>
              </w:rPr>
              <w:t>Latin America</w:t>
            </w:r>
          </w:p>
        </w:tc>
        <w:tc>
          <w:tcPr>
            <w:tcW w:w="30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8,887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32"/>
              <w:spacing w:after="0"/>
              <w:rPr>
                <w:sz w:val="20"/>
                <w:szCs w:val="20"/>
                <w:color w:val="auto"/>
              </w:rPr>
            </w:pPr>
            <w:r>
              <w:rPr>
                <w:rFonts w:ascii="Arial" w:cs="Arial" w:eastAsia="Arial" w:hAnsi="Arial"/>
                <w:sz w:val="18"/>
                <w:szCs w:val="18"/>
                <w:color w:val="auto"/>
              </w:rPr>
              <w:t>5,109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16,710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12,141</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Other</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6,873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4,340</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14,494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9,584</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136,109</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116,704</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250,831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220,436</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Specific identification of the customer billing location was the basis used for attributing revenues from external customers to geographic areas.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Long-lived tangible assets were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900" w:type="dxa"/>
            <w:vAlign w:val="bottom"/>
          </w:tcPr>
          <w:p>
            <w:pPr>
              <w:spacing w:after="0"/>
              <w:rPr>
                <w:sz w:val="20"/>
                <w:szCs w:val="20"/>
                <w:color w:val="auto"/>
              </w:rPr>
            </w:pPr>
            <w:r>
              <w:rPr>
                <w:rFonts w:ascii="Arial" w:cs="Arial" w:eastAsia="Arial" w:hAnsi="Arial"/>
                <w:sz w:val="14"/>
                <w:szCs w:val="14"/>
                <w:b w:val="1"/>
                <w:bCs w:val="1"/>
                <w:color w:val="auto"/>
              </w:rPr>
              <w:t>(In thousands)</w:t>
            </w:r>
          </w:p>
        </w:tc>
        <w:tc>
          <w:tcPr>
            <w:tcW w:w="280" w:type="dxa"/>
            <w:vAlign w:val="bottom"/>
          </w:tcPr>
          <w:p>
            <w:pPr>
              <w:spacing w:after="0"/>
              <w:rPr>
                <w:sz w:val="16"/>
                <w:szCs w:val="16"/>
                <w:color w:val="auto"/>
              </w:rPr>
            </w:pPr>
          </w:p>
        </w:tc>
        <w:tc>
          <w:tcPr>
            <w:tcW w:w="1540" w:type="dxa"/>
            <w:vAlign w:val="bottom"/>
            <w:gridSpan w:val="2"/>
          </w:tcPr>
          <w:p>
            <w:pPr>
              <w:ind w:left="160"/>
              <w:spacing w:after="0"/>
              <w:rPr>
                <w:sz w:val="20"/>
                <w:szCs w:val="20"/>
                <w:color w:val="auto"/>
              </w:rPr>
            </w:pPr>
            <w:r>
              <w:rPr>
                <w:rFonts w:ascii="Arial" w:cs="Arial" w:eastAsia="Arial" w:hAnsi="Arial"/>
                <w:sz w:val="14"/>
                <w:szCs w:val="14"/>
                <w:b w:val="1"/>
                <w:bCs w:val="1"/>
                <w:color w:val="auto"/>
              </w:rPr>
              <w:t>June 30, 2013</w:t>
            </w:r>
          </w:p>
        </w:tc>
        <w:tc>
          <w:tcPr>
            <w:tcW w:w="200" w:type="dxa"/>
            <w:vAlign w:val="bottom"/>
          </w:tcPr>
          <w:p>
            <w:pPr>
              <w:spacing w:after="0"/>
              <w:rPr>
                <w:sz w:val="16"/>
                <w:szCs w:val="16"/>
                <w:color w:val="auto"/>
              </w:rPr>
            </w:pPr>
          </w:p>
        </w:tc>
        <w:tc>
          <w:tcPr>
            <w:tcW w:w="1500" w:type="dxa"/>
            <w:vAlign w:val="bottom"/>
          </w:tcPr>
          <w:p>
            <w:pPr>
              <w:jc w:val="right"/>
              <w:ind w:right="194"/>
              <w:spacing w:after="0"/>
              <w:rPr>
                <w:sz w:val="20"/>
                <w:szCs w:val="20"/>
                <w:color w:val="auto"/>
              </w:rPr>
            </w:pPr>
            <w:r>
              <w:rPr>
                <w:rFonts w:ascii="Arial" w:cs="Arial" w:eastAsia="Arial" w:hAnsi="Arial"/>
                <w:sz w:val="14"/>
                <w:szCs w:val="14"/>
                <w:b w:val="1"/>
                <w:bCs w:val="1"/>
                <w:color w:val="auto"/>
                <w:w w:val="95"/>
              </w:rPr>
              <w:t>December 31, 2012</w:t>
            </w:r>
          </w:p>
        </w:tc>
      </w:tr>
      <w:tr>
        <w:trPr>
          <w:trHeight w:val="250"/>
        </w:trPr>
        <w:tc>
          <w:tcPr>
            <w:tcW w:w="79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Long-lived tangible assets:</w:t>
            </w: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14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50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5,242</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5,541</w:t>
            </w:r>
          </w:p>
        </w:tc>
      </w:tr>
      <w:tr>
        <w:trPr>
          <w:trHeight w:val="27"/>
        </w:trPr>
        <w:tc>
          <w:tcPr>
            <w:tcW w:w="79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People's Republic of China</w:t>
            </w:r>
          </w:p>
        </w:tc>
        <w:tc>
          <w:tcPr>
            <w:tcW w:w="28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73,015</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73,804</w:t>
            </w:r>
          </w:p>
        </w:tc>
      </w:tr>
      <w:tr>
        <w:trPr>
          <w:trHeight w:val="243"/>
        </w:trPr>
        <w:tc>
          <w:tcPr>
            <w:tcW w:w="7900" w:type="dxa"/>
            <w:vAlign w:val="bottom"/>
          </w:tcPr>
          <w:p>
            <w:pPr>
              <w:ind w:left="380"/>
              <w:spacing w:after="0"/>
              <w:rPr>
                <w:sz w:val="20"/>
                <w:szCs w:val="20"/>
                <w:color w:val="auto"/>
              </w:rPr>
            </w:pPr>
            <w:r>
              <w:rPr>
                <w:rFonts w:ascii="Arial" w:cs="Arial" w:eastAsia="Arial" w:hAnsi="Arial"/>
                <w:sz w:val="18"/>
                <w:szCs w:val="18"/>
                <w:color w:val="auto"/>
              </w:rPr>
              <w:t>All other countries</w:t>
            </w:r>
          </w:p>
        </w:tc>
        <w:tc>
          <w:tcPr>
            <w:tcW w:w="280" w:type="dxa"/>
            <w:vAlign w:val="bottom"/>
          </w:tcPr>
          <w:p>
            <w:pPr>
              <w:spacing w:after="0"/>
              <w:rPr>
                <w:sz w:val="21"/>
                <w:szCs w:val="21"/>
                <w:color w:val="auto"/>
              </w:rPr>
            </w:pPr>
          </w:p>
        </w:tc>
        <w:tc>
          <w:tcPr>
            <w:tcW w:w="1440" w:type="dxa"/>
            <w:vAlign w:val="bottom"/>
          </w:tcPr>
          <w:p>
            <w:pPr>
              <w:jc w:val="right"/>
              <w:ind w:right="34"/>
              <w:spacing w:after="0"/>
              <w:rPr>
                <w:sz w:val="20"/>
                <w:szCs w:val="20"/>
                <w:color w:val="auto"/>
              </w:rPr>
            </w:pPr>
            <w:r>
              <w:rPr>
                <w:rFonts w:ascii="Arial" w:cs="Arial" w:eastAsia="Arial" w:hAnsi="Arial"/>
                <w:sz w:val="18"/>
                <w:szCs w:val="18"/>
                <w:color w:val="auto"/>
              </w:rPr>
              <w:t>3,275</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00" w:type="dxa"/>
            <w:vAlign w:val="bottom"/>
          </w:tcPr>
          <w:p>
            <w:pPr>
              <w:jc w:val="right"/>
              <w:ind w:right="14"/>
              <w:spacing w:after="0"/>
              <w:rPr>
                <w:sz w:val="20"/>
                <w:szCs w:val="20"/>
                <w:color w:val="auto"/>
              </w:rPr>
            </w:pPr>
            <w:r>
              <w:rPr>
                <w:rFonts w:ascii="Arial" w:cs="Arial" w:eastAsia="Arial" w:hAnsi="Arial"/>
                <w:sz w:val="18"/>
                <w:szCs w:val="18"/>
                <w:color w:val="auto"/>
              </w:rPr>
              <w:t>3,722</w:t>
            </w:r>
          </w:p>
        </w:tc>
      </w:tr>
      <w:tr>
        <w:trPr>
          <w:trHeight w:val="27"/>
        </w:trPr>
        <w:tc>
          <w:tcPr>
            <w:tcW w:w="79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69"/>
        </w:trPr>
        <w:tc>
          <w:tcPr>
            <w:tcW w:w="79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81,532</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83,067</w:t>
            </w:r>
          </w:p>
        </w:tc>
      </w:tr>
      <w:tr>
        <w:trPr>
          <w:trHeight w:val="20"/>
        </w:trPr>
        <w:tc>
          <w:tcPr>
            <w:tcW w:w="79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Stock-Based Compensation</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Stock-based compensation expense for each employee and director is presented in the same income statement caption as their cash compensation. Stock-based compensation expense by income statement caption and the related income tax benefit were as follows:</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7"/>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220" w:type="dxa"/>
            <w:vAlign w:val="bottom"/>
          </w:tcPr>
          <w:p>
            <w:pPr>
              <w:spacing w:after="0"/>
              <w:rPr>
                <w:sz w:val="16"/>
                <w:szCs w:val="16"/>
                <w:color w:val="auto"/>
              </w:rPr>
            </w:pPr>
          </w:p>
        </w:tc>
        <w:tc>
          <w:tcPr>
            <w:tcW w:w="2840" w:type="dxa"/>
            <w:vAlign w:val="bottom"/>
            <w:gridSpan w:val="6"/>
          </w:tcPr>
          <w:p>
            <w:pPr>
              <w:ind w:left="480"/>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16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60" w:type="dxa"/>
            <w:vAlign w:val="bottom"/>
            <w:tcBorders>
              <w:top w:val="single" w:sz="8" w:color="auto"/>
              <w:bottom w:val="single" w:sz="8" w:color="auto"/>
            </w:tcBorders>
          </w:tcPr>
          <w:p>
            <w:pPr>
              <w:spacing w:after="0"/>
              <w:rPr>
                <w:sz w:val="22"/>
                <w:szCs w:val="22"/>
                <w:color w:val="auto"/>
              </w:rPr>
            </w:pPr>
          </w:p>
        </w:tc>
        <w:tc>
          <w:tcPr>
            <w:tcW w:w="1140" w:type="dxa"/>
            <w:vAlign w:val="bottom"/>
            <w:tcBorders>
              <w:top w:val="single" w:sz="8" w:color="auto"/>
              <w:bottom w:val="single" w:sz="8" w:color="auto"/>
            </w:tcBorders>
            <w:gridSpan w:val="2"/>
          </w:tcPr>
          <w:p>
            <w:pPr>
              <w:jc w:val="right"/>
              <w:ind w:right="51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spacing w:after="0"/>
              <w:rPr>
                <w:sz w:val="22"/>
                <w:szCs w:val="22"/>
                <w:color w:val="auto"/>
              </w:rPr>
            </w:pPr>
          </w:p>
        </w:tc>
        <w:tc>
          <w:tcPr>
            <w:tcW w:w="1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60" w:type="dxa"/>
            <w:vAlign w:val="bottom"/>
            <w:tcBorders>
              <w:top w:val="single" w:sz="8" w:color="auto"/>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220" w:type="dxa"/>
            <w:vAlign w:val="bottom"/>
            <w:tcBorders>
              <w:top w:val="single" w:sz="8" w:color="auto"/>
              <w:bottom w:val="single" w:sz="8" w:color="auto"/>
            </w:tcBorders>
          </w:tcPr>
          <w:p>
            <w:pPr>
              <w:jc w:val="right"/>
              <w:ind w:right="493"/>
              <w:spacing w:after="0"/>
              <w:rPr>
                <w:sz w:val="20"/>
                <w:szCs w:val="20"/>
                <w:color w:val="auto"/>
              </w:rPr>
            </w:pPr>
            <w:r>
              <w:rPr>
                <w:rFonts w:ascii="Arial" w:cs="Arial" w:eastAsia="Arial" w:hAnsi="Arial"/>
                <w:sz w:val="14"/>
                <w:szCs w:val="14"/>
                <w:b w:val="1"/>
                <w:bCs w:val="1"/>
                <w:color w:val="auto"/>
              </w:rPr>
              <w:t>2012</w:t>
            </w:r>
          </w:p>
        </w:tc>
        <w:tc>
          <w:tcPr>
            <w:tcW w:w="20" w:type="dxa"/>
            <w:vAlign w:val="bottom"/>
            <w:tcBorders>
              <w:top w:val="single" w:sz="8" w:color="auto"/>
              <w:bottom w:val="single" w:sz="8" w:color="auto"/>
            </w:tcBorders>
          </w:tcPr>
          <w:p>
            <w:pPr>
              <w:spacing w:after="0"/>
              <w:rPr>
                <w:sz w:val="22"/>
                <w:szCs w:val="2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Research and development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55</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112</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Selling, general and administrative:</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Employees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1,149</w:t>
            </w:r>
          </w:p>
        </w:tc>
        <w:tc>
          <w:tcPr>
            <w:tcW w:w="1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890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2,258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1,812</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360"/>
              <w:spacing w:after="0"/>
              <w:rPr>
                <w:sz w:val="20"/>
                <w:szCs w:val="20"/>
                <w:color w:val="auto"/>
              </w:rPr>
            </w:pPr>
            <w:r>
              <w:rPr>
                <w:rFonts w:ascii="Arial" w:cs="Arial" w:eastAsia="Arial" w:hAnsi="Arial"/>
                <w:sz w:val="18"/>
                <w:szCs w:val="18"/>
                <w:color w:val="auto"/>
              </w:rPr>
              <w:t>Outside directors</w:t>
            </w:r>
          </w:p>
        </w:tc>
        <w:tc>
          <w:tcPr>
            <w:tcW w:w="360" w:type="dxa"/>
            <w:vAlign w:val="bottom"/>
          </w:tcPr>
          <w:p>
            <w:pPr>
              <w:spacing w:after="0"/>
              <w:rPr>
                <w:sz w:val="21"/>
                <w:szCs w:val="21"/>
                <w:color w:val="auto"/>
              </w:rPr>
            </w:pPr>
          </w:p>
        </w:tc>
        <w:tc>
          <w:tcPr>
            <w:tcW w:w="1140" w:type="dxa"/>
            <w:vAlign w:val="bottom"/>
            <w:gridSpan w:val="2"/>
          </w:tcPr>
          <w:p>
            <w:pPr>
              <w:jc w:val="right"/>
              <w:ind w:right="39"/>
              <w:spacing w:after="0"/>
              <w:rPr>
                <w:sz w:val="20"/>
                <w:szCs w:val="20"/>
                <w:color w:val="auto"/>
              </w:rPr>
            </w:pPr>
            <w:r>
              <w:rPr>
                <w:rFonts w:ascii="Arial" w:cs="Arial" w:eastAsia="Arial" w:hAnsi="Arial"/>
                <w:sz w:val="18"/>
                <w:szCs w:val="18"/>
                <w:color w:val="auto"/>
              </w:rPr>
              <w:t>96</w:t>
            </w:r>
          </w:p>
        </w:tc>
        <w:tc>
          <w:tcPr>
            <w:tcW w:w="1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5"/>
              <w:spacing w:after="0"/>
              <w:rPr>
                <w:sz w:val="20"/>
                <w:szCs w:val="20"/>
                <w:color w:val="auto"/>
              </w:rPr>
            </w:pPr>
            <w:r>
              <w:rPr>
                <w:rFonts w:ascii="Arial" w:cs="Arial" w:eastAsia="Arial" w:hAnsi="Arial"/>
                <w:sz w:val="18"/>
                <w:szCs w:val="18"/>
                <w:color w:val="auto"/>
              </w:rPr>
              <w:t>191</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410</w:t>
            </w:r>
          </w:p>
        </w:tc>
        <w:tc>
          <w:tcPr>
            <w:tcW w:w="2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stock-based compensation expense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1,300</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1,140</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2,561</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2,337</w:t>
            </w:r>
          </w:p>
        </w:tc>
        <w:tc>
          <w:tcPr>
            <w:tcW w:w="20" w:type="dxa"/>
            <w:vAlign w:val="bottom"/>
            <w:tcBorders>
              <w:bottom w:val="single" w:sz="8" w:color="CCEEFF"/>
            </w:tcBorders>
            <w:shd w:val="clear" w:color="auto" w:fill="CCEEFF"/>
          </w:tcPr>
          <w:p>
            <w:pPr>
              <w:spacing w:after="0"/>
              <w:rPr>
                <w:sz w:val="22"/>
                <w:szCs w:val="22"/>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r>
      <w:tr>
        <w:trPr>
          <w:trHeight w:val="305"/>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415</w:t>
            </w:r>
          </w:p>
        </w:tc>
        <w:tc>
          <w:tcPr>
            <w:tcW w:w="5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804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767</w:t>
            </w:r>
          </w:p>
        </w:tc>
        <w:tc>
          <w:tcPr>
            <w:tcW w:w="20" w:type="dxa"/>
            <w:vAlign w:val="bottom"/>
            <w:tcBorders>
              <w:bottom w:val="single" w:sz="8" w:color="CCEEFF"/>
            </w:tcBorders>
            <w:shd w:val="clear" w:color="auto" w:fill="CCEEFF"/>
          </w:tcPr>
          <w:p>
            <w:pPr>
              <w:spacing w:after="0"/>
              <w:rPr>
                <w:sz w:val="21"/>
                <w:szCs w:val="21"/>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b w:val="1"/>
                <w:bCs w:val="1"/>
                <w:i w:val="1"/>
                <w:iCs w:val="1"/>
                <w:color w:val="auto"/>
              </w:rPr>
              <w:t>Stock Options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32"/>
        </w:trPr>
        <w:tc>
          <w:tcPr>
            <w:tcW w:w="5160" w:type="dxa"/>
            <w:vAlign w:val="bottom"/>
          </w:tcPr>
          <w:p>
            <w:pPr>
              <w:spacing w:after="0"/>
              <w:rPr>
                <w:sz w:val="20"/>
                <w:szCs w:val="20"/>
                <w:color w:val="auto"/>
              </w:rPr>
            </w:pPr>
            <w:r>
              <w:rPr>
                <w:rFonts w:ascii="Arial" w:cs="Arial" w:eastAsia="Arial" w:hAnsi="Arial"/>
                <w:sz w:val="18"/>
                <w:szCs w:val="18"/>
                <w:color w:val="auto"/>
              </w:rPr>
              <w:t>Stock option activity was as follows:</w:t>
            </w: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1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Weighted-Average</w:t>
            </w: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4"/>
              </w:rPr>
              <w:t>Number of</w:t>
            </w:r>
          </w:p>
        </w:tc>
        <w:tc>
          <w:tcPr>
            <w:tcW w:w="1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Remaining</w:t>
            </w:r>
          </w:p>
        </w:tc>
        <w:tc>
          <w:tcPr>
            <w:tcW w:w="2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88"/>
              </w:rPr>
              <w:t>Aggregate</w:t>
            </w:r>
          </w:p>
        </w:tc>
      </w:tr>
      <w:tr>
        <w:trPr>
          <w:trHeight w:val="203"/>
        </w:trPr>
        <w:tc>
          <w:tcPr>
            <w:tcW w:w="5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2"/>
              </w:rPr>
              <w:t>Options</w:t>
            </w:r>
          </w:p>
        </w:tc>
        <w:tc>
          <w:tcPr>
            <w:tcW w:w="1380" w:type="dxa"/>
            <w:vAlign w:val="bottom"/>
            <w:gridSpan w:val="4"/>
          </w:tcPr>
          <w:p>
            <w:pPr>
              <w:ind w:left="40"/>
              <w:spacing w:after="0"/>
              <w:rPr>
                <w:sz w:val="20"/>
                <w:szCs w:val="20"/>
                <w:color w:val="auto"/>
              </w:rPr>
            </w:pPr>
            <w:r>
              <w:rPr>
                <w:rFonts w:ascii="Arial" w:cs="Arial" w:eastAsia="Arial" w:hAnsi="Arial"/>
                <w:sz w:val="16"/>
                <w:szCs w:val="16"/>
                <w:b w:val="1"/>
                <w:bCs w:val="1"/>
                <w:color w:val="auto"/>
                <w:w w:val="93"/>
              </w:rPr>
              <w:t>Weighted-Average</w:t>
            </w:r>
          </w:p>
        </w:tc>
        <w:tc>
          <w:tcPr>
            <w:tcW w:w="1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Contractual Terms</w:t>
            </w:r>
          </w:p>
        </w:tc>
        <w:tc>
          <w:tcPr>
            <w:tcW w:w="220" w:type="dxa"/>
            <w:vAlign w:val="bottom"/>
          </w:tcPr>
          <w:p>
            <w:pPr>
              <w:spacing w:after="0"/>
              <w:rPr>
                <w:sz w:val="17"/>
                <w:szCs w:val="17"/>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3"/>
              </w:rPr>
              <w:t>Intrinsic Value</w:t>
            </w:r>
          </w:p>
        </w:tc>
      </w:tr>
      <w:tr>
        <w:trPr>
          <w:trHeight w:val="210"/>
        </w:trPr>
        <w:tc>
          <w:tcPr>
            <w:tcW w:w="516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38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w w:val="93"/>
              </w:rPr>
              <w:t>(in 000's)</w:t>
            </w:r>
          </w:p>
        </w:tc>
        <w:tc>
          <w:tcPr>
            <w:tcW w:w="140" w:type="dxa"/>
            <w:vAlign w:val="bottom"/>
          </w:tcPr>
          <w:p>
            <w:pPr>
              <w:spacing w:after="0"/>
              <w:rPr>
                <w:sz w:val="18"/>
                <w:szCs w:val="18"/>
                <w:color w:val="auto"/>
              </w:rPr>
            </w:pPr>
          </w:p>
        </w:tc>
        <w:tc>
          <w:tcPr>
            <w:tcW w:w="1020" w:type="dxa"/>
            <w:vAlign w:val="bottom"/>
            <w:gridSpan w:val="2"/>
          </w:tcPr>
          <w:p>
            <w:pPr>
              <w:ind w:left="40"/>
              <w:spacing w:after="0"/>
              <w:rPr>
                <w:sz w:val="20"/>
                <w:szCs w:val="20"/>
                <w:color w:val="auto"/>
              </w:rPr>
            </w:pPr>
            <w:r>
              <w:rPr>
                <w:rFonts w:ascii="Arial" w:cs="Arial" w:eastAsia="Arial" w:hAnsi="Arial"/>
                <w:sz w:val="16"/>
                <w:szCs w:val="16"/>
                <w:b w:val="1"/>
                <w:bCs w:val="1"/>
                <w:color w:val="auto"/>
                <w:w w:val="87"/>
              </w:rPr>
              <w:t>Exercise Price</w:t>
            </w:r>
          </w:p>
        </w:tc>
        <w:tc>
          <w:tcPr>
            <w:tcW w:w="220" w:type="dxa"/>
            <w:vAlign w:val="bottom"/>
          </w:tcPr>
          <w:p>
            <w:pPr>
              <w:spacing w:after="0"/>
              <w:rPr>
                <w:sz w:val="18"/>
                <w:szCs w:val="18"/>
                <w:color w:val="auto"/>
              </w:rPr>
            </w:pPr>
          </w:p>
        </w:tc>
        <w:tc>
          <w:tcPr>
            <w:tcW w:w="1380" w:type="dxa"/>
            <w:vAlign w:val="bottom"/>
            <w:gridSpan w:val="3"/>
          </w:tcPr>
          <w:p>
            <w:pPr>
              <w:jc w:val="center"/>
              <w:spacing w:after="0"/>
              <w:rPr>
                <w:sz w:val="20"/>
                <w:szCs w:val="20"/>
                <w:color w:val="auto"/>
              </w:rPr>
            </w:pPr>
            <w:r>
              <w:rPr>
                <w:rFonts w:ascii="Arial" w:cs="Arial" w:eastAsia="Arial" w:hAnsi="Arial"/>
                <w:sz w:val="16"/>
                <w:szCs w:val="16"/>
                <w:b w:val="1"/>
                <w:bCs w:val="1"/>
                <w:color w:val="auto"/>
                <w:w w:val="92"/>
              </w:rPr>
              <w:t>(in years)</w:t>
            </w:r>
          </w:p>
        </w:tc>
        <w:tc>
          <w:tcPr>
            <w:tcW w:w="220" w:type="dxa"/>
            <w:vAlign w:val="bottom"/>
          </w:tcPr>
          <w:p>
            <w:pPr>
              <w:spacing w:after="0"/>
              <w:rPr>
                <w:sz w:val="18"/>
                <w:szCs w:val="18"/>
                <w:color w:val="auto"/>
              </w:rPr>
            </w:pPr>
          </w:p>
        </w:tc>
        <w:tc>
          <w:tcPr>
            <w:tcW w:w="1240" w:type="dxa"/>
            <w:vAlign w:val="bottom"/>
            <w:gridSpan w:val="2"/>
          </w:tcPr>
          <w:p>
            <w:pPr>
              <w:jc w:val="center"/>
              <w:ind w:right="180"/>
              <w:spacing w:after="0"/>
              <w:rPr>
                <w:sz w:val="20"/>
                <w:szCs w:val="20"/>
                <w:color w:val="auto"/>
              </w:rPr>
            </w:pPr>
            <w:r>
              <w:rPr>
                <w:rFonts w:ascii="Arial" w:cs="Arial" w:eastAsia="Arial" w:hAnsi="Arial"/>
                <w:sz w:val="16"/>
                <w:szCs w:val="16"/>
                <w:b w:val="1"/>
                <w:bCs w:val="1"/>
                <w:color w:val="auto"/>
                <w:w w:val="90"/>
              </w:rPr>
              <w:t>(in 000's)</w:t>
            </w:r>
          </w:p>
        </w:tc>
      </w:tr>
      <w:tr>
        <w:trPr>
          <w:trHeight w:val="33"/>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3"/>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Outstanding at December 31, 2012</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1,412</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20.56</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20" w:type="dxa"/>
            <w:vAlign w:val="bottom"/>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Granted</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rPr>
              <w:t>201</w:t>
            </w:r>
          </w:p>
        </w:tc>
        <w:tc>
          <w:tcPr>
            <w:tcW w:w="140" w:type="dxa"/>
            <w:vAlign w:val="bottom"/>
          </w:tcPr>
          <w:p>
            <w:pPr>
              <w:spacing w:after="0"/>
              <w:rPr>
                <w:sz w:val="21"/>
                <w:szCs w:val="21"/>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8"/>
                <w:szCs w:val="18"/>
                <w:color w:val="auto"/>
              </w:rPr>
              <w:t>19.68</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300" w:type="dxa"/>
            <w:vAlign w:val="bottom"/>
          </w:tcPr>
          <w:p>
            <w:pPr>
              <w:spacing w:after="0"/>
              <w:rPr>
                <w:sz w:val="2"/>
                <w:szCs w:val="2"/>
                <w:color w:val="auto"/>
              </w:rPr>
            </w:pPr>
          </w:p>
        </w:tc>
        <w:tc>
          <w:tcPr>
            <w:tcW w:w="840" w:type="dxa"/>
            <w:vAlign w:val="bottom"/>
          </w:tcPr>
          <w:p>
            <w:pPr>
              <w:spacing w:after="0"/>
              <w:rPr>
                <w:sz w:val="2"/>
                <w:szCs w:val="2"/>
                <w:color w:val="auto"/>
              </w:rPr>
            </w:pPr>
          </w:p>
        </w:tc>
        <w:tc>
          <w:tcPr>
            <w:tcW w:w="5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240" w:type="dxa"/>
            <w:vAlign w:val="bottom"/>
            <w:gridSpan w:val="3"/>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Exercised</w:t>
            </w:r>
          </w:p>
        </w:tc>
        <w:tc>
          <w:tcPr>
            <w:tcW w:w="36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(273)</w:t>
            </w:r>
          </w:p>
        </w:tc>
        <w:tc>
          <w:tcPr>
            <w:tcW w:w="1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14.44</w:t>
            </w:r>
          </w:p>
        </w:tc>
        <w:tc>
          <w:tcPr>
            <w:tcW w:w="1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2,703</w:t>
            </w:r>
          </w:p>
        </w:tc>
        <w:tc>
          <w:tcPr>
            <w:tcW w:w="20" w:type="dxa"/>
            <w:vAlign w:val="bottom"/>
          </w:tcPr>
          <w:p>
            <w:pPr>
              <w:spacing w:after="0"/>
              <w:rPr>
                <w:sz w:val="21"/>
                <w:szCs w:val="2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Forfeited/canceled/expired</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140" w:type="dxa"/>
            <w:vAlign w:val="bottom"/>
          </w:tcPr>
          <w:p>
            <w:pPr>
              <w:spacing w:after="0"/>
              <w:rPr>
                <w:sz w:val="21"/>
                <w:szCs w:val="21"/>
                <w:color w:val="auto"/>
              </w:rPr>
            </w:pPr>
          </w:p>
        </w:tc>
        <w:tc>
          <w:tcPr>
            <w:tcW w:w="1240" w:type="dxa"/>
            <w:vAlign w:val="bottom"/>
            <w:gridSpan w:val="3"/>
          </w:tcPr>
          <w:p>
            <w:pPr>
              <w:jc w:val="right"/>
              <w:ind w:right="50"/>
              <w:spacing w:after="0"/>
              <w:rPr>
                <w:sz w:val="20"/>
                <w:szCs w:val="20"/>
                <w:color w:val="auto"/>
              </w:rPr>
            </w:pPr>
            <w:r>
              <w:rPr>
                <w:rFonts w:ascii="Arial" w:cs="Arial" w:eastAsia="Arial" w:hAnsi="Arial"/>
                <w:sz w:val="18"/>
                <w:szCs w:val="18"/>
                <w:color w:val="auto"/>
              </w:rPr>
              <w:t>28.08</w:t>
            </w: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gridSpan w:val="3"/>
          </w:tcPr>
          <w:p>
            <w:pPr>
              <w:spacing w:after="0"/>
              <w:rPr>
                <w:sz w:val="2"/>
                <w:szCs w:val="2"/>
                <w:color w:val="auto"/>
              </w:rPr>
            </w:pPr>
          </w:p>
        </w:tc>
        <w:tc>
          <w:tcPr>
            <w:tcW w:w="1360" w:type="dxa"/>
            <w:vAlign w:val="bottom"/>
            <w:tcBorders>
              <w:bottom w:val="single" w:sz="8" w:color="CCEEFF"/>
            </w:tcBorders>
            <w:gridSpan w:val="2"/>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c>
          <w:tcPr>
            <w:tcW w:w="20" w:type="dxa"/>
            <w:vAlign w:val="bottom"/>
          </w:tcPr>
          <w:p>
            <w:pPr>
              <w:spacing w:after="0"/>
              <w:rPr>
                <w:sz w:val="2"/>
                <w:szCs w:val="2"/>
                <w:color w:val="auto"/>
              </w:rPr>
            </w:pPr>
          </w:p>
        </w:tc>
      </w:tr>
      <w:tr>
        <w:trPr>
          <w:trHeight w:val="264"/>
        </w:trPr>
        <w:tc>
          <w:tcPr>
            <w:tcW w:w="5160" w:type="dxa"/>
            <w:vAlign w:val="bottom"/>
            <w:tcBorders>
              <w:bottom w:val="single" w:sz="8" w:color="CCEEFF"/>
            </w:tcBorders>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Outstanding at June 30, 2013 </w:t>
            </w:r>
            <w:r>
              <w:rPr>
                <w:rFonts w:ascii="Arial" w:cs="Arial" w:eastAsia="Arial" w:hAnsi="Arial"/>
                <w:sz w:val="25"/>
                <w:szCs w:val="25"/>
                <w:color w:val="auto"/>
                <w:vertAlign w:val="superscript"/>
              </w:rPr>
              <w:t>(1)</w:t>
            </w:r>
          </w:p>
        </w:tc>
        <w:tc>
          <w:tcPr>
            <w:tcW w:w="36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auto"/>
            </w:tcBorders>
            <w:shd w:val="clear" w:color="auto" w:fill="CCEEFF"/>
          </w:tcPr>
          <w:p>
            <w:pPr>
              <w:spacing w:after="0"/>
              <w:rPr>
                <w:sz w:val="22"/>
                <w:szCs w:val="22"/>
                <w:color w:val="auto"/>
              </w:rPr>
            </w:pPr>
          </w:p>
        </w:tc>
        <w:tc>
          <w:tcPr>
            <w:tcW w:w="540" w:type="dxa"/>
            <w:vAlign w:val="bottom"/>
            <w:tcBorders>
              <w:bottom w:val="single" w:sz="8" w:color="auto"/>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8"/>
              </w:rPr>
              <w:t>1,333</w:t>
            </w:r>
          </w:p>
        </w:tc>
        <w:tc>
          <w:tcPr>
            <w:tcW w:w="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21.64</w:t>
            </w:r>
          </w:p>
        </w:tc>
        <w:tc>
          <w:tcPr>
            <w:tcW w:w="13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5.72</w:t>
            </w: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8,799</w:t>
            </w:r>
          </w:p>
        </w:tc>
        <w:tc>
          <w:tcPr>
            <w:tcW w:w="2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40" w:type="dxa"/>
            <w:vAlign w:val="bottom"/>
            <w:gridSpan w:val="3"/>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51"/>
        </w:trPr>
        <w:tc>
          <w:tcPr>
            <w:tcW w:w="5160" w:type="dxa"/>
            <w:vAlign w:val="bottom"/>
          </w:tcPr>
          <w:p>
            <w:pPr>
              <w:ind w:left="40"/>
              <w:spacing w:after="0" w:line="251" w:lineRule="exact"/>
              <w:rPr>
                <w:sz w:val="20"/>
                <w:szCs w:val="20"/>
                <w:color w:val="auto"/>
              </w:rPr>
            </w:pPr>
            <w:r>
              <w:rPr>
                <w:rFonts w:ascii="Arial" w:cs="Arial" w:eastAsia="Arial" w:hAnsi="Arial"/>
                <w:sz w:val="18"/>
                <w:szCs w:val="18"/>
                <w:color w:val="auto"/>
              </w:rPr>
              <w:t xml:space="preserve">Vested and expected to vest at June 30, 2013 </w:t>
            </w:r>
            <w:r>
              <w:rPr>
                <w:rFonts w:ascii="Arial" w:cs="Arial" w:eastAsia="Arial" w:hAnsi="Arial"/>
                <w:sz w:val="25"/>
                <w:szCs w:val="25"/>
                <w:color w:val="auto"/>
                <w:vertAlign w:val="superscript"/>
              </w:rPr>
              <w:t>(1)</w:t>
            </w:r>
          </w:p>
        </w:tc>
        <w:tc>
          <w:tcPr>
            <w:tcW w:w="3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540" w:type="dxa"/>
            <w:vAlign w:val="bottom"/>
            <w:gridSpan w:val="2"/>
          </w:tcPr>
          <w:p>
            <w:pPr>
              <w:jc w:val="right"/>
              <w:ind w:right="120"/>
              <w:spacing w:after="0"/>
              <w:rPr>
                <w:sz w:val="20"/>
                <w:szCs w:val="20"/>
                <w:color w:val="auto"/>
              </w:rPr>
            </w:pPr>
            <w:r>
              <w:rPr>
                <w:rFonts w:ascii="Arial" w:cs="Arial" w:eastAsia="Arial" w:hAnsi="Arial"/>
                <w:sz w:val="18"/>
                <w:szCs w:val="18"/>
                <w:color w:val="auto"/>
                <w:w w:val="88"/>
              </w:rPr>
              <w:t>1,329</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gridSpan w:val="3"/>
          </w:tcPr>
          <w:p>
            <w:pPr>
              <w:jc w:val="right"/>
              <w:ind w:right="50"/>
              <w:spacing w:after="0"/>
              <w:rPr>
                <w:sz w:val="20"/>
                <w:szCs w:val="20"/>
                <w:color w:val="auto"/>
              </w:rPr>
            </w:pPr>
            <w:r>
              <w:rPr>
                <w:rFonts w:ascii="Arial" w:cs="Arial" w:eastAsia="Arial" w:hAnsi="Arial"/>
                <w:sz w:val="18"/>
                <w:szCs w:val="18"/>
                <w:color w:val="auto"/>
              </w:rPr>
              <w:t>21.65</w:t>
            </w:r>
          </w:p>
        </w:tc>
        <w:tc>
          <w:tcPr>
            <w:tcW w:w="1360" w:type="dxa"/>
            <w:vAlign w:val="bottom"/>
            <w:gridSpan w:val="2"/>
          </w:tcPr>
          <w:p>
            <w:pPr>
              <w:jc w:val="right"/>
              <w:ind w:right="20"/>
              <w:spacing w:after="0"/>
              <w:rPr>
                <w:sz w:val="20"/>
                <w:szCs w:val="20"/>
                <w:color w:val="auto"/>
              </w:rPr>
            </w:pPr>
            <w:r>
              <w:rPr>
                <w:rFonts w:ascii="Arial" w:cs="Arial" w:eastAsia="Arial" w:hAnsi="Arial"/>
                <w:sz w:val="18"/>
                <w:szCs w:val="18"/>
                <w:color w:val="auto"/>
              </w:rPr>
              <w:t>5.70</w:t>
            </w:r>
          </w:p>
        </w:tc>
        <w:tc>
          <w:tcPr>
            <w:tcW w:w="20" w:type="dxa"/>
            <w:vAlign w:val="bottom"/>
          </w:tcPr>
          <w:p>
            <w:pPr>
              <w:spacing w:after="0"/>
              <w:rPr>
                <w:sz w:val="21"/>
                <w:szCs w:val="21"/>
                <w:color w:val="auto"/>
              </w:rPr>
            </w:pP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33"/>
              <w:spacing w:after="0"/>
              <w:rPr>
                <w:sz w:val="20"/>
                <w:szCs w:val="20"/>
                <w:color w:val="auto"/>
              </w:rPr>
            </w:pPr>
            <w:r>
              <w:rPr>
                <w:rFonts w:ascii="Arial" w:cs="Arial" w:eastAsia="Arial" w:hAnsi="Arial"/>
                <w:sz w:val="18"/>
                <w:szCs w:val="18"/>
                <w:color w:val="auto"/>
              </w:rPr>
              <w:t>8,763</w:t>
            </w:r>
          </w:p>
        </w:tc>
        <w:tc>
          <w:tcPr>
            <w:tcW w:w="20" w:type="dxa"/>
            <w:vAlign w:val="bottom"/>
          </w:tcPr>
          <w:p>
            <w:pPr>
              <w:spacing w:after="0"/>
              <w:rPr>
                <w:sz w:val="21"/>
                <w:szCs w:val="21"/>
                <w:color w:val="auto"/>
              </w:rPr>
            </w:pPr>
          </w:p>
        </w:tc>
      </w:tr>
      <w:tr>
        <w:trPr>
          <w:trHeight w:val="270"/>
        </w:trPr>
        <w:tc>
          <w:tcPr>
            <w:tcW w:w="51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Exercisable on June 30, 2013 </w:t>
            </w:r>
            <w:r>
              <w:rPr>
                <w:rFonts w:ascii="Arial" w:cs="Arial" w:eastAsia="Arial" w:hAnsi="Arial"/>
                <w:sz w:val="25"/>
                <w:szCs w:val="25"/>
                <w:color w:val="auto"/>
                <w:vertAlign w:val="superscript"/>
              </w:rPr>
              <w:t>(1)</w:t>
            </w:r>
          </w:p>
        </w:tc>
        <w:tc>
          <w:tcPr>
            <w:tcW w:w="360" w:type="dxa"/>
            <w:vAlign w:val="bottom"/>
            <w:shd w:val="clear" w:color="auto" w:fill="CCEEFF"/>
          </w:tcPr>
          <w:p>
            <w:pPr>
              <w:spacing w:after="0"/>
              <w:rPr>
                <w:sz w:val="23"/>
                <w:szCs w:val="23"/>
                <w:color w:val="auto"/>
              </w:rPr>
            </w:pPr>
          </w:p>
        </w:tc>
        <w:tc>
          <w:tcPr>
            <w:tcW w:w="30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989</w:t>
            </w:r>
          </w:p>
        </w:tc>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w:t>
            </w:r>
          </w:p>
        </w:tc>
        <w:tc>
          <w:tcPr>
            <w:tcW w:w="124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21.89</w:t>
            </w: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4.60</w:t>
            </w: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ind w:right="33"/>
              <w:spacing w:after="0"/>
              <w:rPr>
                <w:sz w:val="20"/>
                <w:szCs w:val="20"/>
                <w:color w:val="auto"/>
              </w:rPr>
            </w:pPr>
            <w:r>
              <w:rPr>
                <w:rFonts w:ascii="Arial" w:cs="Arial" w:eastAsia="Arial" w:hAnsi="Arial"/>
                <w:sz w:val="18"/>
                <w:szCs w:val="18"/>
                <w:color w:val="auto"/>
              </w:rPr>
              <w:t>6,279</w:t>
            </w:r>
          </w:p>
        </w:tc>
        <w:tc>
          <w:tcPr>
            <w:tcW w:w="20" w:type="dxa"/>
            <w:vAlign w:val="bottom"/>
          </w:tcPr>
          <w:p>
            <w:pPr>
              <w:spacing w:after="0"/>
              <w:rPr>
                <w:sz w:val="23"/>
                <w:szCs w:val="23"/>
                <w:color w:val="auto"/>
              </w:rPr>
            </w:pPr>
          </w:p>
        </w:tc>
      </w:tr>
    </w:tbl>
    <w:p>
      <w:pPr>
        <w:spacing w:after="0" w:line="148" w:lineRule="exact"/>
        <w:rPr>
          <w:sz w:val="20"/>
          <w:szCs w:val="20"/>
          <w:color w:val="auto"/>
        </w:rPr>
      </w:pPr>
    </w:p>
    <w:p>
      <w:pPr>
        <w:jc w:val="both"/>
        <w:ind w:left="660" w:right="180" w:hanging="328"/>
        <w:spacing w:after="0" w:line="238" w:lineRule="auto"/>
        <w:tabs>
          <w:tab w:leader="none" w:pos="660" w:val="left"/>
        </w:tabs>
        <w:numPr>
          <w:ilvl w:val="0"/>
          <w:numId w:val="7"/>
        </w:numPr>
        <w:rPr>
          <w:rFonts w:ascii="Arial" w:cs="Arial" w:eastAsia="Arial" w:hAnsi="Arial"/>
          <w:sz w:val="24"/>
          <w:szCs w:val="24"/>
          <w:color w:val="auto"/>
          <w:vertAlign w:val="superscript"/>
        </w:rPr>
      </w:pPr>
      <w:r>
        <w:rPr>
          <w:rFonts w:ascii="Arial" w:cs="Arial" w:eastAsia="Arial" w:hAnsi="Arial"/>
          <w:sz w:val="17"/>
          <w:szCs w:val="17"/>
          <w:color w:val="auto"/>
        </w:rPr>
        <w:t>The aggregate intrinsic value represents the total pre-tax value (the difference between our closing stock price on the last trading day of the second quarter of 2013 and the exercise price, multiplied by the number of in-the-money options) that would have been received by the option holders had they all exercised their options on June 30, 2013. This amount will change based on the fair market value of our stock.</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118" w:right="239" w:bottom="1440" w:gutter="0" w:footer="0" w:header="0"/>
        </w:sectPr>
      </w:pPr>
    </w:p>
    <w:bookmarkStart w:id="17" w:name="page18"/>
    <w:bookmarkEnd w:id="1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assumptions we utilized in the Black-Scholes option pricing model and the resulting weighted average fair value of stock option grants were the following:</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4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160" w:type="dxa"/>
            <w:vAlign w:val="bottom"/>
            <w:tcBorders>
              <w:bottom w:val="single" w:sz="8" w:color="auto"/>
            </w:tcBorders>
            <w:gridSpan w:val="3"/>
          </w:tcPr>
          <w:p>
            <w:pPr>
              <w:jc w:val="right"/>
              <w:ind w:right="19"/>
              <w:spacing w:after="0"/>
              <w:rPr>
                <w:sz w:val="20"/>
                <w:szCs w:val="20"/>
                <w:color w:val="auto"/>
              </w:rPr>
            </w:pPr>
            <w:r>
              <w:rPr>
                <w:rFonts w:ascii="Arial" w:cs="Arial" w:eastAsia="Arial" w:hAnsi="Arial"/>
                <w:sz w:val="14"/>
                <w:szCs w:val="14"/>
                <w:b w:val="1"/>
                <w:bCs w:val="1"/>
                <w:color w:val="auto"/>
              </w:rPr>
              <w:t>Three Months Ended June 30,</w:t>
            </w:r>
          </w:p>
        </w:tc>
        <w:tc>
          <w:tcPr>
            <w:tcW w:w="4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4"/>
          </w:tcPr>
          <w:p>
            <w:pPr>
              <w:jc w:val="right"/>
              <w:ind w:right="55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46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940" w:type="dxa"/>
            <w:vAlign w:val="bottom"/>
            <w:tcBorders>
              <w:bottom w:val="single" w:sz="8" w:color="auto"/>
            </w:tcBorders>
          </w:tcPr>
          <w:p>
            <w:pPr>
              <w:jc w:val="right"/>
              <w:ind w:right="59"/>
              <w:spacing w:after="0"/>
              <w:rPr>
                <w:sz w:val="20"/>
                <w:szCs w:val="20"/>
                <w:color w:val="auto"/>
              </w:rPr>
            </w:pPr>
            <w:r>
              <w:rPr>
                <w:rFonts w:ascii="Arial" w:cs="Arial" w:eastAsia="Arial" w:hAnsi="Arial"/>
                <w:sz w:val="14"/>
                <w:szCs w:val="14"/>
                <w:b w:val="1"/>
                <w:bCs w:val="1"/>
                <w:color w:val="auto"/>
              </w:rPr>
              <w:t>2012</w:t>
            </w:r>
          </w:p>
        </w:tc>
        <w:tc>
          <w:tcPr>
            <w:tcW w:w="4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6"/>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rPr>
              <w:t>2012</w:t>
            </w:r>
          </w:p>
        </w:tc>
      </w:tr>
      <w:tr>
        <w:trPr>
          <w:trHeight w:val="270"/>
        </w:trPr>
        <w:tc>
          <w:tcPr>
            <w:tcW w:w="54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Weighted average fair value of grants </w:t>
            </w:r>
            <w:r>
              <w:rPr>
                <w:rFonts w:ascii="Arial" w:cs="Arial" w:eastAsia="Arial" w:hAnsi="Arial"/>
                <w:sz w:val="25"/>
                <w:szCs w:val="25"/>
                <w:color w:val="auto"/>
                <w:vertAlign w:val="superscript"/>
              </w:rPr>
              <w:t>(1)</w:t>
            </w:r>
          </w:p>
        </w:tc>
        <w:tc>
          <w:tcPr>
            <w:tcW w:w="3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10.04</w:t>
            </w: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jc w:val="right"/>
              <w:ind w:right="759"/>
              <w:spacing w:after="0"/>
              <w:rPr>
                <w:sz w:val="20"/>
                <w:szCs w:val="20"/>
                <w:color w:val="auto"/>
              </w:rPr>
            </w:pPr>
            <w:r>
              <w:rPr>
                <w:rFonts w:ascii="Arial" w:cs="Arial" w:eastAsia="Arial" w:hAnsi="Arial"/>
                <w:sz w:val="18"/>
                <w:szCs w:val="18"/>
                <w:color w:val="auto"/>
                <w:w w:val="79"/>
              </w:rPr>
              <w:t>$</w:t>
            </w:r>
          </w:p>
        </w:tc>
        <w:tc>
          <w:tcPr>
            <w:tcW w:w="860" w:type="dxa"/>
            <w:vAlign w:val="bottom"/>
            <w:gridSpan w:val="3"/>
            <w:shd w:val="clear" w:color="auto" w:fill="CCEEFF"/>
          </w:tcPr>
          <w:p>
            <w:pPr>
              <w:ind w:left="120"/>
              <w:spacing w:after="0"/>
              <w:rPr>
                <w:sz w:val="20"/>
                <w:szCs w:val="20"/>
                <w:color w:val="auto"/>
              </w:rPr>
            </w:pPr>
            <w:r>
              <w:rPr>
                <w:rFonts w:ascii="Arial" w:cs="Arial" w:eastAsia="Arial" w:hAnsi="Arial"/>
                <w:sz w:val="18"/>
                <w:szCs w:val="18"/>
                <w:color w:val="auto"/>
              </w:rPr>
              <w:t>—   $</w:t>
            </w:r>
          </w:p>
        </w:tc>
        <w:tc>
          <w:tcPr>
            <w:tcW w:w="1080" w:type="dxa"/>
            <w:vAlign w:val="bottom"/>
            <w:shd w:val="clear" w:color="auto" w:fill="CCEEFF"/>
          </w:tcPr>
          <w:p>
            <w:pPr>
              <w:jc w:val="right"/>
              <w:ind w:right="96"/>
              <w:spacing w:after="0"/>
              <w:rPr>
                <w:sz w:val="20"/>
                <w:szCs w:val="20"/>
                <w:color w:val="auto"/>
              </w:rPr>
            </w:pPr>
            <w:r>
              <w:rPr>
                <w:rFonts w:ascii="Arial" w:cs="Arial" w:eastAsia="Arial" w:hAnsi="Arial"/>
                <w:sz w:val="18"/>
                <w:szCs w:val="18"/>
                <w:color w:val="auto"/>
              </w:rPr>
              <w:t>9.26</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ind w:right="94"/>
              <w:spacing w:after="0"/>
              <w:rPr>
                <w:sz w:val="20"/>
                <w:szCs w:val="20"/>
                <w:color w:val="auto"/>
              </w:rPr>
            </w:pPr>
            <w:r>
              <w:rPr>
                <w:rFonts w:ascii="Arial" w:cs="Arial" w:eastAsia="Arial" w:hAnsi="Arial"/>
                <w:sz w:val="18"/>
                <w:szCs w:val="18"/>
                <w:color w:val="auto"/>
              </w:rPr>
              <w:t>9.65</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Risk-free interest rate</w:t>
            </w:r>
          </w:p>
        </w:tc>
        <w:tc>
          <w:tcPr>
            <w:tcW w:w="32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0.73%</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0.95%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0.86%</w:t>
            </w:r>
          </w:p>
        </w:tc>
      </w:tr>
      <w:tr>
        <w:trPr>
          <w:trHeight w:val="27"/>
        </w:trPr>
        <w:tc>
          <w:tcPr>
            <w:tcW w:w="5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54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volatility</w:t>
            </w:r>
          </w:p>
        </w:tc>
        <w:tc>
          <w:tcPr>
            <w:tcW w:w="3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52.38%</w:t>
            </w: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53.39%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55.25%</w:t>
            </w:r>
          </w:p>
        </w:tc>
      </w:tr>
      <w:tr>
        <w:trPr>
          <w:trHeight w:val="243"/>
        </w:trPr>
        <w:tc>
          <w:tcPr>
            <w:tcW w:w="5460" w:type="dxa"/>
            <w:vAlign w:val="bottom"/>
          </w:tcPr>
          <w:p>
            <w:pPr>
              <w:ind w:left="40"/>
              <w:spacing w:after="0"/>
              <w:rPr>
                <w:sz w:val="20"/>
                <w:szCs w:val="20"/>
                <w:color w:val="auto"/>
              </w:rPr>
            </w:pPr>
            <w:r>
              <w:rPr>
                <w:rFonts w:ascii="Arial" w:cs="Arial" w:eastAsia="Arial" w:hAnsi="Arial"/>
                <w:sz w:val="18"/>
                <w:szCs w:val="18"/>
                <w:color w:val="auto"/>
              </w:rPr>
              <w:t>Expected life in years</w:t>
            </w:r>
          </w:p>
        </w:tc>
        <w:tc>
          <w:tcPr>
            <w:tcW w:w="320" w:type="dxa"/>
            <w:vAlign w:val="bottom"/>
          </w:tcPr>
          <w:p>
            <w:pPr>
              <w:spacing w:after="0"/>
              <w:rPr>
                <w:sz w:val="21"/>
                <w:szCs w:val="21"/>
                <w:color w:val="auto"/>
              </w:rPr>
            </w:pPr>
          </w:p>
        </w:tc>
        <w:tc>
          <w:tcPr>
            <w:tcW w:w="1100" w:type="dxa"/>
            <w:vAlign w:val="bottom"/>
          </w:tcPr>
          <w:p>
            <w:pPr>
              <w:jc w:val="right"/>
              <w:ind w:right="96"/>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60" w:type="dxa"/>
            <w:vAlign w:val="bottom"/>
            <w:gridSpan w:val="3"/>
          </w:tcPr>
          <w:p>
            <w:pPr>
              <w:ind w:left="1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6"/>
              <w:spacing w:after="0"/>
              <w:rPr>
                <w:sz w:val="20"/>
                <w:szCs w:val="20"/>
                <w:color w:val="auto"/>
              </w:rPr>
            </w:pPr>
            <w:r>
              <w:rPr>
                <w:rFonts w:ascii="Arial" w:cs="Arial" w:eastAsia="Arial" w:hAnsi="Arial"/>
                <w:sz w:val="18"/>
                <w:szCs w:val="18"/>
                <w:color w:val="auto"/>
              </w:rPr>
              <w:t>5.20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080" w:type="dxa"/>
            <w:vAlign w:val="bottom"/>
          </w:tcPr>
          <w:p>
            <w:pPr>
              <w:jc w:val="right"/>
              <w:ind w:right="94"/>
              <w:spacing w:after="0"/>
              <w:rPr>
                <w:sz w:val="20"/>
                <w:szCs w:val="20"/>
                <w:color w:val="auto"/>
              </w:rPr>
            </w:pPr>
            <w:r>
              <w:rPr>
                <w:rFonts w:ascii="Arial" w:cs="Arial" w:eastAsia="Arial" w:hAnsi="Arial"/>
                <w:sz w:val="18"/>
                <w:szCs w:val="18"/>
                <w:color w:val="auto"/>
              </w:rPr>
              <w:t>5.14</w:t>
            </w:r>
          </w:p>
        </w:tc>
      </w:tr>
    </w:tbl>
    <w:p>
      <w:pPr>
        <w:spacing w:after="0" w:line="172" w:lineRule="exact"/>
        <w:rPr>
          <w:sz w:val="20"/>
          <w:szCs w:val="20"/>
          <w:color w:val="auto"/>
        </w:rPr>
      </w:pPr>
    </w:p>
    <w:p>
      <w:pPr>
        <w:ind w:left="660" w:hanging="328"/>
        <w:spacing w:after="0"/>
        <w:tabs>
          <w:tab w:leader="none" w:pos="660" w:val="left"/>
        </w:tabs>
        <w:numPr>
          <w:ilvl w:val="0"/>
          <w:numId w:val="8"/>
        </w:numPr>
        <w:rPr>
          <w:rFonts w:ascii="Arial" w:cs="Arial" w:eastAsia="Arial" w:hAnsi="Arial"/>
          <w:sz w:val="25"/>
          <w:szCs w:val="25"/>
          <w:color w:val="auto"/>
          <w:vertAlign w:val="superscript"/>
        </w:rPr>
      </w:pPr>
      <w:r>
        <w:rPr>
          <w:rFonts w:ascii="Arial" w:cs="Arial" w:eastAsia="Arial" w:hAnsi="Arial"/>
          <w:sz w:val="18"/>
          <w:szCs w:val="18"/>
          <w:color w:val="auto"/>
        </w:rPr>
        <w:t>The weighted average fair value of grants was calculated utilizing the stock options granted during each respective period.</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As of June 30, 2013, we expect to recognize $3.0 million of total unrecognized pre-tax stock-based compensation expense related to non-vested stock options over a remaining weighted-average life of 2.1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Non-vested restricted stock award activity was as follows: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tcPr>
          <w:p>
            <w:pPr>
              <w:spacing w:after="0"/>
              <w:rPr>
                <w:sz w:val="14"/>
                <w:szCs w:val="14"/>
                <w:color w:val="auto"/>
              </w:rPr>
            </w:pPr>
          </w:p>
        </w:tc>
        <w:tc>
          <w:tcPr>
            <w:tcW w:w="1420" w:type="dxa"/>
            <w:vAlign w:val="bottom"/>
          </w:tcPr>
          <w:p>
            <w:pPr>
              <w:jc w:val="center"/>
              <w:ind w:left="348"/>
              <w:spacing w:after="0"/>
              <w:rPr>
                <w:sz w:val="20"/>
                <w:szCs w:val="20"/>
                <w:color w:val="auto"/>
              </w:rPr>
            </w:pPr>
            <w:r>
              <w:rPr>
                <w:rFonts w:ascii="Arial" w:cs="Arial" w:eastAsia="Arial" w:hAnsi="Arial"/>
                <w:sz w:val="14"/>
                <w:szCs w:val="14"/>
                <w:b w:val="1"/>
                <w:bCs w:val="1"/>
                <w:color w:val="auto"/>
                <w:w w:val="92"/>
              </w:rPr>
              <w:t>Shares Granted</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60" w:type="dxa"/>
            <w:vAlign w:val="bottom"/>
          </w:tcPr>
          <w:p>
            <w:pPr>
              <w:jc w:val="right"/>
              <w:ind w:right="255"/>
              <w:spacing w:after="0"/>
              <w:rPr>
                <w:sz w:val="20"/>
                <w:szCs w:val="20"/>
                <w:color w:val="auto"/>
              </w:rPr>
            </w:pPr>
            <w:r>
              <w:rPr>
                <w:rFonts w:ascii="Arial" w:cs="Arial" w:eastAsia="Arial" w:hAnsi="Arial"/>
                <w:sz w:val="14"/>
                <w:szCs w:val="14"/>
                <w:b w:val="1"/>
                <w:bCs w:val="1"/>
                <w:color w:val="auto"/>
              </w:rPr>
              <w:t>Weighted-Average</w:t>
            </w:r>
          </w:p>
        </w:tc>
      </w:tr>
      <w:tr>
        <w:trPr>
          <w:trHeight w:val="192"/>
        </w:trPr>
        <w:tc>
          <w:tcPr>
            <w:tcW w:w="766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center"/>
              <w:ind w:left="348"/>
              <w:spacing w:after="0"/>
              <w:rPr>
                <w:sz w:val="20"/>
                <w:szCs w:val="20"/>
                <w:color w:val="auto"/>
              </w:rPr>
            </w:pPr>
            <w:r>
              <w:rPr>
                <w:rFonts w:ascii="Arial" w:cs="Arial" w:eastAsia="Arial" w:hAnsi="Arial"/>
                <w:sz w:val="14"/>
                <w:szCs w:val="14"/>
                <w:b w:val="1"/>
                <w:bCs w:val="1"/>
                <w:color w:val="auto"/>
                <w:w w:val="92"/>
              </w:rPr>
              <w:t>(in 000’s)</w:t>
            </w: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w w:val="99"/>
              </w:rPr>
              <w:t>Grant Date Fair Value</w:t>
            </w:r>
          </w:p>
        </w:tc>
      </w:tr>
      <w:tr>
        <w:trPr>
          <w:trHeight w:val="250"/>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December 31, 2012</w:t>
            </w: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270</w:t>
            </w:r>
          </w:p>
        </w:tc>
        <w:tc>
          <w:tcPr>
            <w:tcW w:w="28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18.72</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Granted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80</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19.25</w:t>
            </w:r>
          </w:p>
        </w:tc>
      </w:tr>
      <w:tr>
        <w:trPr>
          <w:trHeight w:val="27"/>
        </w:trPr>
        <w:tc>
          <w:tcPr>
            <w:tcW w:w="766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9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20.74</w:t>
            </w:r>
          </w:p>
        </w:tc>
      </w:tr>
      <w:tr>
        <w:trPr>
          <w:trHeight w:val="243"/>
        </w:trPr>
        <w:tc>
          <w:tcPr>
            <w:tcW w:w="9080" w:type="dxa"/>
            <w:vAlign w:val="bottom"/>
            <w:gridSpan w:val="2"/>
          </w:tcPr>
          <w:p>
            <w:pPr>
              <w:ind w:left="40"/>
              <w:spacing w:after="0"/>
              <w:rPr>
                <w:sz w:val="20"/>
                <w:szCs w:val="20"/>
                <w:color w:val="auto"/>
              </w:rPr>
            </w:pPr>
            <w:r>
              <w:rPr>
                <w:rFonts w:ascii="Arial" w:cs="Arial" w:eastAsia="Arial" w:hAnsi="Arial"/>
                <w:sz w:val="18"/>
                <w:szCs w:val="18"/>
                <w:color w:val="auto"/>
              </w:rPr>
              <w:t>Forfeited</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60" w:type="dxa"/>
            <w:vAlign w:val="bottom"/>
          </w:tcPr>
          <w:p>
            <w:pPr>
              <w:jc w:val="right"/>
              <w:ind w:right="15"/>
              <w:spacing w:after="0"/>
              <w:rPr>
                <w:sz w:val="20"/>
                <w:szCs w:val="20"/>
                <w:color w:val="auto"/>
              </w:rPr>
            </w:pPr>
            <w:r>
              <w:rPr>
                <w:rFonts w:ascii="Arial" w:cs="Arial" w:eastAsia="Arial" w:hAnsi="Arial"/>
                <w:sz w:val="18"/>
                <w:szCs w:val="18"/>
                <w:color w:val="auto"/>
              </w:rPr>
              <w:t>—</w:t>
            </w:r>
          </w:p>
        </w:tc>
      </w:tr>
      <w:tr>
        <w:trPr>
          <w:trHeight w:val="27"/>
        </w:trPr>
        <w:tc>
          <w:tcPr>
            <w:tcW w:w="766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660" w:type="dxa"/>
            <w:vAlign w:val="bottom"/>
            <w:tcBorders>
              <w:bottom w:val="single" w:sz="8" w:color="CCEEFF"/>
            </w:tcBorders>
          </w:tcPr>
          <w:p>
            <w:pPr>
              <w:spacing w:after="0"/>
              <w:rPr>
                <w:sz w:val="2"/>
                <w:szCs w:val="2"/>
                <w:color w:val="auto"/>
              </w:rPr>
            </w:pPr>
          </w:p>
        </w:tc>
      </w:tr>
      <w:tr>
        <w:trPr>
          <w:trHeight w:val="257"/>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at June 30, 2013</w:t>
            </w:r>
          </w:p>
        </w:tc>
        <w:tc>
          <w:tcPr>
            <w:tcW w:w="1420" w:type="dxa"/>
            <w:vAlign w:val="bottom"/>
            <w:tcBorders>
              <w:bottom w:val="single" w:sz="8" w:color="auto"/>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3"/>
              </w:rPr>
              <w:t>278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66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18.34</w:t>
            </w:r>
          </w:p>
        </w:tc>
      </w:tr>
      <w:tr>
        <w:trPr>
          <w:trHeight w:val="20"/>
        </w:trPr>
        <w:tc>
          <w:tcPr>
            <w:tcW w:w="766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r>
    </w:tbl>
    <w:p>
      <w:pPr>
        <w:spacing w:after="0" w:line="148"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June 30, 2013, we expect to recognize $4.1 million of total unrecognized pre-tax stock-based compensation expense related to non-vested restricted stock awards over a weighted-average life of 1.8 years.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Other Income (Expense), Net</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Other income (expense), net consisted of the following: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Three Months Ended June 30,</w:t>
            </w: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500" w:type="dxa"/>
            <w:vAlign w:val="bottom"/>
            <w:tcBorders>
              <w:bottom w:val="single" w:sz="8" w:color="auto"/>
            </w:tcBorders>
            <w:gridSpan w:val="4"/>
          </w:tcPr>
          <w:p>
            <w:pPr>
              <w:jc w:val="right"/>
              <w:ind w:right="474"/>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2012</w:t>
            </w:r>
          </w:p>
        </w:tc>
        <w:tc>
          <w:tcPr>
            <w:tcW w:w="4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2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04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r>
      <w:tr>
        <w:trPr>
          <w:trHeight w:val="270"/>
        </w:trPr>
        <w:tc>
          <w:tcPr>
            <w:tcW w:w="56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Net gain (loss) on foreign currency exchange contracts </w:t>
            </w:r>
            <w:r>
              <w:rPr>
                <w:rFonts w:ascii="Arial" w:cs="Arial" w:eastAsia="Arial" w:hAnsi="Arial"/>
                <w:sz w:val="25"/>
                <w:szCs w:val="25"/>
                <w:color w:val="auto"/>
                <w:vertAlign w:val="superscript"/>
              </w:rPr>
              <w:t>(1)</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20" w:type="dxa"/>
            <w:vAlign w:val="bottom"/>
            <w:shd w:val="clear" w:color="auto" w:fill="CCEEFF"/>
          </w:tcPr>
          <w:p>
            <w:pPr>
              <w:spacing w:after="0"/>
              <w:rPr>
                <w:sz w:val="23"/>
                <w:szCs w:val="23"/>
                <w:color w:val="auto"/>
              </w:rPr>
            </w:pPr>
          </w:p>
        </w:tc>
        <w:tc>
          <w:tcPr>
            <w:tcW w:w="900" w:type="dxa"/>
            <w:vAlign w:val="bottom"/>
            <w:shd w:val="clear" w:color="auto" w:fill="CCEEFF"/>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0"/>
              </w:rPr>
              <w:t>(254)</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(214)</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Net gain (loss) on foreign currency exchange transactions</w:t>
            </w:r>
          </w:p>
        </w:tc>
        <w:tc>
          <w:tcPr>
            <w:tcW w:w="30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(1,596)</w:t>
            </w:r>
          </w:p>
        </w:tc>
        <w:tc>
          <w:tcPr>
            <w:tcW w:w="1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ind w:right="30"/>
              <w:spacing w:after="0"/>
              <w:rPr>
                <w:sz w:val="20"/>
                <w:szCs w:val="20"/>
                <w:color w:val="auto"/>
              </w:rPr>
            </w:pPr>
            <w:r>
              <w:rPr>
                <w:rFonts w:ascii="Arial" w:cs="Arial" w:eastAsia="Arial" w:hAnsi="Arial"/>
                <w:sz w:val="18"/>
                <w:szCs w:val="18"/>
                <w:color w:val="auto"/>
              </w:rPr>
              <w:t>111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(1,949)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(339)</w:t>
            </w:r>
          </w:p>
        </w:tc>
      </w:tr>
      <w:tr>
        <w:trPr>
          <w:trHeight w:val="27"/>
        </w:trPr>
        <w:tc>
          <w:tcPr>
            <w:tcW w:w="5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income</w:t>
            </w:r>
          </w:p>
        </w:tc>
        <w:tc>
          <w:tcPr>
            <w:tcW w:w="3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103</w:t>
            </w:r>
          </w:p>
        </w:tc>
      </w:tr>
      <w:tr>
        <w:trPr>
          <w:trHeight w:val="237"/>
        </w:trPr>
        <w:tc>
          <w:tcPr>
            <w:tcW w:w="562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(1,630)</w:t>
            </w:r>
          </w:p>
        </w:tc>
        <w:tc>
          <w:tcPr>
            <w:tcW w:w="120" w:type="dxa"/>
            <w:vAlign w:val="bottom"/>
          </w:tcPr>
          <w:p>
            <w:pPr>
              <w:spacing w:after="0"/>
              <w:rPr>
                <w:sz w:val="20"/>
                <w:szCs w:val="20"/>
                <w:color w:val="auto"/>
              </w:rPr>
            </w:pPr>
          </w:p>
        </w:tc>
        <w:tc>
          <w:tcPr>
            <w:tcW w:w="900" w:type="dxa"/>
            <w:vAlign w:val="bottom"/>
            <w:tcBorders>
              <w:top w:val="single" w:sz="8" w:color="auto"/>
            </w:tcBorders>
          </w:tcPr>
          <w:p>
            <w:pPr>
              <w:jc w:val="right"/>
              <w:ind w:right="716"/>
              <w:spacing w:after="0"/>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0"/>
              </w:rPr>
              <w:t>(126)</w:t>
            </w:r>
          </w:p>
        </w:tc>
        <w:tc>
          <w:tcPr>
            <w:tcW w:w="100" w:type="dxa"/>
            <w:vAlign w:val="bottom"/>
          </w:tcPr>
          <w:p>
            <w:pPr>
              <w:spacing w:after="0"/>
              <w:rPr>
                <w:sz w:val="20"/>
                <w:szCs w:val="20"/>
                <w:color w:val="auto"/>
              </w:rPr>
            </w:pPr>
          </w:p>
        </w:tc>
        <w:tc>
          <w:tcPr>
            <w:tcW w:w="34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(2,180)</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(450)</w:t>
            </w:r>
          </w:p>
        </w:tc>
      </w:tr>
      <w:tr>
        <w:trPr>
          <w:trHeight w:val="27"/>
        </w:trPr>
        <w:tc>
          <w:tcPr>
            <w:tcW w:w="56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r>
      <w:tr>
        <w:trPr>
          <w:trHeight w:val="20"/>
        </w:trPr>
        <w:tc>
          <w:tcPr>
            <w:tcW w:w="56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ind w:left="5620" w:right="2140" w:hanging="5288"/>
        <w:spacing w:after="0" w:line="466" w:lineRule="auto"/>
        <w:tabs>
          <w:tab w:leader="none" w:pos="652" w:val="left"/>
        </w:tabs>
        <w:numPr>
          <w:ilvl w:val="0"/>
          <w:numId w:val="9"/>
        </w:numPr>
        <w:rPr>
          <w:rFonts w:ascii="Arial" w:cs="Arial" w:eastAsia="Arial" w:hAnsi="Arial"/>
          <w:sz w:val="25"/>
          <w:szCs w:val="25"/>
          <w:color w:val="auto"/>
          <w:vertAlign w:val="superscript"/>
        </w:rPr>
      </w:pPr>
      <w:r>
        <w:rPr>
          <w:rFonts w:ascii="Arial" w:cs="Arial" w:eastAsia="Arial" w:hAnsi="Arial"/>
          <w:sz w:val="18"/>
          <w:szCs w:val="18"/>
          <w:color w:val="auto"/>
        </w:rPr>
        <w:t>This represents the gains and (losses) incurred on foreign currency hedging derivatives (see Note 16 for further details). 18</w:t>
      </w:r>
    </w:p>
    <w:p>
      <w:pPr>
        <w:sectPr>
          <w:pgSz w:w="11900" w:h="16838" w:orient="portrait"/>
          <w:cols w:equalWidth="0" w:num="1">
            <w:col w:w="11420"/>
          </w:cols>
          <w:pgMar w:left="240" w:top="118" w:right="239" w:bottom="1440" w:gutter="0" w:footer="0" w:header="0"/>
        </w:sectPr>
      </w:pPr>
    </w:p>
    <w:bookmarkStart w:id="18" w:name="page19"/>
    <w:bookmarkEnd w:id="1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Earnings Per Share</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Earnings per share was calculated as follows:</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3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 June 30,</w:t>
            </w:r>
          </w:p>
        </w:tc>
        <w:tc>
          <w:tcPr>
            <w:tcW w:w="340" w:type="dxa"/>
            <w:vAlign w:val="bottom"/>
          </w:tcPr>
          <w:p>
            <w:pPr>
              <w:spacing w:after="0"/>
              <w:rPr>
                <w:sz w:val="16"/>
                <w:szCs w:val="16"/>
                <w:color w:val="auto"/>
              </w:rPr>
            </w:pPr>
          </w:p>
        </w:tc>
        <w:tc>
          <w:tcPr>
            <w:tcW w:w="2500" w:type="dxa"/>
            <w:vAlign w:val="bottom"/>
            <w:gridSpan w:val="4"/>
          </w:tcPr>
          <w:p>
            <w:pPr>
              <w:jc w:val="right"/>
              <w:ind w:right="472"/>
              <w:spacing w:after="0"/>
              <w:rPr>
                <w:sz w:val="20"/>
                <w:szCs w:val="20"/>
                <w:color w:val="auto"/>
              </w:rPr>
            </w:pPr>
            <w:r>
              <w:rPr>
                <w:rFonts w:ascii="Arial" w:cs="Arial" w:eastAsia="Arial" w:hAnsi="Arial"/>
                <w:sz w:val="14"/>
                <w:szCs w:val="14"/>
                <w:b w:val="1"/>
                <w:bCs w:val="1"/>
                <w:color w:val="auto"/>
              </w:rPr>
              <w:t>Six Months Ended June 30,</w:t>
            </w:r>
          </w:p>
        </w:tc>
        <w:tc>
          <w:tcPr>
            <w:tcW w:w="0" w:type="dxa"/>
            <w:vAlign w:val="bottom"/>
          </w:tcPr>
          <w:p>
            <w:pPr>
              <w:spacing w:after="0"/>
              <w:rPr>
                <w:sz w:val="1"/>
                <w:szCs w:val="1"/>
                <w:color w:val="auto"/>
              </w:rPr>
            </w:pPr>
          </w:p>
        </w:tc>
      </w:tr>
      <w:tr>
        <w:trPr>
          <w:trHeight w:val="263"/>
        </w:trPr>
        <w:tc>
          <w:tcPr>
            <w:tcW w:w="5380" w:type="dxa"/>
            <w:vAlign w:val="bottom"/>
          </w:tcPr>
          <w:p>
            <w:pPr>
              <w:ind w:left="40"/>
              <w:spacing w:after="0"/>
              <w:rPr>
                <w:sz w:val="20"/>
                <w:szCs w:val="20"/>
                <w:color w:val="auto"/>
              </w:rPr>
            </w:pPr>
            <w:r>
              <w:rPr>
                <w:rFonts w:ascii="Arial" w:cs="Arial" w:eastAsia="Arial" w:hAnsi="Arial"/>
                <w:sz w:val="14"/>
                <w:szCs w:val="14"/>
                <w:b w:val="1"/>
                <w:bCs w:val="1"/>
                <w:color w:val="auto"/>
              </w:rPr>
              <w:t>(In thousands, except per-share amounts)</w:t>
            </w:r>
          </w:p>
        </w:tc>
        <w:tc>
          <w:tcPr>
            <w:tcW w:w="360" w:type="dxa"/>
            <w:vAlign w:val="bottom"/>
            <w:tcBorders>
              <w:top w:val="single" w:sz="8" w:color="auto"/>
              <w:bottom w:val="single" w:sz="8" w:color="auto"/>
            </w:tcBorders>
          </w:tcPr>
          <w:p>
            <w:pPr>
              <w:spacing w:after="0"/>
              <w:rPr>
                <w:sz w:val="22"/>
                <w:szCs w:val="22"/>
                <w:color w:val="auto"/>
              </w:rPr>
            </w:pPr>
          </w:p>
        </w:tc>
        <w:tc>
          <w:tcPr>
            <w:tcW w:w="1160" w:type="dxa"/>
            <w:vAlign w:val="bottom"/>
            <w:tcBorders>
              <w:top w:val="single" w:sz="8" w:color="auto"/>
              <w:bottom w:val="single" w:sz="8" w:color="auto"/>
            </w:tcBorders>
          </w:tcPr>
          <w:p>
            <w:pPr>
              <w:jc w:val="right"/>
              <w:ind w:right="534"/>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tcBorders>
          </w:tcPr>
          <w:p>
            <w:pPr>
              <w:spacing w:after="0"/>
              <w:rPr>
                <w:sz w:val="22"/>
                <w:szCs w:val="22"/>
                <w:color w:val="auto"/>
              </w:rPr>
            </w:pPr>
          </w:p>
        </w:tc>
        <w:tc>
          <w:tcPr>
            <w:tcW w:w="36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512"/>
              <w:spacing w:after="0"/>
              <w:rPr>
                <w:sz w:val="20"/>
                <w:szCs w:val="20"/>
                <w:color w:val="auto"/>
              </w:rPr>
            </w:pPr>
            <w:r>
              <w:rPr>
                <w:rFonts w:ascii="Arial" w:cs="Arial" w:eastAsia="Arial" w:hAnsi="Arial"/>
                <w:sz w:val="14"/>
                <w:szCs w:val="14"/>
                <w:b w:val="1"/>
                <w:bCs w:val="1"/>
                <w:color w:val="auto"/>
              </w:rPr>
              <w:t>2012</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0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30"/>
        </w:trPr>
        <w:tc>
          <w:tcPr>
            <w:tcW w:w="5380" w:type="dxa"/>
            <w:vAlign w:val="bottom"/>
          </w:tcPr>
          <w:p>
            <w:pPr>
              <w:ind w:left="40"/>
              <w:spacing w:after="0"/>
              <w:rPr>
                <w:sz w:val="20"/>
                <w:szCs w:val="20"/>
                <w:color w:val="auto"/>
              </w:rPr>
            </w:pPr>
            <w:r>
              <w:rPr>
                <w:rFonts w:ascii="Arial" w:cs="Arial" w:eastAsia="Arial" w:hAnsi="Arial"/>
                <w:sz w:val="18"/>
                <w:szCs w:val="18"/>
                <w:b w:val="1"/>
                <w:bCs w:val="1"/>
                <w:color w:val="auto"/>
              </w:rPr>
              <w:t>BASIC</w:t>
            </w:r>
          </w:p>
        </w:tc>
        <w:tc>
          <w:tcPr>
            <w:tcW w:w="3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15,032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Basic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0.35</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0.58</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0.46</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8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38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6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3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0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5,841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5,153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6,785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Weighted-average common shares outstanding for basic</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80" w:type="dxa"/>
            <w:vAlign w:val="bottom"/>
            <w:vMerge w:val="continue"/>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ind w:right="34"/>
              <w:spacing w:after="0"/>
              <w:rPr>
                <w:sz w:val="20"/>
                <w:szCs w:val="20"/>
                <w:color w:val="auto"/>
              </w:rPr>
            </w:pPr>
            <w:r>
              <w:rPr>
                <w:rFonts w:ascii="Arial" w:cs="Arial" w:eastAsia="Arial" w:hAnsi="Arial"/>
                <w:sz w:val="18"/>
                <w:szCs w:val="18"/>
                <w:color w:val="auto"/>
              </w:rPr>
              <w:t>15,098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20" w:type="dxa"/>
            <w:vAlign w:val="bottom"/>
          </w:tcPr>
          <w:p>
            <w:pPr>
              <w:jc w:val="right"/>
              <w:ind w:right="32"/>
              <w:spacing w:after="0"/>
              <w:rPr>
                <w:sz w:val="20"/>
                <w:szCs w:val="20"/>
                <w:color w:val="auto"/>
              </w:rPr>
            </w:pPr>
            <w:r>
              <w:rPr>
                <w:rFonts w:ascii="Arial" w:cs="Arial" w:eastAsia="Arial" w:hAnsi="Arial"/>
                <w:sz w:val="18"/>
                <w:szCs w:val="18"/>
                <w:color w:val="auto"/>
              </w:rPr>
              <w:t>14,933</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15,032</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14,904</w:t>
            </w:r>
          </w:p>
        </w:tc>
        <w:tc>
          <w:tcPr>
            <w:tcW w:w="0" w:type="dxa"/>
            <w:vAlign w:val="bottom"/>
          </w:tcPr>
          <w:p>
            <w:pPr>
              <w:spacing w:after="0"/>
              <w:rPr>
                <w:sz w:val="1"/>
                <w:szCs w:val="1"/>
                <w:color w:val="auto"/>
              </w:rPr>
            </w:pPr>
          </w:p>
        </w:tc>
      </w:tr>
      <w:tr>
        <w:trPr>
          <w:trHeight w:val="27"/>
        </w:trPr>
        <w:tc>
          <w:tcPr>
            <w:tcW w:w="53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Dilutive effect of stock options and restricted stock</w:t>
            </w: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321</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290</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176</w:t>
            </w:r>
          </w:p>
        </w:tc>
        <w:tc>
          <w:tcPr>
            <w:tcW w:w="0" w:type="dxa"/>
            <w:vAlign w:val="bottom"/>
          </w:tcPr>
          <w:p>
            <w:pPr>
              <w:spacing w:after="0"/>
              <w:rPr>
                <w:sz w:val="1"/>
                <w:szCs w:val="1"/>
                <w:color w:val="auto"/>
              </w:rPr>
            </w:pPr>
          </w:p>
        </w:tc>
      </w:tr>
      <w:tr>
        <w:trPr>
          <w:trHeight w:val="237"/>
        </w:trPr>
        <w:tc>
          <w:tcPr>
            <w:tcW w:w="5380" w:type="dxa"/>
            <w:vAlign w:val="bottom"/>
          </w:tcPr>
          <w:p>
            <w:pPr>
              <w:ind w:left="40"/>
              <w:spacing w:after="0"/>
              <w:rPr>
                <w:sz w:val="20"/>
                <w:szCs w:val="20"/>
                <w:color w:val="auto"/>
              </w:rPr>
            </w:pPr>
            <w:r>
              <w:rPr>
                <w:rFonts w:ascii="Arial" w:cs="Arial" w:eastAsia="Arial" w:hAnsi="Arial"/>
                <w:sz w:val="18"/>
                <w:szCs w:val="18"/>
                <w:color w:val="auto"/>
              </w:rPr>
              <w:t>Weighted-average common shares outstanding on a diluted basis</w:t>
            </w:r>
          </w:p>
        </w:tc>
        <w:tc>
          <w:tcPr>
            <w:tcW w:w="36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15,419</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15,048</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15,322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15,080</w:t>
            </w:r>
          </w:p>
        </w:tc>
        <w:tc>
          <w:tcPr>
            <w:tcW w:w="0" w:type="dxa"/>
            <w:vAlign w:val="bottom"/>
          </w:tcPr>
          <w:p>
            <w:pPr>
              <w:spacing w:after="0"/>
              <w:rPr>
                <w:sz w:val="1"/>
                <w:szCs w:val="1"/>
                <w:color w:val="auto"/>
              </w:rPr>
            </w:pPr>
          </w:p>
        </w:tc>
      </w:tr>
      <w:tr>
        <w:trPr>
          <w:trHeight w:val="27"/>
        </w:trPr>
        <w:tc>
          <w:tcPr>
            <w:tcW w:w="53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Diluted earnings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0.34</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0.57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0.45</w:t>
            </w:r>
          </w:p>
        </w:tc>
        <w:tc>
          <w:tcPr>
            <w:tcW w:w="0" w:type="dxa"/>
            <w:vAlign w:val="bottom"/>
          </w:tcPr>
          <w:p>
            <w:pPr>
              <w:spacing w:after="0"/>
              <w:rPr>
                <w:sz w:val="1"/>
                <w:szCs w:val="1"/>
                <w:color w:val="auto"/>
              </w:rPr>
            </w:pPr>
          </w:p>
        </w:tc>
      </w:tr>
      <w:tr>
        <w:trPr>
          <w:trHeight w:val="20"/>
        </w:trPr>
        <w:tc>
          <w:tcPr>
            <w:tcW w:w="53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spacing w:after="0"/>
        <w:rPr>
          <w:sz w:val="20"/>
          <w:szCs w:val="20"/>
          <w:color w:val="auto"/>
        </w:rPr>
      </w:pPr>
      <w:r>
        <w:rPr>
          <w:rFonts w:ascii="Arial" w:cs="Arial" w:eastAsia="Arial" w:hAnsi="Arial"/>
          <w:sz w:val="17"/>
          <w:szCs w:val="17"/>
          <w:color w:val="auto"/>
        </w:rPr>
        <w:t>The number of stock options and shares of restricted stock excluded from the computation of diluted earnings per common share were as follows:</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620" w:type="dxa"/>
            <w:vAlign w:val="bottom"/>
          </w:tcPr>
          <w:p>
            <w:pPr>
              <w:spacing w:after="0"/>
              <w:rPr>
                <w:sz w:val="16"/>
                <w:szCs w:val="16"/>
                <w:color w:val="auto"/>
              </w:rPr>
            </w:pPr>
          </w:p>
        </w:tc>
        <w:tc>
          <w:tcPr>
            <w:tcW w:w="3000" w:type="dxa"/>
            <w:vAlign w:val="bottom"/>
            <w:gridSpan w:val="4"/>
          </w:tcPr>
          <w:p>
            <w:pPr>
              <w:ind w:left="520"/>
              <w:spacing w:after="0"/>
              <w:rPr>
                <w:sz w:val="20"/>
                <w:szCs w:val="20"/>
                <w:color w:val="auto"/>
              </w:rPr>
            </w:pPr>
            <w:r>
              <w:rPr>
                <w:rFonts w:ascii="Arial" w:cs="Arial" w:eastAsia="Arial" w:hAnsi="Arial"/>
                <w:sz w:val="14"/>
                <w:szCs w:val="14"/>
                <w:b w:val="1"/>
                <w:bCs w:val="1"/>
                <w:color w:val="auto"/>
              </w:rPr>
              <w:t>Three Months Ended June 30,</w:t>
            </w:r>
          </w:p>
        </w:tc>
        <w:tc>
          <w:tcPr>
            <w:tcW w:w="2800" w:type="dxa"/>
            <w:vAlign w:val="bottom"/>
            <w:gridSpan w:val="3"/>
          </w:tcPr>
          <w:p>
            <w:pPr>
              <w:jc w:val="right"/>
              <w:ind w:right="456"/>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62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80" w:type="dxa"/>
            <w:vAlign w:val="bottom"/>
            <w:tcBorders>
              <w:top w:val="single" w:sz="8" w:color="auto"/>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2013</w:t>
            </w:r>
          </w:p>
        </w:tc>
        <w:tc>
          <w:tcPr>
            <w:tcW w:w="12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c>
          <w:tcPr>
            <w:tcW w:w="140" w:type="dxa"/>
            <w:vAlign w:val="bottom"/>
            <w:tcBorders>
              <w:bottom w:val="single" w:sz="8" w:color="CCEEFF"/>
            </w:tcBorders>
          </w:tcPr>
          <w:p>
            <w:pPr>
              <w:spacing w:after="0"/>
              <w:rPr>
                <w:sz w:val="22"/>
                <w:szCs w:val="22"/>
                <w:color w:val="auto"/>
              </w:rPr>
            </w:pPr>
          </w:p>
        </w:tc>
        <w:tc>
          <w:tcPr>
            <w:tcW w:w="1340" w:type="dxa"/>
            <w:vAlign w:val="bottom"/>
            <w:tcBorders>
              <w:top w:val="single" w:sz="8" w:color="auto"/>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top w:val="single" w:sz="8" w:color="auto"/>
              <w:bottom w:val="single" w:sz="8" w:color="CCEEFF"/>
            </w:tcBorders>
          </w:tcPr>
          <w:p>
            <w:pPr>
              <w:spacing w:after="0"/>
              <w:rPr>
                <w:sz w:val="22"/>
                <w:szCs w:val="22"/>
                <w:color w:val="auto"/>
              </w:rPr>
            </w:pPr>
          </w:p>
        </w:tc>
        <w:tc>
          <w:tcPr>
            <w:tcW w:w="136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2012</w:t>
            </w: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Stock options</w:t>
            </w:r>
          </w:p>
        </w:tc>
        <w:tc>
          <w:tcPr>
            <w:tcW w:w="138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8"/>
                <w:szCs w:val="18"/>
                <w:color w:val="auto"/>
              </w:rPr>
              <w:t>641</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1,228</w:t>
            </w:r>
          </w:p>
        </w:tc>
        <w:tc>
          <w:tcPr>
            <w:tcW w:w="14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729</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967</w:t>
            </w: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Restricted stock shares</w:t>
            </w: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167</w:t>
            </w:r>
          </w:p>
        </w:tc>
        <w:tc>
          <w:tcPr>
            <w:tcW w:w="140" w:type="dxa"/>
            <w:vAlign w:val="bottom"/>
          </w:tcPr>
          <w:p>
            <w:pPr>
              <w:spacing w:after="0"/>
              <w:rPr>
                <w:sz w:val="21"/>
                <w:szCs w:val="21"/>
                <w:color w:val="auto"/>
              </w:rPr>
            </w:pPr>
          </w:p>
        </w:tc>
        <w:tc>
          <w:tcPr>
            <w:tcW w:w="1340" w:type="dxa"/>
            <w:vAlign w:val="bottom"/>
          </w:tcPr>
          <w:p>
            <w:pPr>
              <w:jc w:val="right"/>
              <w:ind w:right="19"/>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60" w:type="dxa"/>
            <w:vAlign w:val="bottom"/>
          </w:tcPr>
          <w:p>
            <w:pPr>
              <w:jc w:val="right"/>
              <w:ind w:right="16"/>
              <w:spacing w:after="0"/>
              <w:rPr>
                <w:sz w:val="20"/>
                <w:szCs w:val="20"/>
                <w:color w:val="auto"/>
              </w:rPr>
            </w:pPr>
            <w:r>
              <w:rPr>
                <w:rFonts w:ascii="Arial" w:cs="Arial" w:eastAsia="Arial" w:hAnsi="Arial"/>
                <w:sz w:val="18"/>
                <w:szCs w:val="18"/>
                <w:color w:val="auto"/>
              </w:rPr>
              <w:t>162</w:t>
            </w:r>
          </w:p>
        </w:tc>
      </w:tr>
    </w:tbl>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Derivatives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We are exposed to market risks from foreign currency exchange rates, which may adversely affect our operating results and financial position. Our foreign currency exposures are primarily concentrated in the Argentinian Peso, Brazilian Real, British Pound, Chinese Yuan Renminbi, Euro, Hong Kong dollar, Indian Rupee, and Singapore dollar. We periodically enter into foreign currency exchange contracts with terms normally lasting less than nine months to protect against the adverse effects that exchange-rate fluctuations may have on our foreign currency-denominated receivables, payables, cash flows and reported income. Derivative financial instruments are used to manage risk and are not used for trading or other speculative purposes. We do not use leveraged derivative financial instruments and these derivatives have not qualified for hedge accounting.</w:t>
      </w:r>
    </w:p>
    <w:p>
      <w:pPr>
        <w:spacing w:after="0" w:line="12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gains and losses on the derivatives are recorded in other income (expense), net. Derivatives are recorded on the balance sheet at fair value. The estimated fair values of our derivative financial instruments represent the amount required to enter into offsetting contracts with similar remaining maturities based on quoted market prices. We have determined that the fair value of our derivatives are derived from level 2 inputs in the fair value hierarchy. The following table sets forth the fair value of derivatives:</w:t>
      </w:r>
    </w:p>
    <w:p>
      <w:pPr>
        <w:spacing w:after="0" w:line="381" w:lineRule="exact"/>
        <w:rPr>
          <w:sz w:val="20"/>
          <w:szCs w:val="20"/>
          <w:color w:val="auto"/>
        </w:rPr>
      </w:pPr>
    </w:p>
    <w:tbl>
      <w:tblPr>
        <w:tblLayout w:type="fixed"/>
        <w:tblInd w:w="20" w:type="dxa"/>
        <w:tblCellMar>
          <w:top w:w="0" w:type="dxa"/>
          <w:left w:w="0" w:type="dxa"/>
          <w:bottom w:w="0" w:type="dxa"/>
          <w:right w:w="0" w:type="dxa"/>
        </w:tblCellMar>
      </w:tblPr>
      <w:tr>
        <w:trPr>
          <w:trHeight w:val="192"/>
        </w:trPr>
        <w:tc>
          <w:tcPr>
            <w:tcW w:w="3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5"/>
          </w:tcPr>
          <w:p>
            <w:pPr>
              <w:ind w:left="360"/>
              <w:spacing w:after="0"/>
              <w:rPr>
                <w:sz w:val="20"/>
                <w:szCs w:val="20"/>
                <w:color w:val="auto"/>
              </w:rPr>
            </w:pPr>
            <w:r>
              <w:rPr>
                <w:rFonts w:ascii="Arial" w:cs="Arial" w:eastAsia="Arial" w:hAnsi="Arial"/>
                <w:sz w:val="14"/>
                <w:szCs w:val="14"/>
                <w:b w:val="1"/>
                <w:bCs w:val="1"/>
                <w:color w:val="auto"/>
              </w:rPr>
              <w:t>June 30, 2013</w:t>
            </w:r>
          </w:p>
        </w:tc>
        <w:tc>
          <w:tcPr>
            <w:tcW w:w="16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5"/>
          </w:tcPr>
          <w:p>
            <w:pPr>
              <w:ind w:left="160"/>
              <w:spacing w:after="0"/>
              <w:rPr>
                <w:sz w:val="20"/>
                <w:szCs w:val="20"/>
                <w:color w:val="auto"/>
              </w:rPr>
            </w:pPr>
            <w:r>
              <w:rPr>
                <w:rFonts w:ascii="Arial" w:cs="Arial" w:eastAsia="Arial" w:hAnsi="Arial"/>
                <w:sz w:val="14"/>
                <w:szCs w:val="14"/>
                <w:b w:val="1"/>
                <w:bCs w:val="1"/>
                <w:color w:val="auto"/>
              </w:rPr>
              <w:t>December 31, 2012</w:t>
            </w:r>
          </w:p>
        </w:tc>
        <w:tc>
          <w:tcPr>
            <w:tcW w:w="14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r>
      <w:tr>
        <w:trPr>
          <w:trHeight w:val="264"/>
        </w:trPr>
        <w:tc>
          <w:tcPr>
            <w:tcW w:w="3900" w:type="dxa"/>
            <w:vAlign w:val="bottom"/>
            <w:gridSpan w:val="2"/>
          </w:tcPr>
          <w:p>
            <w:pPr>
              <w:ind w:left="2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auto"/>
            </w:tcBorders>
          </w:tcPr>
          <w:p>
            <w:pPr>
              <w:spacing w:after="0"/>
              <w:rPr>
                <w:sz w:val="22"/>
                <w:szCs w:val="22"/>
                <w:color w:val="auto"/>
              </w:rPr>
            </w:pPr>
          </w:p>
        </w:tc>
        <w:tc>
          <w:tcPr>
            <w:tcW w:w="2520" w:type="dxa"/>
            <w:vAlign w:val="bottom"/>
            <w:tcBorders>
              <w:bottom w:val="single" w:sz="8" w:color="auto"/>
            </w:tcBorders>
            <w:gridSpan w:val="7"/>
          </w:tcPr>
          <w:p>
            <w:pPr>
              <w:jc w:val="center"/>
              <w:ind w:right="19"/>
              <w:spacing w:after="0"/>
              <w:rPr>
                <w:sz w:val="20"/>
                <w:szCs w:val="20"/>
                <w:color w:val="auto"/>
              </w:rPr>
            </w:pPr>
            <w:r>
              <w:rPr>
                <w:rFonts w:ascii="Arial" w:cs="Arial" w:eastAsia="Arial" w:hAnsi="Arial"/>
                <w:sz w:val="14"/>
                <w:szCs w:val="14"/>
                <w:b w:val="1"/>
                <w:bCs w:val="1"/>
                <w:color w:val="auto"/>
                <w:w w:val="93"/>
              </w:rPr>
              <w:t>Fair Value Measurement Using</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5"/>
              </w:rPr>
              <w:t>Total</w:t>
            </w:r>
          </w:p>
        </w:tc>
        <w:tc>
          <w:tcPr>
            <w:tcW w:w="140" w:type="dxa"/>
            <w:vAlign w:val="bottom"/>
            <w:tcBorders>
              <w:bottom w:val="single" w:sz="8" w:color="auto"/>
            </w:tcBorders>
          </w:tcPr>
          <w:p>
            <w:pPr>
              <w:spacing w:after="0"/>
              <w:rPr>
                <w:sz w:val="22"/>
                <w:szCs w:val="22"/>
                <w:color w:val="auto"/>
              </w:rPr>
            </w:pPr>
          </w:p>
        </w:tc>
        <w:tc>
          <w:tcPr>
            <w:tcW w:w="2680" w:type="dxa"/>
            <w:vAlign w:val="bottom"/>
            <w:tcBorders>
              <w:bottom w:val="single" w:sz="8" w:color="auto"/>
            </w:tcBorders>
            <w:gridSpan w:val="7"/>
          </w:tcPr>
          <w:p>
            <w:pPr>
              <w:jc w:val="center"/>
              <w:ind w:right="39"/>
              <w:spacing w:after="0"/>
              <w:rPr>
                <w:sz w:val="20"/>
                <w:szCs w:val="20"/>
                <w:color w:val="auto"/>
              </w:rPr>
            </w:pPr>
            <w:r>
              <w:rPr>
                <w:rFonts w:ascii="Arial" w:cs="Arial" w:eastAsia="Arial" w:hAnsi="Arial"/>
                <w:sz w:val="14"/>
                <w:szCs w:val="14"/>
                <w:b w:val="1"/>
                <w:bCs w:val="1"/>
                <w:color w:val="auto"/>
                <w:w w:val="94"/>
              </w:rPr>
              <w:t>Fair Value Measurement Using</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60" w:type="dxa"/>
            <w:vAlign w:val="bottom"/>
          </w:tcPr>
          <w:p>
            <w:pPr>
              <w:jc w:val="center"/>
              <w:ind w:right="42"/>
              <w:spacing w:after="0"/>
              <w:rPr>
                <w:sz w:val="20"/>
                <w:szCs w:val="20"/>
                <w:color w:val="auto"/>
              </w:rPr>
            </w:pPr>
            <w:r>
              <w:rPr>
                <w:rFonts w:ascii="Arial" w:cs="Arial" w:eastAsia="Arial" w:hAnsi="Arial"/>
                <w:sz w:val="14"/>
                <w:szCs w:val="14"/>
                <w:b w:val="1"/>
                <w:bCs w:val="1"/>
                <w:color w:val="auto"/>
                <w:w w:val="89"/>
              </w:rPr>
              <w:t>Total</w:t>
            </w:r>
          </w:p>
        </w:tc>
      </w:tr>
      <w:tr>
        <w:trPr>
          <w:trHeight w:val="264"/>
        </w:trPr>
        <w:tc>
          <w:tcPr>
            <w:tcW w:w="37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Description</w:t>
            </w:r>
          </w:p>
        </w:tc>
        <w:tc>
          <w:tcPr>
            <w:tcW w:w="14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4"/>
              </w:rPr>
              <w:t>(Level 2)</w:t>
            </w: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8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jc w:val="center"/>
              <w:ind w:right="82"/>
              <w:spacing w:after="0"/>
              <w:rPr>
                <w:sz w:val="20"/>
                <w:szCs w:val="20"/>
                <w:color w:val="auto"/>
              </w:rPr>
            </w:pPr>
            <w:r>
              <w:rPr>
                <w:rFonts w:ascii="Arial" w:cs="Arial" w:eastAsia="Arial" w:hAnsi="Arial"/>
                <w:sz w:val="14"/>
                <w:szCs w:val="14"/>
                <w:b w:val="1"/>
                <w:bCs w:val="1"/>
                <w:color w:val="auto"/>
                <w:w w:val="89"/>
              </w:rPr>
              <w:t>Balance</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1)</w:t>
            </w: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4"/>
              </w:rPr>
              <w:t>(Level 2)</w:t>
            </w:r>
          </w:p>
        </w:tc>
        <w:tc>
          <w:tcPr>
            <w:tcW w:w="1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76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(Level 3)</w:t>
            </w:r>
          </w:p>
        </w:tc>
        <w:tc>
          <w:tcPr>
            <w:tcW w:w="10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660" w:type="dxa"/>
            <w:vAlign w:val="bottom"/>
            <w:tcBorders>
              <w:bottom w:val="single" w:sz="8" w:color="auto"/>
            </w:tcBorders>
          </w:tcPr>
          <w:p>
            <w:pPr>
              <w:jc w:val="center"/>
              <w:ind w:right="42"/>
              <w:spacing w:after="0"/>
              <w:rPr>
                <w:sz w:val="20"/>
                <w:szCs w:val="20"/>
                <w:color w:val="auto"/>
              </w:rPr>
            </w:pPr>
            <w:r>
              <w:rPr>
                <w:rFonts w:ascii="Arial" w:cs="Arial" w:eastAsia="Arial" w:hAnsi="Arial"/>
                <w:sz w:val="14"/>
                <w:szCs w:val="14"/>
                <w:b w:val="1"/>
                <w:bCs w:val="1"/>
                <w:color w:val="auto"/>
                <w:w w:val="93"/>
              </w:rPr>
              <w:t>Balance</w:t>
            </w:r>
          </w:p>
        </w:tc>
      </w:tr>
      <w:tr>
        <w:trPr>
          <w:trHeight w:val="243"/>
        </w:trPr>
        <w:tc>
          <w:tcPr>
            <w:tcW w:w="39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currency exchange futures contracts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80" w:type="dxa"/>
            <w:vAlign w:val="bottom"/>
            <w:gridSpan w:val="2"/>
            <w:shd w:val="clear" w:color="auto" w:fill="CCEEFF"/>
          </w:tcPr>
          <w:p>
            <w:pPr>
              <w:ind w:left="40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ind w:left="4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376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66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spacing w:after="0" w:line="308" w:lineRule="auto"/>
        <w:rPr>
          <w:sz w:val="20"/>
          <w:szCs w:val="20"/>
          <w:color w:val="auto"/>
        </w:rPr>
      </w:pPr>
      <w:r>
        <w:rPr>
          <w:rFonts w:ascii="Arial" w:cs="Arial" w:eastAsia="Arial" w:hAnsi="Arial"/>
          <w:sz w:val="17"/>
          <w:szCs w:val="17"/>
          <w:color w:val="auto"/>
        </w:rPr>
        <w:t>We held foreign currency exchange contracts which resulted in a net pre-tax loss of $0.1 million and $0.3 million for the three months ended June 30, 2013 and 2012, respectively. For the six months ended June 30, 2013 and 2012, we had a net pre-tax loss of $0.3 million and $0.2 million, respectively.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118" w:right="239" w:bottom="1440" w:gutter="0" w:footer="0" w:header="0"/>
        </w:sectPr>
      </w:pPr>
    </w:p>
    <w:bookmarkStart w:id="19" w:name="page20"/>
    <w:bookmarkEnd w:id="1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UNIVERSAL ELECTRONICS INC.</w:t>
      </w:r>
    </w:p>
    <w:p>
      <w:pPr>
        <w:spacing w:after="0" w:line="8"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JUNE 30, 2013</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color w:val="auto"/>
        </w:rPr>
        <w:t>Details of foreign currency futures contracts held were as follows: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Gain/(Loss)</w:t>
            </w:r>
          </w:p>
        </w:tc>
        <w:tc>
          <w:tcPr>
            <w:tcW w:w="1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tcPr>
          <w:p>
            <w:pPr>
              <w:spacing w:after="0"/>
              <w:rPr>
                <w:sz w:val="12"/>
                <w:szCs w:val="12"/>
                <w:color w:val="auto"/>
              </w:rPr>
            </w:pPr>
          </w:p>
        </w:tc>
        <w:tc>
          <w:tcPr>
            <w:tcW w:w="1580" w:type="dxa"/>
            <w:vAlign w:val="bottom"/>
            <w:gridSpan w:val="3"/>
          </w:tcPr>
          <w:p>
            <w:pPr>
              <w:jc w:val="center"/>
              <w:ind w:right="20"/>
              <w:spacing w:after="0" w:line="149" w:lineRule="exact"/>
              <w:rPr>
                <w:sz w:val="20"/>
                <w:szCs w:val="20"/>
                <w:color w:val="auto"/>
              </w:rPr>
            </w:pPr>
            <w:r>
              <w:rPr>
                <w:rFonts w:ascii="Arial" w:cs="Arial" w:eastAsia="Arial" w:hAnsi="Arial"/>
                <w:sz w:val="14"/>
                <w:szCs w:val="14"/>
                <w:b w:val="1"/>
                <w:bCs w:val="1"/>
                <w:color w:val="auto"/>
                <w:w w:val="92"/>
              </w:rPr>
              <w:t>Recorded at Balance</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Notional Value</w:t>
            </w:r>
          </w:p>
        </w:tc>
        <w:tc>
          <w:tcPr>
            <w:tcW w:w="13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3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9"/>
              </w:rPr>
              <w:t>Sheet</w:t>
            </w:r>
          </w:p>
        </w:tc>
        <w:tc>
          <w:tcPr>
            <w:tcW w:w="19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9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5"/>
              </w:rPr>
              <w:t>Date Held</w:t>
            </w:r>
          </w:p>
        </w:tc>
        <w:tc>
          <w:tcPr>
            <w:tcW w:w="120" w:type="dxa"/>
            <w:vAlign w:val="bottom"/>
            <w:vMerge w:val="restart"/>
          </w:tcPr>
          <w:p>
            <w:pPr>
              <w:spacing w:after="0"/>
              <w:rPr>
                <w:sz w:val="12"/>
                <w:szCs w:val="12"/>
                <w:color w:val="auto"/>
              </w:rPr>
            </w:pPr>
          </w:p>
        </w:tc>
        <w:tc>
          <w:tcPr>
            <w:tcW w:w="14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Type</w:t>
            </w:r>
          </w:p>
        </w:tc>
        <w:tc>
          <w:tcPr>
            <w:tcW w:w="120" w:type="dxa"/>
            <w:vAlign w:val="bottom"/>
            <w:vMerge w:val="restart"/>
          </w:tcPr>
          <w:p>
            <w:pPr>
              <w:spacing w:after="0"/>
              <w:rPr>
                <w:sz w:val="12"/>
                <w:szCs w:val="12"/>
                <w:color w:val="auto"/>
              </w:rPr>
            </w:pPr>
          </w:p>
        </w:tc>
        <w:tc>
          <w:tcPr>
            <w:tcW w:w="138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Position Held</w:t>
            </w:r>
          </w:p>
        </w:tc>
        <w:tc>
          <w:tcPr>
            <w:tcW w:w="120" w:type="dxa"/>
            <w:vAlign w:val="bottom"/>
            <w:vMerge w:val="restart"/>
          </w:tcPr>
          <w:p>
            <w:pPr>
              <w:spacing w:after="0"/>
              <w:rPr>
                <w:sz w:val="12"/>
                <w:szCs w:val="12"/>
                <w:color w:val="auto"/>
              </w:rPr>
            </w:pPr>
          </w:p>
        </w:tc>
        <w:tc>
          <w:tcPr>
            <w:tcW w:w="140" w:type="dxa"/>
            <w:vAlign w:val="bottom"/>
          </w:tcPr>
          <w:p>
            <w:pPr>
              <w:spacing w:after="0"/>
              <w:rPr>
                <w:sz w:val="12"/>
                <w:szCs w:val="12"/>
                <w:color w:val="auto"/>
              </w:rPr>
            </w:pPr>
          </w:p>
        </w:tc>
        <w:tc>
          <w:tcPr>
            <w:tcW w:w="1200" w:type="dxa"/>
            <w:vAlign w:val="bottom"/>
            <w:gridSpan w:val="2"/>
            <w:vMerge w:val="continue"/>
          </w:tcPr>
          <w:p>
            <w:pPr>
              <w:spacing w:after="0"/>
              <w:rPr>
                <w:sz w:val="12"/>
                <w:szCs w:val="12"/>
                <w:color w:val="auto"/>
              </w:rPr>
            </w:pPr>
          </w:p>
        </w:tc>
        <w:tc>
          <w:tcPr>
            <w:tcW w:w="1360" w:type="dxa"/>
            <w:vAlign w:val="bottom"/>
            <w:vMerge w:val="restart"/>
          </w:tcPr>
          <w:p>
            <w:pPr>
              <w:jc w:val="right"/>
              <w:ind w:right="156"/>
              <w:spacing w:after="0"/>
              <w:rPr>
                <w:sz w:val="20"/>
                <w:szCs w:val="20"/>
                <w:color w:val="auto"/>
              </w:rPr>
            </w:pPr>
            <w:r>
              <w:rPr>
                <w:rFonts w:ascii="Arial" w:cs="Arial" w:eastAsia="Arial" w:hAnsi="Arial"/>
                <w:sz w:val="14"/>
                <w:szCs w:val="14"/>
                <w:b w:val="1"/>
                <w:bCs w:val="1"/>
                <w:color w:val="auto"/>
              </w:rPr>
              <w:t>Forward Rate</w:t>
            </w:r>
          </w:p>
        </w:tc>
        <w:tc>
          <w:tcPr>
            <w:tcW w:w="260" w:type="dxa"/>
            <w:vAlign w:val="bottom"/>
          </w:tcPr>
          <w:p>
            <w:pPr>
              <w:spacing w:after="0"/>
              <w:rPr>
                <w:sz w:val="12"/>
                <w:szCs w:val="12"/>
                <w:color w:val="auto"/>
              </w:rPr>
            </w:pPr>
          </w:p>
        </w:tc>
        <w:tc>
          <w:tcPr>
            <w:tcW w:w="13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Date</w:t>
            </w:r>
          </w:p>
        </w:tc>
        <w:tc>
          <w:tcPr>
            <w:tcW w:w="192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2"/>
              </w:rPr>
              <w:t>Settlement Date</w:t>
            </w:r>
          </w:p>
        </w:tc>
        <w:tc>
          <w:tcPr>
            <w:tcW w:w="0" w:type="dxa"/>
            <w:vAlign w:val="bottom"/>
          </w:tcPr>
          <w:p>
            <w:pPr>
              <w:spacing w:after="0"/>
              <w:rPr>
                <w:sz w:val="1"/>
                <w:szCs w:val="1"/>
                <w:color w:val="auto"/>
              </w:rPr>
            </w:pPr>
          </w:p>
        </w:tc>
      </w:tr>
      <w:tr>
        <w:trPr>
          <w:trHeight w:val="192"/>
        </w:trPr>
        <w:tc>
          <w:tcPr>
            <w:tcW w:w="194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8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(in millions)</w:t>
            </w:r>
          </w:p>
        </w:tc>
        <w:tc>
          <w:tcPr>
            <w:tcW w:w="10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62"/>
              <w:spacing w:after="0"/>
              <w:rPr>
                <w:sz w:val="20"/>
                <w:szCs w:val="20"/>
                <w:color w:val="auto"/>
              </w:rPr>
            </w:pPr>
            <w:r>
              <w:rPr>
                <w:rFonts w:ascii="Arial" w:cs="Arial" w:eastAsia="Arial" w:hAnsi="Arial"/>
                <w:sz w:val="14"/>
                <w:szCs w:val="14"/>
                <w:b w:val="1"/>
                <w:bCs w:val="1"/>
                <w:color w:val="auto"/>
                <w:w w:val="92"/>
              </w:rPr>
              <w:t>(in thousands)</w:t>
            </w:r>
            <w:r>
              <w:rPr>
                <w:rFonts w:ascii="Arial" w:cs="Arial" w:eastAsia="Arial" w:hAnsi="Arial"/>
                <w:sz w:val="8"/>
                <w:szCs w:val="8"/>
                <w:b w:val="1"/>
                <w:bCs w:val="1"/>
                <w:color w:val="auto"/>
                <w:w w:val="92"/>
              </w:rPr>
              <w:t>(1)</w:t>
            </w:r>
          </w:p>
        </w:tc>
        <w:tc>
          <w:tcPr>
            <w:tcW w:w="120" w:type="dxa"/>
            <w:vAlign w:val="bottom"/>
            <w:tcBorders>
              <w:bottom w:val="single" w:sz="8" w:color="CCEEFF"/>
            </w:tcBorders>
          </w:tcPr>
          <w:p>
            <w:pPr>
              <w:spacing w:after="0"/>
              <w:rPr>
                <w:sz w:val="16"/>
                <w:szCs w:val="16"/>
                <w:color w:val="auto"/>
              </w:rPr>
            </w:pPr>
          </w:p>
        </w:tc>
        <w:tc>
          <w:tcPr>
            <w:tcW w:w="1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206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June 30, 2013</w:t>
            </w:r>
          </w:p>
        </w:tc>
        <w:tc>
          <w:tcPr>
            <w:tcW w:w="16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3"/>
              </w:rPr>
              <w:t>USD/Euro</w:t>
            </w:r>
          </w:p>
        </w:tc>
        <w:tc>
          <w:tcPr>
            <w:tcW w:w="1500" w:type="dxa"/>
            <w:vAlign w:val="bottom"/>
            <w:tcBorders>
              <w:bottom w:val="single" w:sz="8" w:color="CCEEFF"/>
            </w:tcBorders>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Euro</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6.0</w:t>
            </w:r>
          </w:p>
        </w:tc>
        <w:tc>
          <w:tcPr>
            <w:tcW w:w="10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1.3405</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(172)</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July 26, 2013</w:t>
            </w:r>
          </w:p>
        </w:tc>
        <w:tc>
          <w:tcPr>
            <w:tcW w:w="0" w:type="dxa"/>
            <w:vAlign w:val="bottom"/>
          </w:tcPr>
          <w:p>
            <w:pPr>
              <w:spacing w:after="0"/>
              <w:rPr>
                <w:sz w:val="1"/>
                <w:szCs w:val="1"/>
                <w:color w:val="auto"/>
              </w:rPr>
            </w:pPr>
          </w:p>
        </w:tc>
      </w:tr>
      <w:tr>
        <w:trPr>
          <w:trHeight w:val="243"/>
        </w:trPr>
        <w:tc>
          <w:tcPr>
            <w:tcW w:w="206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December 31, 2012</w:t>
            </w:r>
          </w:p>
        </w:tc>
        <w:tc>
          <w:tcPr>
            <w:tcW w:w="1600" w:type="dxa"/>
            <w:vAlign w:val="bottom"/>
            <w:gridSpan w:val="2"/>
          </w:tcPr>
          <w:p>
            <w:pPr>
              <w:jc w:val="center"/>
              <w:ind w:right="120"/>
              <w:spacing w:after="0"/>
              <w:rPr>
                <w:sz w:val="20"/>
                <w:szCs w:val="20"/>
                <w:color w:val="auto"/>
              </w:rPr>
            </w:pPr>
            <w:r>
              <w:rPr>
                <w:rFonts w:ascii="Arial" w:cs="Arial" w:eastAsia="Arial" w:hAnsi="Arial"/>
                <w:sz w:val="18"/>
                <w:szCs w:val="18"/>
                <w:color w:val="auto"/>
                <w:w w:val="93"/>
              </w:rPr>
              <w:t>USD/Euro</w:t>
            </w:r>
          </w:p>
        </w:tc>
        <w:tc>
          <w:tcPr>
            <w:tcW w:w="1500" w:type="dxa"/>
            <w:vAlign w:val="bottom"/>
            <w:gridSpan w:val="2"/>
          </w:tcPr>
          <w:p>
            <w:pPr>
              <w:jc w:val="center"/>
              <w:ind w:right="120"/>
              <w:spacing w:after="0"/>
              <w:rPr>
                <w:sz w:val="20"/>
                <w:szCs w:val="20"/>
                <w:color w:val="auto"/>
              </w:rPr>
            </w:pPr>
            <w:r>
              <w:rPr>
                <w:rFonts w:ascii="Arial" w:cs="Arial" w:eastAsia="Arial" w:hAnsi="Arial"/>
                <w:sz w:val="18"/>
                <w:szCs w:val="18"/>
                <w:color w:val="auto"/>
                <w:w w:val="89"/>
              </w:rPr>
              <w:t>Euro</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1"/>
                <w:szCs w:val="21"/>
                <w:color w:val="auto"/>
              </w:rPr>
            </w:pPr>
          </w:p>
        </w:tc>
        <w:tc>
          <w:tcPr>
            <w:tcW w:w="1360" w:type="dxa"/>
            <w:vAlign w:val="bottom"/>
          </w:tcPr>
          <w:p>
            <w:pPr>
              <w:jc w:val="right"/>
              <w:ind w:right="36"/>
              <w:spacing w:after="0"/>
              <w:rPr>
                <w:sz w:val="20"/>
                <w:szCs w:val="20"/>
                <w:color w:val="auto"/>
              </w:rPr>
            </w:pPr>
            <w:r>
              <w:rPr>
                <w:rFonts w:ascii="Arial" w:cs="Arial" w:eastAsia="Arial" w:hAnsi="Arial"/>
                <w:sz w:val="18"/>
                <w:szCs w:val="18"/>
                <w:color w:val="auto"/>
              </w:rPr>
              <w:t>1.3228</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20" w:type="dxa"/>
            <w:vAlign w:val="bottom"/>
          </w:tcPr>
          <w:p>
            <w:pPr>
              <w:spacing w:after="0"/>
              <w:rPr>
                <w:sz w:val="21"/>
                <w:szCs w:val="21"/>
                <w:color w:val="auto"/>
              </w:rPr>
            </w:pPr>
          </w:p>
        </w:tc>
        <w:tc>
          <w:tcPr>
            <w:tcW w:w="1920" w:type="dxa"/>
            <w:vAlign w:val="bottom"/>
          </w:tcPr>
          <w:p>
            <w:pPr>
              <w:jc w:val="center"/>
              <w:spacing w:after="0"/>
              <w:rPr>
                <w:sz w:val="20"/>
                <w:szCs w:val="20"/>
                <w:color w:val="auto"/>
              </w:rPr>
            </w:pPr>
            <w:r>
              <w:rPr>
                <w:rFonts w:ascii="Arial" w:cs="Arial" w:eastAsia="Arial" w:hAnsi="Arial"/>
                <w:sz w:val="18"/>
                <w:szCs w:val="18"/>
                <w:color w:val="auto"/>
                <w:w w:val="89"/>
              </w:rPr>
              <w:t>January 18, 2013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left="660" w:right="480" w:hanging="328"/>
        <w:spacing w:after="0" w:line="216" w:lineRule="auto"/>
        <w:tabs>
          <w:tab w:leader="none" w:pos="660" w:val="left"/>
        </w:tabs>
        <w:numPr>
          <w:ilvl w:val="0"/>
          <w:numId w:val="10"/>
        </w:numPr>
        <w:rPr>
          <w:rFonts w:ascii="Arial" w:cs="Arial" w:eastAsia="Arial" w:hAnsi="Arial"/>
          <w:sz w:val="25"/>
          <w:szCs w:val="25"/>
          <w:color w:val="auto"/>
          <w:vertAlign w:val="superscript"/>
        </w:rPr>
      </w:pPr>
      <w:r>
        <w:rPr>
          <w:rFonts w:ascii="Arial" w:cs="Arial" w:eastAsia="Arial" w:hAnsi="Arial"/>
          <w:sz w:val="18"/>
          <w:szCs w:val="18"/>
          <w:color w:val="auto"/>
        </w:rPr>
        <w:t>Gains on futures contracts are recorded in prepaid expenses and other current assets. Losses on futures contracts are recorded in other accrued expenses.</w:t>
      </w:r>
    </w:p>
    <w:p>
      <w:pPr>
        <w:spacing w:after="0" w:line="23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360"/>
          </w:cols>
          <w:pgMar w:left="240" w:top="118" w:right="299" w:bottom="1440" w:gutter="0" w:footer="0" w:header="0"/>
        </w:sectPr>
      </w:pPr>
    </w:p>
    <w:bookmarkStart w:id="20" w:name="page21"/>
    <w:bookmarkEnd w:id="2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The following discussion should be read in conjunction with the Consolidated Financial Statements and the related notes that appear elsewhere in this document.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94"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We develop and manufacture a broad line of pre-programmed universal remote control products, audio-video ("AV") accessories, and software that are marketed to enhance home entertainment systems. Our customers operate in the consumer electronics market and include subscription broadcasters, OEMs, international retailers, private labels, and companies in the computing industry. We also sell integrated circuits, on which our software and infrared ("IR") code database, or library, is embedded, to OEMs that manufacture wireless control devices, cable converters or satellite receivers for resale in their products.</w:t>
      </w:r>
    </w:p>
    <w:p>
      <w:pPr>
        <w:spacing w:after="0" w:line="10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Since our beginning in 1986, we have compiled an extensive IR code library that covers over 743,800 individual device functions and approximately 5,900 individual consumer electronic equipment brand names. Our library is regularly updated with IR codes used in newly introduced AV devices. These IR codes are captured directly from the remote control devices or the manufacturer's written specifications to ensure the accuracy and integrity of the database. We believe that our universal remote control library contains device codes that are capable of controlling virtually all IR controlled set-top boxes, televisions, audio components, DVD players, and CD players, as well as most other infrared remote controlled home entertainment devices and home automation control modules worldwide.</w:t>
      </w:r>
    </w:p>
    <w:p>
      <w:pPr>
        <w:spacing w:after="0" w:line="13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operate as one business segment. We have twenty-four subsidiaries located in Argentina, Cayman Islands, France, Germany, Hong Kong (6), India, Italy, the Netherlands, Singapore, Spain, Brazil, British Virgin Islands (3), People's Republic of China (4) and the United Kingdom.</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To recap our results for the six months ended June 30, 2013:</w:t>
      </w:r>
    </w:p>
    <w:p>
      <w:pPr>
        <w:spacing w:after="0" w:line="63" w:lineRule="exact"/>
        <w:rPr>
          <w:sz w:val="20"/>
          <w:szCs w:val="20"/>
          <w:color w:val="auto"/>
        </w:rPr>
      </w:pP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net sales increased 13.8% to 250.8 million for the six months ended June 30, 2013 from $220.4 million for the six months ended June 30, 2012.</w:t>
      </w:r>
    </w:p>
    <w:p>
      <w:pPr>
        <w:spacing w:after="0" w:line="8" w:lineRule="exact"/>
        <w:rPr>
          <w:rFonts w:ascii="Arial" w:cs="Arial" w:eastAsia="Arial" w:hAnsi="Arial"/>
          <w:sz w:val="18"/>
          <w:szCs w:val="18"/>
          <w:color w:val="auto"/>
        </w:rPr>
      </w:pPr>
    </w:p>
    <w:p>
      <w:pPr>
        <w:ind w:left="980" w:hanging="324"/>
        <w:spacing w:after="0" w:line="298" w:lineRule="auto"/>
        <w:tabs>
          <w:tab w:leader="none" w:pos="980" w:val="left"/>
        </w:tabs>
        <w:numPr>
          <w:ilvl w:val="0"/>
          <w:numId w:val="11"/>
        </w:numPr>
        <w:rPr>
          <w:rFonts w:ascii="Arial" w:cs="Arial" w:eastAsia="Arial" w:hAnsi="Arial"/>
          <w:sz w:val="17"/>
          <w:szCs w:val="17"/>
          <w:color w:val="auto"/>
        </w:rPr>
      </w:pPr>
      <w:r>
        <w:rPr>
          <w:rFonts w:ascii="Arial" w:cs="Arial" w:eastAsia="Arial" w:hAnsi="Arial"/>
          <w:sz w:val="17"/>
          <w:szCs w:val="17"/>
          <w:color w:val="auto"/>
        </w:rPr>
        <w:t>Our gross margin percentage improved from 27.8% for the six months ended June 30, 2012 to 28.1% for the six months ended June 30, 2013. This improvement was primarily due to an increase in units produced internally versus units produced by third-party manufacturers.</w:t>
      </w:r>
    </w:p>
    <w:p>
      <w:pPr>
        <w:ind w:left="980" w:hanging="324"/>
        <w:spacing w:after="0" w:line="277"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Operating expenses, as a percent of sales, decreased from 23.8% for the six months ended June 30, 2012 to 22.5% for the six months ended June 30, 2013.</w:t>
      </w:r>
    </w:p>
    <w:p>
      <w:pPr>
        <w:spacing w:after="0" w:line="8" w:lineRule="exact"/>
        <w:rPr>
          <w:rFonts w:ascii="Arial" w:cs="Arial" w:eastAsia="Arial" w:hAnsi="Arial"/>
          <w:sz w:val="18"/>
          <w:szCs w:val="18"/>
          <w:color w:val="auto"/>
        </w:rPr>
      </w:pPr>
    </w:p>
    <w:p>
      <w:pPr>
        <w:jc w:val="both"/>
        <w:ind w:left="980" w:hanging="324"/>
        <w:spacing w:after="0" w:line="264" w:lineRule="auto"/>
        <w:tabs>
          <w:tab w:leader="none" w:pos="9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operating income increased 58.0% to $13.9 million for the six months ended June 30, 2013 from $8.8 million for the six months ended June 30, 2012, and our operating margin percentage increased to 5.6% for the six months ended June 30, 2013, compared to 4.0% for the six months ended June 30, 2012.</w:t>
      </w:r>
    </w:p>
    <w:p>
      <w:pPr>
        <w:spacing w:after="0" w:line="19" w:lineRule="exact"/>
        <w:rPr>
          <w:rFonts w:ascii="Arial" w:cs="Arial" w:eastAsia="Arial" w:hAnsi="Arial"/>
          <w:sz w:val="18"/>
          <w:szCs w:val="18"/>
          <w:color w:val="auto"/>
        </w:rPr>
      </w:pPr>
    </w:p>
    <w:p>
      <w:pPr>
        <w:ind w:left="980" w:hanging="324"/>
        <w:spacing w:after="0"/>
        <w:tabs>
          <w:tab w:leader="none" w:pos="9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Our effective tax rate increased to 24.9% for the six months ended June 30, 2013, compared to 17.7% for the six months ended June 30, 2012.</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Our strategic business objectives for 2013 include the following:</w:t>
      </w:r>
    </w:p>
    <w:p>
      <w:pPr>
        <w:spacing w:after="0" w:line="63" w:lineRule="exact"/>
        <w:rPr>
          <w:sz w:val="20"/>
          <w:szCs w:val="20"/>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develop industry-leading technologies and products with attractive gross margins in order to improve profitability;</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increase our market share in new product categories, such as smart devices and game consoles;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further penetrate the growing Asian and Latin American subscription broadcasting markets;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acquire new customers in historically strong regions;</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 our share with existing customers; and</w:t>
      </w:r>
    </w:p>
    <w:p>
      <w:pPr>
        <w:spacing w:after="0" w:line="63" w:lineRule="exact"/>
        <w:rPr>
          <w:rFonts w:ascii="Arial" w:cs="Arial" w:eastAsia="Arial" w:hAnsi="Arial"/>
          <w:sz w:val="18"/>
          <w:szCs w:val="18"/>
          <w:color w:val="auto"/>
        </w:rPr>
      </w:pPr>
    </w:p>
    <w:p>
      <w:pPr>
        <w:ind w:left="980" w:hanging="324"/>
        <w:spacing w:after="0"/>
        <w:tabs>
          <w:tab w:leader="none" w:pos="9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continue to seek acquisitions or strategic partners that complement and strengthen our existing business.</w:t>
      </w:r>
    </w:p>
    <w:p>
      <w:pPr>
        <w:spacing w:after="0" w:line="171"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intend for the following discussion of our financial condition and results of operations to provide information that will assist in understanding our consolidated financial statements, the changes in certain key items in those financial statements from period to period, and the primary factors that accounted for those changes, as well as how certain accounting principles, policies and estimates affect our consolidated financial statements.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9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requires us to make estimates and judgments that affect the reported amounts of assets and liabilities, disclosure of contingent</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118" w:right="239" w:bottom="1440" w:gutter="0" w:footer="0" w:header="0"/>
        </w:sectPr>
      </w:pPr>
    </w:p>
    <w:bookmarkStart w:id="21" w:name="page22"/>
    <w:bookmarkEnd w:id="21"/>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33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assets and liabilities at the date of the financial statements and the reported amounts of revenues and expenses during the reporting period. On an on-going basis, we evaluate our estimates and judgments, including those related to revenue recognition, allowance for sales returns and doubtful accounts, warranties, inventory valuation, business combination purchase price allocations, our review for impairment of long-lived assets, intangible assets and goodwill, income taxes and stock-based compensation expense. Actual results may differ from these judgments and estimates, and they may be adjusted as more information becomes available. Any adjustment may be significant.</w:t>
      </w:r>
    </w:p>
    <w:p>
      <w:pPr>
        <w:spacing w:after="0" w:line="134"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An accounting policy is deemed to be critical if it requires an accounting estimate to be made based on assumptions about matters that are highly uncertain at the time the estimate is made, if different estimates reasonably may have been used, or if changes in the estimate that are reasonably likely to occur may materially impact the financial statements. We do not believe that there have been any significant changes during the three and six months ended June 30, 2013 to the items that we disclosed as our critical accounting policies and estimates in Item 7, "Management’s Discussion and Analysis of Financial Condition and Results of Operations" contained in our Annual Report on Form 10-K for our fiscal year ended December 31, 2012.</w:t>
      </w: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 Accounting Pronouncements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See Note 1 contained in the "Notes to Consolidated Financial Statements" for a discussion of recent accounting pronouncements.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sets forth our results of operations expressed as a percentage of net sales for the periods indicated.</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700" w:type="dxa"/>
            <w:vAlign w:val="bottom"/>
          </w:tcPr>
          <w:p>
            <w:pPr>
              <w:spacing w:after="0"/>
              <w:rPr>
                <w:sz w:val="16"/>
                <w:szCs w:val="16"/>
                <w:color w:val="auto"/>
              </w:rPr>
            </w:pPr>
          </w:p>
        </w:tc>
        <w:tc>
          <w:tcPr>
            <w:tcW w:w="2880" w:type="dxa"/>
            <w:vAlign w:val="bottom"/>
            <w:tcBorders>
              <w:bottom w:val="single" w:sz="8" w:color="auto"/>
            </w:tcBorders>
            <w:gridSpan w:val="4"/>
          </w:tcPr>
          <w:p>
            <w:pPr>
              <w:ind w:left="480"/>
              <w:spacing w:after="0"/>
              <w:rPr>
                <w:sz w:val="20"/>
                <w:szCs w:val="20"/>
                <w:color w:val="auto"/>
              </w:rPr>
            </w:pPr>
            <w:r>
              <w:rPr>
                <w:rFonts w:ascii="Arial" w:cs="Arial" w:eastAsia="Arial" w:hAnsi="Arial"/>
                <w:sz w:val="14"/>
                <w:szCs w:val="14"/>
                <w:b w:val="1"/>
                <w:bCs w:val="1"/>
                <w:color w:val="auto"/>
              </w:rPr>
              <w:t>Three Months Ended June 30,</w:t>
            </w:r>
          </w:p>
        </w:tc>
        <w:tc>
          <w:tcPr>
            <w:tcW w:w="2740" w:type="dxa"/>
            <w:vAlign w:val="bottom"/>
            <w:tcBorders>
              <w:bottom w:val="single" w:sz="8" w:color="auto"/>
            </w:tcBorders>
            <w:gridSpan w:val="3"/>
          </w:tcPr>
          <w:p>
            <w:pPr>
              <w:jc w:val="right"/>
              <w:ind w:right="431"/>
              <w:spacing w:after="0"/>
              <w:rPr>
                <w:sz w:val="20"/>
                <w:szCs w:val="20"/>
                <w:color w:val="auto"/>
              </w:rPr>
            </w:pPr>
            <w:r>
              <w:rPr>
                <w:rFonts w:ascii="Arial" w:cs="Arial" w:eastAsia="Arial" w:hAnsi="Arial"/>
                <w:sz w:val="14"/>
                <w:szCs w:val="14"/>
                <w:b w:val="1"/>
                <w:bCs w:val="1"/>
                <w:color w:val="auto"/>
              </w:rPr>
              <w:t>Six Months Ended June 30,</w:t>
            </w:r>
          </w:p>
        </w:tc>
      </w:tr>
      <w:tr>
        <w:trPr>
          <w:trHeight w:val="264"/>
        </w:trPr>
        <w:tc>
          <w:tcPr>
            <w:tcW w:w="570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34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c>
          <w:tcPr>
            <w:tcW w:w="12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2013</w:t>
            </w:r>
          </w:p>
        </w:tc>
        <w:tc>
          <w:tcPr>
            <w:tcW w:w="100" w:type="dxa"/>
            <w:vAlign w:val="bottom"/>
            <w:tcBorders>
              <w:bottom w:val="single" w:sz="8" w:color="CCEEFF"/>
            </w:tcBorders>
          </w:tcPr>
          <w:p>
            <w:pPr>
              <w:spacing w:after="0"/>
              <w:rPr>
                <w:sz w:val="22"/>
                <w:szCs w:val="22"/>
                <w:color w:val="auto"/>
              </w:rPr>
            </w:pPr>
          </w:p>
        </w:tc>
        <w:tc>
          <w:tcPr>
            <w:tcW w:w="1320" w:type="dxa"/>
            <w:vAlign w:val="bottom"/>
            <w:tcBorders>
              <w:bottom w:val="single" w:sz="8" w:color="auto"/>
            </w:tcBorders>
          </w:tcPr>
          <w:p>
            <w:pPr>
              <w:jc w:val="right"/>
              <w:ind w:right="431"/>
              <w:spacing w:after="0"/>
              <w:rPr>
                <w:sz w:val="20"/>
                <w:szCs w:val="20"/>
                <w:color w:val="auto"/>
              </w:rPr>
            </w:pPr>
            <w:r>
              <w:rPr>
                <w:rFonts w:ascii="Arial" w:cs="Arial" w:eastAsia="Arial" w:hAnsi="Arial"/>
                <w:sz w:val="14"/>
                <w:szCs w:val="14"/>
                <w:b w:val="1"/>
                <w:bCs w:val="1"/>
                <w:color w:val="auto"/>
              </w:rPr>
              <w:t>2012</w:t>
            </w: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Cost of sales</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72.2</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71.7</w:t>
            </w:r>
          </w:p>
        </w:tc>
        <w:tc>
          <w:tcPr>
            <w:tcW w:w="12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72.2</w:t>
            </w: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Gross profit</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27.8</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28.3</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28.1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27.8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Research and development expenses</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3.1</w:t>
            </w:r>
          </w:p>
        </w:tc>
      </w:tr>
      <w:tr>
        <w:trPr>
          <w:trHeight w:val="27"/>
        </w:trPr>
        <w:tc>
          <w:tcPr>
            <w:tcW w:w="5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17.5</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19.9</w:t>
            </w:r>
          </w:p>
        </w:tc>
        <w:tc>
          <w:tcPr>
            <w:tcW w:w="12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23"/>
                <w:szCs w:val="23"/>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20.7</w:t>
            </w:r>
          </w:p>
        </w:tc>
      </w:tr>
      <w:tr>
        <w:trPr>
          <w:trHeight w:val="237"/>
        </w:trPr>
        <w:tc>
          <w:tcPr>
            <w:tcW w:w="57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34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7.3</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5.5</w:t>
            </w:r>
          </w:p>
        </w:tc>
        <w:tc>
          <w:tcPr>
            <w:tcW w:w="120" w:type="dxa"/>
            <w:vAlign w:val="bottom"/>
          </w:tcPr>
          <w:p>
            <w:pPr>
              <w:spacing w:after="0"/>
              <w:rPr>
                <w:sz w:val="20"/>
                <w:szCs w:val="20"/>
                <w:color w:val="auto"/>
              </w:rPr>
            </w:pPr>
          </w:p>
        </w:tc>
        <w:tc>
          <w:tcPr>
            <w:tcW w:w="1320" w:type="dxa"/>
            <w:vAlign w:val="bottom"/>
            <w:tcBorders>
              <w:top w:val="single" w:sz="8" w:color="auto"/>
            </w:tcBorders>
          </w:tcPr>
          <w:p>
            <w:pPr>
              <w:jc w:val="right"/>
              <w:ind w:right="153"/>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0"/>
                <w:szCs w:val="20"/>
                <w:color w:val="auto"/>
              </w:rPr>
            </w:pPr>
          </w:p>
        </w:tc>
        <w:tc>
          <w:tcPr>
            <w:tcW w:w="1320" w:type="dxa"/>
            <w:vAlign w:val="bottom"/>
            <w:tcBorders>
              <w:top w:val="single" w:sz="8" w:color="auto"/>
            </w:tcBorders>
          </w:tcPr>
          <w:p>
            <w:pPr>
              <w:jc w:val="right"/>
              <w:ind w:right="131"/>
              <w:spacing w:after="0"/>
              <w:rPr>
                <w:sz w:val="20"/>
                <w:szCs w:val="20"/>
                <w:color w:val="auto"/>
              </w:rPr>
            </w:pPr>
            <w:r>
              <w:rPr>
                <w:rFonts w:ascii="Arial" w:cs="Arial" w:eastAsia="Arial" w:hAnsi="Arial"/>
                <w:sz w:val="18"/>
                <w:szCs w:val="18"/>
                <w:color w:val="auto"/>
              </w:rPr>
              <w:t>4.0</w:t>
            </w:r>
          </w:p>
        </w:tc>
      </w:tr>
      <w:tr>
        <w:trPr>
          <w:trHeight w:val="27"/>
        </w:trPr>
        <w:tc>
          <w:tcPr>
            <w:tcW w:w="57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income (expense), net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4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Other income (expense), net</w:t>
            </w:r>
          </w:p>
        </w:tc>
        <w:tc>
          <w:tcPr>
            <w:tcW w:w="1340" w:type="dxa"/>
            <w:vAlign w:val="bottom"/>
          </w:tcPr>
          <w:p>
            <w:pPr>
              <w:jc w:val="right"/>
              <w:ind w:right="9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320" w:type="dxa"/>
            <w:vAlign w:val="bottom"/>
          </w:tcPr>
          <w:p>
            <w:pPr>
              <w:jc w:val="right"/>
              <w:ind w:right="9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320" w:type="dxa"/>
            <w:vAlign w:val="bottom"/>
          </w:tcPr>
          <w:p>
            <w:pPr>
              <w:jc w:val="right"/>
              <w:ind w:right="71"/>
              <w:spacing w:after="0"/>
              <w:rPr>
                <w:sz w:val="20"/>
                <w:szCs w:val="20"/>
                <w:color w:val="auto"/>
              </w:rPr>
            </w:pPr>
            <w:r>
              <w:rPr>
                <w:rFonts w:ascii="Arial" w:cs="Arial" w:eastAsia="Arial" w:hAnsi="Arial"/>
                <w:sz w:val="18"/>
                <w:szCs w:val="18"/>
                <w:color w:val="auto"/>
              </w:rPr>
              <w:t>(0.2)</w:t>
            </w: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provision for income taxes</w:t>
            </w:r>
          </w:p>
        </w:tc>
        <w:tc>
          <w:tcPr>
            <w:tcW w:w="134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5.4</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131"/>
              <w:spacing w:after="0"/>
              <w:rPr>
                <w:sz w:val="20"/>
                <w:szCs w:val="20"/>
                <w:color w:val="auto"/>
              </w:rPr>
            </w:pPr>
            <w:r>
              <w:rPr>
                <w:rFonts w:ascii="Arial" w:cs="Arial" w:eastAsia="Arial" w:hAnsi="Arial"/>
                <w:sz w:val="18"/>
                <w:szCs w:val="18"/>
                <w:color w:val="auto"/>
              </w:rPr>
              <w:t>3.8</w:t>
            </w:r>
          </w:p>
        </w:tc>
      </w:tr>
      <w:tr>
        <w:trPr>
          <w:trHeight w:val="243"/>
        </w:trPr>
        <w:tc>
          <w:tcPr>
            <w:tcW w:w="57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1340" w:type="dxa"/>
            <w:vAlign w:val="bottom"/>
          </w:tcPr>
          <w:p>
            <w:pPr>
              <w:jc w:val="right"/>
              <w:ind w:right="153"/>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320" w:type="dxa"/>
            <w:vAlign w:val="bottom"/>
          </w:tcPr>
          <w:p>
            <w:pPr>
              <w:jc w:val="right"/>
              <w:ind w:right="153"/>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1"/>
                <w:szCs w:val="21"/>
                <w:color w:val="auto"/>
              </w:rPr>
            </w:pPr>
          </w:p>
        </w:tc>
        <w:tc>
          <w:tcPr>
            <w:tcW w:w="1320" w:type="dxa"/>
            <w:vAlign w:val="bottom"/>
          </w:tcPr>
          <w:p>
            <w:pPr>
              <w:jc w:val="right"/>
              <w:ind w:right="131"/>
              <w:spacing w:after="0"/>
              <w:rPr>
                <w:sz w:val="20"/>
                <w:szCs w:val="20"/>
                <w:color w:val="auto"/>
              </w:rPr>
            </w:pPr>
            <w:r>
              <w:rPr>
                <w:rFonts w:ascii="Arial" w:cs="Arial" w:eastAsia="Arial" w:hAnsi="Arial"/>
                <w:sz w:val="18"/>
                <w:szCs w:val="18"/>
                <w:color w:val="auto"/>
              </w:rPr>
              <w:t>0.7</w:t>
            </w:r>
          </w:p>
        </w:tc>
      </w:tr>
      <w:tr>
        <w:trPr>
          <w:trHeight w:val="27"/>
        </w:trPr>
        <w:tc>
          <w:tcPr>
            <w:tcW w:w="57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69"/>
        </w:trPr>
        <w:tc>
          <w:tcPr>
            <w:tcW w:w="5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4.3 %</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4.4 %</w:t>
            </w:r>
          </w:p>
        </w:tc>
        <w:tc>
          <w:tcPr>
            <w:tcW w:w="12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3.1 %</w:t>
            </w:r>
          </w:p>
        </w:tc>
      </w:tr>
      <w:tr>
        <w:trPr>
          <w:trHeight w:val="20"/>
        </w:trPr>
        <w:tc>
          <w:tcPr>
            <w:tcW w:w="57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June 30, 2013 versus Three Months Ended June 30, 2012</w:t>
      </w:r>
    </w:p>
    <w:p>
      <w:pPr>
        <w:spacing w:after="0" w:line="90"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 xml:space="preserve">Net sales. </w:t>
      </w:r>
      <w:r>
        <w:rPr>
          <w:rFonts w:ascii="Arial" w:cs="Arial" w:eastAsia="Arial" w:hAnsi="Arial"/>
          <w:sz w:val="16"/>
          <w:szCs w:val="16"/>
          <w:color w:val="auto"/>
        </w:rPr>
        <w:t>Net sales for the three months ended June 30, 2013 were $136.1 million, an increase of 17% compared to $116.7 million for the three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June 30, 2012. Net sales by our business and consumer lines were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414"/>
              <w:spacing w:after="0"/>
              <w:rPr>
                <w:sz w:val="20"/>
                <w:szCs w:val="20"/>
                <w:color w:val="auto"/>
              </w:rPr>
            </w:pPr>
            <w:r>
              <w:rPr>
                <w:rFonts w:ascii="Arial" w:cs="Arial" w:eastAsia="Arial" w:hAnsi="Arial"/>
                <w:sz w:val="14"/>
                <w:szCs w:val="14"/>
                <w:b w:val="1"/>
                <w:bCs w:val="1"/>
                <w:color w:val="auto"/>
              </w:rPr>
              <w:t>Three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4"/>
                <w:szCs w:val="14"/>
                <w:b w:val="1"/>
                <w:bCs w:val="1"/>
                <w:color w:val="auto"/>
              </w:rPr>
              <w:t>2012</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124.2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103.9</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89.0%</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12.8</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11.0%</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136.1</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116.7</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sales in our Business lines (subscription broadcasting, OEM, and computing companies) were 91% of net sales for the three months ended June 30, 2013 compared to 89% for the three months ended June 30, 2012. Net sales in our Business lines for the three months ended June 30, 2013 increased by 20% to $124.2 million driven primarily by strong demand in North American subscription broadcasting and Latin American subscription broadcasting, particularly in Brazil, as well as growth in net sales to consumer electronics companies in Asia.</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118" w:right="239" w:bottom="1440" w:gutter="0" w:footer="0" w:header="0"/>
        </w:sectPr>
      </w:pPr>
    </w:p>
    <w:bookmarkStart w:id="22" w:name="page23"/>
    <w:bookmarkEnd w:id="22"/>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32" w:lineRule="auto"/>
        <w:rPr>
          <w:sz w:val="20"/>
          <w:szCs w:val="20"/>
          <w:color w:val="auto"/>
        </w:rPr>
      </w:pPr>
      <w:r>
        <w:rPr>
          <w:rFonts w:ascii="Arial" w:cs="Arial" w:eastAsia="Arial" w:hAnsi="Arial"/>
          <w:sz w:val="18"/>
          <w:szCs w:val="18"/>
          <w:color w:val="auto"/>
        </w:rPr>
        <w:t>Net sales in our Consumer lines (</w:t>
      </w:r>
      <w:r>
        <w:rPr>
          <w:rFonts w:ascii="Arial" w:cs="Arial" w:eastAsia="Arial" w:hAnsi="Arial"/>
          <w:sz w:val="18"/>
          <w:szCs w:val="18"/>
          <w:i w:val="1"/>
          <w:iCs w:val="1"/>
          <w:color w:val="auto"/>
        </w:rPr>
        <w:t>One For All</w:t>
      </w:r>
      <w:r>
        <w:rPr>
          <w:rFonts w:ascii="Arial" w:cs="Arial" w:eastAsia="Arial" w:hAnsi="Arial"/>
          <w:sz w:val="25"/>
          <w:szCs w:val="25"/>
          <w:i w:val="1"/>
          <w:iCs w:val="1"/>
          <w:color w:val="auto"/>
          <w:vertAlign w:val="superscript"/>
        </w:rPr>
        <w:t>®</w:t>
      </w:r>
      <w:r>
        <w:rPr>
          <w:rFonts w:ascii="Arial" w:cs="Arial" w:eastAsia="Arial" w:hAnsi="Arial"/>
          <w:sz w:val="18"/>
          <w:szCs w:val="18"/>
          <w:color w:val="auto"/>
        </w:rPr>
        <w:t xml:space="preserve"> retail and private label) were 9% of net sales for the three months ended June 30, 2013 compared to 11% for the three months ended June 30, 2012. Net sales in our Consumer lines for the three months ended June 30, 2013 decreased by 7% to $11.9 million primarily due to a 30% decrease in North American retail sales and a 3% decrease in international retail sales that was driven largely by soft consumer demand and cautious retailers in the European market.</w:t>
      </w:r>
    </w:p>
    <w:p>
      <w:pPr>
        <w:spacing w:after="0" w:line="14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Gross profit. </w:t>
      </w:r>
      <w:r>
        <w:rPr>
          <w:rFonts w:ascii="Arial" w:cs="Arial" w:eastAsia="Arial" w:hAnsi="Arial"/>
          <w:sz w:val="18"/>
          <w:szCs w:val="18"/>
          <w:color w:val="auto"/>
        </w:rPr>
        <w:t>Gross profit for the three months ended June 30, 2013 was $37.8 million compared to $33.0 million for the three months ended June 30, 2012.</w:t>
      </w:r>
      <w:r>
        <w:rPr>
          <w:rFonts w:ascii="Arial" w:cs="Arial" w:eastAsia="Arial" w:hAnsi="Arial"/>
          <w:sz w:val="18"/>
          <w:szCs w:val="18"/>
          <w:i w:val="1"/>
          <w:iCs w:val="1"/>
          <w:color w:val="auto"/>
        </w:rPr>
        <w:t xml:space="preserve"> </w:t>
      </w:r>
      <w:r>
        <w:rPr>
          <w:rFonts w:ascii="Arial" w:cs="Arial" w:eastAsia="Arial" w:hAnsi="Arial"/>
          <w:sz w:val="18"/>
          <w:szCs w:val="18"/>
          <w:color w:val="auto"/>
        </w:rPr>
        <w:t>Gross profit as a percent of sales decreased to 27.8% for the three months ended June 30, 2013 from 28.3% for the three months ended June 30, 2012, primarily due to sales mix, with sales to larger customers representing a higher percentage of the total sales.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("R&amp;D") expenses. </w:t>
      </w:r>
      <w:r>
        <w:rPr>
          <w:rFonts w:ascii="Arial" w:cs="Arial" w:eastAsia="Arial" w:hAnsi="Arial"/>
          <w:sz w:val="18"/>
          <w:szCs w:val="18"/>
          <w:color w:val="auto"/>
        </w:rPr>
        <w:t>R&amp;D expenses increased 18% to $4.0 million for the three months ended June 30, 2013 from $3.4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2012. This increase was in line 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302" w:lineRule="auto"/>
        <w:rPr>
          <w:sz w:val="20"/>
          <w:szCs w:val="20"/>
          <w:color w:val="auto"/>
        </w:rPr>
      </w:pPr>
      <w:r>
        <w:rPr>
          <w:rFonts w:ascii="Arial" w:cs="Arial" w:eastAsia="Arial" w:hAnsi="Arial"/>
          <w:sz w:val="16"/>
          <w:szCs w:val="16"/>
          <w:i w:val="1"/>
          <w:iCs w:val="1"/>
          <w:color w:val="auto"/>
        </w:rPr>
        <w:t xml:space="preserve">Selling, general and administrative ("SG&amp;A") expenses. </w:t>
      </w:r>
      <w:r>
        <w:rPr>
          <w:rFonts w:ascii="Arial" w:cs="Arial" w:eastAsia="Arial" w:hAnsi="Arial"/>
          <w:sz w:val="16"/>
          <w:szCs w:val="16"/>
          <w:color w:val="auto"/>
        </w:rPr>
        <w:t>SG&amp;A expenses increased 3% to $23.8 million for the three months ended June 30, 2013 from $23.1</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three months ended June 30, 2012. This increase was driven primarily by increased payroll costs associated with hiring key personnel in global engineering and in our Asian operations, increased incentive compensation costs, and increased freight and delivery costs associated with higher sales volumes in the current period. These increases were partially offset by a reduction in litigation costs associated with protecting our intellectual property.</w:t>
      </w:r>
    </w:p>
    <w:p>
      <w:pPr>
        <w:spacing w:after="0" w:line="10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i w:val="1"/>
          <w:iCs w:val="1"/>
          <w:color w:val="auto"/>
        </w:rPr>
        <w:t xml:space="preserve">Interest income (expense), net. </w:t>
      </w:r>
      <w:r>
        <w:rPr>
          <w:rFonts w:ascii="Arial" w:cs="Arial" w:eastAsia="Arial" w:hAnsi="Arial"/>
          <w:sz w:val="16"/>
          <w:szCs w:val="16"/>
          <w:color w:val="auto"/>
        </w:rPr>
        <w:t>Net interest income was $4 thousand for the three months ended June 30, 2013 compared to net interest expense of $51</w:t>
      </w:r>
      <w:r>
        <w:rPr>
          <w:rFonts w:ascii="Arial" w:cs="Arial" w:eastAsia="Arial" w:hAnsi="Arial"/>
          <w:sz w:val="16"/>
          <w:szCs w:val="16"/>
          <w:i w:val="1"/>
          <w:iCs w:val="1"/>
          <w:color w:val="auto"/>
        </w:rPr>
        <w:t xml:space="preserve"> </w:t>
      </w:r>
      <w:r>
        <w:rPr>
          <w:rFonts w:ascii="Arial" w:cs="Arial" w:eastAsia="Arial" w:hAnsi="Arial"/>
          <w:sz w:val="16"/>
          <w:szCs w:val="16"/>
          <w:color w:val="auto"/>
        </w:rPr>
        <w:t>thousand for the three months ended June 30, 2012. This change was driven by lower interest expense in the current period due to decreased credit needs.</w:t>
      </w:r>
    </w:p>
    <w:p>
      <w:pPr>
        <w:spacing w:after="0" w:line="7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$1.6 million for the three months ended June 30, 2013 compared to net other expense of $0.1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three months ended June 30, 2012. This increase was driven primarily by increased foreign currency losses associated with fluctuations in foreign currency rates related to the Chinese Yuan Renminbi, Brazilian Real, and Argentinian Peso.</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$2.5 million for the three months ended June 30, 2013 compared to $1.1 million for the three months ended</w:t>
      </w:r>
      <w:r>
        <w:rPr>
          <w:rFonts w:ascii="Arial" w:cs="Arial" w:eastAsia="Arial" w:hAnsi="Arial"/>
          <w:sz w:val="18"/>
          <w:szCs w:val="18"/>
          <w:i w:val="1"/>
          <w:iCs w:val="1"/>
          <w:color w:val="auto"/>
        </w:rPr>
        <w:t xml:space="preserve"> </w:t>
      </w:r>
      <w:r>
        <w:rPr>
          <w:rFonts w:ascii="Arial" w:cs="Arial" w:eastAsia="Arial" w:hAnsi="Arial"/>
          <w:sz w:val="18"/>
          <w:szCs w:val="18"/>
          <w:color w:val="auto"/>
        </w:rPr>
        <w:t>June 30, 2012. Our effective tax rate was 30.0% for the three months ended June 30, 2013 compared to 18.1% for the three months ended June 30, 2012. The increase in our effective tax rate was due to the following: the recording of approximately $0.4 million of additional tax reserves in the second quarter of 2013 resulting from a tax audit in Hong Kong for years preceding our acquisition of Enson Assets Limited; a greater percentage of income earned in higher tax rate jurisdictions in 2013 compared to 2012; and the reversal of $0.3 million of unrecognized tax benefits in the second quarter of 2012 which were originally recorded in 2007, 2010 and 2011.</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Six months ended June 30, 2013 versus Six months ended June 30, 2012</w:t>
      </w:r>
    </w:p>
    <w:p>
      <w:pPr>
        <w:spacing w:after="0" w:line="9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i w:val="1"/>
          <w:iCs w:val="1"/>
          <w:color w:val="auto"/>
        </w:rPr>
        <w:t xml:space="preserve">Net sales. </w:t>
      </w:r>
      <w:r>
        <w:rPr>
          <w:rFonts w:ascii="Arial" w:cs="Arial" w:eastAsia="Arial" w:hAnsi="Arial"/>
          <w:sz w:val="18"/>
          <w:szCs w:val="18"/>
          <w:color w:val="auto"/>
        </w:rPr>
        <w:t>Net sales for the six months ended June 30, 2013 were $250.8 million, an increase of 14% compared to $220.4 million for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2012. Net sales by our business and consumer lines were as follows: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040" w:type="dxa"/>
            <w:vAlign w:val="bottom"/>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740" w:type="dxa"/>
            <w:vAlign w:val="bottom"/>
            <w:tcBorders>
              <w:bottom w:val="single" w:sz="8" w:color="auto"/>
            </w:tcBorders>
            <w:gridSpan w:val="4"/>
          </w:tcPr>
          <w:p>
            <w:pPr>
              <w:jc w:val="right"/>
              <w:ind w:right="514"/>
              <w:spacing w:after="0"/>
              <w:rPr>
                <w:sz w:val="20"/>
                <w:szCs w:val="20"/>
                <w:color w:val="auto"/>
              </w:rPr>
            </w:pPr>
            <w:r>
              <w:rPr>
                <w:rFonts w:ascii="Arial" w:cs="Arial" w:eastAsia="Arial" w:hAnsi="Arial"/>
                <w:sz w:val="14"/>
                <w:szCs w:val="14"/>
                <w:b w:val="1"/>
                <w:bCs w:val="1"/>
                <w:color w:val="auto"/>
              </w:rPr>
              <w:t>Six Months Ended June 30,</w:t>
            </w:r>
          </w:p>
        </w:tc>
        <w:tc>
          <w:tcPr>
            <w:tcW w:w="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r>
      <w:tr>
        <w:trPr>
          <w:trHeight w:val="264"/>
        </w:trPr>
        <w:tc>
          <w:tcPr>
            <w:tcW w:w="5040" w:type="dxa"/>
            <w:vAlign w:val="bottom"/>
          </w:tcPr>
          <w:p>
            <w:pPr>
              <w:spacing w:after="0"/>
              <w:rPr>
                <w:sz w:val="22"/>
                <w:szCs w:val="22"/>
                <w:color w:val="auto"/>
              </w:rPr>
            </w:pPr>
          </w:p>
        </w:tc>
        <w:tc>
          <w:tcPr>
            <w:tcW w:w="48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4"/>
                <w:szCs w:val="14"/>
                <w:b w:val="1"/>
                <w:bCs w:val="1"/>
                <w:color w:val="auto"/>
              </w:rPr>
              <w:t>2013</w:t>
            </w:r>
          </w:p>
        </w:tc>
        <w:tc>
          <w:tcPr>
            <w:tcW w:w="12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spacing w:after="0"/>
              <w:rPr>
                <w:sz w:val="22"/>
                <w:szCs w:val="22"/>
                <w:color w:val="auto"/>
              </w:rPr>
            </w:pPr>
          </w:p>
        </w:tc>
        <w:tc>
          <w:tcPr>
            <w:tcW w:w="1740" w:type="dxa"/>
            <w:vAlign w:val="bottom"/>
            <w:tcBorders>
              <w:bottom w:val="single" w:sz="8" w:color="auto"/>
            </w:tcBorders>
            <w:gridSpan w:val="3"/>
          </w:tcPr>
          <w:p>
            <w:pPr>
              <w:jc w:val="right"/>
              <w:ind w:right="1319"/>
              <w:spacing w:after="0"/>
              <w:rPr>
                <w:sz w:val="20"/>
                <w:szCs w:val="20"/>
                <w:color w:val="auto"/>
              </w:rPr>
            </w:pPr>
            <w:r>
              <w:rPr>
                <w:rFonts w:ascii="Arial" w:cs="Arial" w:eastAsia="Arial" w:hAnsi="Arial"/>
                <w:sz w:val="14"/>
                <w:szCs w:val="14"/>
                <w:b w:val="1"/>
                <w:bCs w:val="1"/>
                <w:color w:val="auto"/>
              </w:rPr>
              <w:t>2012</w:t>
            </w:r>
          </w:p>
        </w:tc>
      </w:tr>
      <w:tr>
        <w:trPr>
          <w:trHeight w:val="264"/>
        </w:trPr>
        <w:tc>
          <w:tcPr>
            <w:tcW w:w="504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Arial" w:cs="Arial" w:eastAsia="Arial" w:hAnsi="Arial"/>
                <w:sz w:val="14"/>
                <w:szCs w:val="14"/>
                <w:b w:val="1"/>
                <w:bCs w:val="1"/>
                <w:color w:val="auto"/>
              </w:rPr>
              <w:t>$</w:t>
            </w:r>
          </w:p>
        </w:tc>
        <w:tc>
          <w:tcPr>
            <w:tcW w:w="1420" w:type="dxa"/>
            <w:vAlign w:val="bottom"/>
            <w:gridSpan w:val="3"/>
          </w:tcPr>
          <w:p>
            <w:pPr>
              <w:jc w:val="right"/>
              <w:ind w:right="820"/>
              <w:spacing w:after="0"/>
              <w:rPr>
                <w:sz w:val="20"/>
                <w:szCs w:val="20"/>
                <w:color w:val="auto"/>
              </w:rPr>
            </w:pPr>
            <w:r>
              <w:rPr>
                <w:rFonts w:ascii="Arial" w:cs="Arial" w:eastAsia="Arial" w:hAnsi="Arial"/>
                <w:sz w:val="14"/>
                <w:szCs w:val="14"/>
                <w:b w:val="1"/>
                <w:bCs w:val="1"/>
                <w:color w:val="auto"/>
                <w:w w:val="93"/>
              </w:rPr>
              <w:t>(millions)</w:t>
            </w:r>
          </w:p>
        </w:tc>
        <w:tc>
          <w:tcPr>
            <w:tcW w:w="1340" w:type="dxa"/>
            <w:vAlign w:val="bottom"/>
            <w:gridSpan w:val="2"/>
          </w:tcPr>
          <w:p>
            <w:pPr>
              <w:ind w:left="160"/>
              <w:spacing w:after="0"/>
              <w:rPr>
                <w:sz w:val="20"/>
                <w:szCs w:val="20"/>
                <w:color w:val="auto"/>
              </w:rPr>
            </w:pPr>
            <w:r>
              <w:rPr>
                <w:rFonts w:ascii="Arial" w:cs="Arial" w:eastAsia="Arial" w:hAnsi="Arial"/>
                <w:sz w:val="14"/>
                <w:szCs w:val="14"/>
                <w:b w:val="1"/>
                <w:bCs w:val="1"/>
                <w:color w:val="auto"/>
              </w:rPr>
              <w:t>% of total</w:t>
            </w:r>
          </w:p>
        </w:tc>
        <w:tc>
          <w:tcPr>
            <w:tcW w:w="260" w:type="dxa"/>
            <w:vAlign w:val="bottom"/>
          </w:tcPr>
          <w:p>
            <w:pPr>
              <w:spacing w:after="0"/>
              <w:rPr>
                <w:sz w:val="22"/>
                <w:szCs w:val="22"/>
                <w:color w:val="auto"/>
              </w:rPr>
            </w:pPr>
          </w:p>
        </w:tc>
        <w:tc>
          <w:tcPr>
            <w:tcW w:w="1140" w:type="dxa"/>
            <w:vAlign w:val="bottom"/>
          </w:tcPr>
          <w:p>
            <w:pPr>
              <w:jc w:val="right"/>
              <w:ind w:right="234"/>
              <w:spacing w:after="0"/>
              <w:rPr>
                <w:sz w:val="20"/>
                <w:szCs w:val="20"/>
                <w:color w:val="auto"/>
              </w:rPr>
            </w:pPr>
            <w:r>
              <w:rPr>
                <w:rFonts w:ascii="Arial" w:cs="Arial" w:eastAsia="Arial" w:hAnsi="Arial"/>
                <w:sz w:val="14"/>
                <w:szCs w:val="14"/>
                <w:b w:val="1"/>
                <w:bCs w:val="1"/>
                <w:color w:val="auto"/>
              </w:rPr>
              <w:t>$ (millions)</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560" w:type="dxa"/>
            <w:vAlign w:val="bottom"/>
          </w:tcPr>
          <w:p>
            <w:pPr>
              <w:jc w:val="right"/>
              <w:ind w:right="379"/>
              <w:spacing w:after="0"/>
              <w:rPr>
                <w:sz w:val="20"/>
                <w:szCs w:val="20"/>
                <w:color w:val="auto"/>
              </w:rPr>
            </w:pPr>
            <w:r>
              <w:rPr>
                <w:rFonts w:ascii="Arial" w:cs="Arial" w:eastAsia="Arial" w:hAnsi="Arial"/>
                <w:sz w:val="14"/>
                <w:szCs w:val="14"/>
                <w:b w:val="1"/>
                <w:bCs w:val="1"/>
                <w:color w:val="auto"/>
              </w:rPr>
              <w:t>% of total</w:t>
            </w:r>
          </w:p>
        </w:tc>
      </w:tr>
      <w:tr>
        <w:trPr>
          <w:trHeight w:val="250"/>
        </w:trPr>
        <w:tc>
          <w:tcPr>
            <w:tcW w:w="50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48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124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560" w:type="dxa"/>
            <w:vAlign w:val="bottom"/>
            <w:tcBorders>
              <w:top w:val="single" w:sz="8" w:color="auto"/>
              <w:bottom w:val="single" w:sz="8" w:color="CCEEFF"/>
            </w:tcBorders>
            <w:shd w:val="clear" w:color="auto" w:fill="CCEEFF"/>
          </w:tcPr>
          <w:p>
            <w:pPr>
              <w:spacing w:after="0"/>
              <w:rPr>
                <w:sz w:val="21"/>
                <w:szCs w:val="21"/>
                <w:color w:val="auto"/>
              </w:rPr>
            </w:pPr>
          </w:p>
        </w:tc>
      </w:tr>
      <w:tr>
        <w:trPr>
          <w:trHeight w:val="243"/>
        </w:trPr>
        <w:tc>
          <w:tcPr>
            <w:tcW w:w="5040" w:type="dxa"/>
            <w:vAlign w:val="bottom"/>
          </w:tcPr>
          <w:p>
            <w:pPr>
              <w:ind w:left="380"/>
              <w:spacing w:after="0"/>
              <w:rPr>
                <w:sz w:val="20"/>
                <w:szCs w:val="20"/>
                <w:color w:val="auto"/>
              </w:rPr>
            </w:pPr>
            <w:r>
              <w:rPr>
                <w:rFonts w:ascii="Arial" w:cs="Arial" w:eastAsia="Arial" w:hAnsi="Arial"/>
                <w:sz w:val="18"/>
                <w:szCs w:val="18"/>
                <w:color w:val="auto"/>
              </w:rPr>
              <w:t>Business</w:t>
            </w:r>
          </w:p>
        </w:tc>
        <w:tc>
          <w:tcPr>
            <w:tcW w:w="480" w:type="dxa"/>
            <w:vAlign w:val="bottom"/>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37"/>
              <w:spacing w:after="0"/>
              <w:rPr>
                <w:sz w:val="20"/>
                <w:szCs w:val="20"/>
                <w:color w:val="auto"/>
              </w:rPr>
            </w:pPr>
            <w:r>
              <w:rPr>
                <w:rFonts w:ascii="Arial" w:cs="Arial" w:eastAsia="Arial" w:hAnsi="Arial"/>
                <w:sz w:val="18"/>
                <w:szCs w:val="18"/>
                <w:color w:val="auto"/>
              </w:rPr>
              <w:t>228.8</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91.2%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196.3</w:t>
            </w:r>
          </w:p>
        </w:tc>
        <w:tc>
          <w:tcPr>
            <w:tcW w:w="1740" w:type="dxa"/>
            <w:vAlign w:val="bottom"/>
            <w:gridSpan w:val="3"/>
          </w:tcPr>
          <w:p>
            <w:pPr>
              <w:jc w:val="right"/>
              <w:spacing w:after="0"/>
              <w:rPr>
                <w:sz w:val="20"/>
                <w:szCs w:val="20"/>
                <w:color w:val="auto"/>
              </w:rPr>
            </w:pPr>
            <w:r>
              <w:rPr>
                <w:rFonts w:ascii="Arial" w:cs="Arial" w:eastAsia="Arial" w:hAnsi="Arial"/>
                <w:sz w:val="18"/>
                <w:szCs w:val="18"/>
                <w:color w:val="auto"/>
              </w:rPr>
              <w:t>89.1%</w:t>
            </w:r>
          </w:p>
        </w:tc>
      </w:tr>
      <w:tr>
        <w:trPr>
          <w:trHeight w:val="27"/>
        </w:trPr>
        <w:tc>
          <w:tcPr>
            <w:tcW w:w="504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70"/>
        </w:trPr>
        <w:tc>
          <w:tcPr>
            <w:tcW w:w="50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Consumer</w:t>
            </w:r>
          </w:p>
        </w:tc>
        <w:tc>
          <w:tcPr>
            <w:tcW w:w="4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22.0</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24.1</w:t>
            </w:r>
          </w:p>
        </w:tc>
        <w:tc>
          <w:tcPr>
            <w:tcW w:w="174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10.9%</w:t>
            </w:r>
          </w:p>
        </w:tc>
      </w:tr>
      <w:tr>
        <w:trPr>
          <w:trHeight w:val="237"/>
        </w:trPr>
        <w:tc>
          <w:tcPr>
            <w:tcW w:w="5040" w:type="dxa"/>
            <w:vAlign w:val="bottom"/>
          </w:tcPr>
          <w:p>
            <w:pPr>
              <w:ind w:left="40"/>
              <w:spacing w:after="0"/>
              <w:rPr>
                <w:sz w:val="20"/>
                <w:szCs w:val="20"/>
                <w:color w:val="auto"/>
              </w:rPr>
            </w:pPr>
            <w:r>
              <w:rPr>
                <w:rFonts w:ascii="Arial" w:cs="Arial" w:eastAsia="Arial" w:hAnsi="Arial"/>
                <w:sz w:val="18"/>
                <w:szCs w:val="18"/>
                <w:color w:val="auto"/>
              </w:rPr>
              <w:t>Total net sales</w:t>
            </w:r>
          </w:p>
        </w:tc>
        <w:tc>
          <w:tcPr>
            <w:tcW w:w="480" w:type="dxa"/>
            <w:vAlign w:val="bottom"/>
            <w:tcBorders>
              <w:top w:val="single" w:sz="8" w:color="auto"/>
            </w:tcBorders>
          </w:tcPr>
          <w:p>
            <w:pPr>
              <w:jc w:val="right"/>
              <w:ind w:right="276"/>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tcPr>
          <w:p>
            <w:pPr>
              <w:jc w:val="right"/>
              <w:ind w:right="37"/>
              <w:spacing w:after="0"/>
              <w:rPr>
                <w:sz w:val="20"/>
                <w:szCs w:val="20"/>
                <w:color w:val="auto"/>
              </w:rPr>
            </w:pPr>
            <w:r>
              <w:rPr>
                <w:rFonts w:ascii="Arial" w:cs="Arial" w:eastAsia="Arial" w:hAnsi="Arial"/>
                <w:sz w:val="18"/>
                <w:szCs w:val="18"/>
                <w:color w:val="auto"/>
              </w:rPr>
              <w:t>250.8</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220.4</w:t>
            </w:r>
          </w:p>
        </w:tc>
        <w:tc>
          <w:tcPr>
            <w:tcW w:w="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r>
      <w:tr>
        <w:trPr>
          <w:trHeight w:val="27"/>
        </w:trPr>
        <w:tc>
          <w:tcPr>
            <w:tcW w:w="504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0"/>
        </w:trPr>
        <w:tc>
          <w:tcPr>
            <w:tcW w:w="504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Net sales in our Business lines (subscription broadcasting, OEM, and computing companies) were 91% of net sales for the six months ended June 30, 2013 compared to 89% for the six months ended June 30, 2012. Net sales in our Business lines for the six months ended June 30, 2013 increased by 17% to $228.8 million driven primarily by strong demand in North American subscription broadcasting and Latin American subscription broadcasting, particularly in Brazil.</w:t>
      </w:r>
    </w:p>
    <w:p>
      <w:pPr>
        <w:spacing w:after="0" w:line="93" w:lineRule="exact"/>
        <w:rPr>
          <w:sz w:val="20"/>
          <w:szCs w:val="20"/>
          <w:color w:val="auto"/>
        </w:rPr>
      </w:pPr>
    </w:p>
    <w:p>
      <w:pPr>
        <w:jc w:val="both"/>
        <w:spacing w:after="0" w:line="262" w:lineRule="auto"/>
        <w:rPr>
          <w:sz w:val="20"/>
          <w:szCs w:val="20"/>
          <w:color w:val="auto"/>
        </w:rPr>
      </w:pPr>
      <w:r>
        <w:rPr>
          <w:rFonts w:ascii="Arial" w:cs="Arial" w:eastAsia="Arial" w:hAnsi="Arial"/>
          <w:sz w:val="16"/>
          <w:szCs w:val="16"/>
          <w:color w:val="auto"/>
        </w:rPr>
        <w:t>Net sales in our Consumer lines (</w:t>
      </w:r>
      <w:r>
        <w:rPr>
          <w:rFonts w:ascii="Arial" w:cs="Arial" w:eastAsia="Arial" w:hAnsi="Arial"/>
          <w:sz w:val="16"/>
          <w:szCs w:val="16"/>
          <w:i w:val="1"/>
          <w:iCs w:val="1"/>
          <w:color w:val="auto"/>
        </w:rPr>
        <w:t>One For All</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retail and private label) were 9% of net sales for the six months ended June 30, 2013 compared to 11% for the six months ended June 30, 2012. Net sales in our Consumer lines for the six months ended June 30, 2013 decreased by 9% to $22.0 million primarily due to a 9% decrease in international retail sales that was driven largely by soft consumer demand and cautious retailers in the European market.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118" w:right="239" w:bottom="1440" w:gutter="0" w:footer="0" w:header="0"/>
        </w:sectPr>
      </w:pPr>
    </w:p>
    <w:bookmarkStart w:id="23" w:name="page24"/>
    <w:bookmarkEnd w:id="23"/>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i w:val="1"/>
          <w:iCs w:val="1"/>
          <w:color w:val="auto"/>
        </w:rPr>
        <w:t xml:space="preserve">Gross profit. </w:t>
      </w:r>
      <w:r>
        <w:rPr>
          <w:rFonts w:ascii="Arial" w:cs="Arial" w:eastAsia="Arial" w:hAnsi="Arial"/>
          <w:sz w:val="17"/>
          <w:szCs w:val="17"/>
          <w:color w:val="auto"/>
        </w:rPr>
        <w:t>Gross profit for the six months ended June 30, 2013 was $70.4 million compared to $61.3 million for the six months ended June 30, 2012. Gross</w:t>
      </w:r>
      <w:r>
        <w:rPr>
          <w:rFonts w:ascii="Arial" w:cs="Arial" w:eastAsia="Arial" w:hAnsi="Arial"/>
          <w:sz w:val="17"/>
          <w:szCs w:val="17"/>
          <w:i w:val="1"/>
          <w:iCs w:val="1"/>
          <w:color w:val="auto"/>
        </w:rPr>
        <w:t xml:space="preserve"> </w:t>
      </w:r>
      <w:r>
        <w:rPr>
          <w:rFonts w:ascii="Arial" w:cs="Arial" w:eastAsia="Arial" w:hAnsi="Arial"/>
          <w:sz w:val="17"/>
          <w:szCs w:val="17"/>
          <w:color w:val="auto"/>
        </w:rPr>
        <w:t>profit as a percent of sales increased to 28.1% for the six months ended June 30, 2013 from 27.8% for the six months ended June 30, 2012. This improvement was primarily due to an increase in units produced internally versus units produced by third-party manufacturers.</w:t>
      </w:r>
    </w:p>
    <w:p>
      <w:pPr>
        <w:spacing w:after="0" w:line="11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Research and development expenses. </w:t>
      </w:r>
      <w:r>
        <w:rPr>
          <w:rFonts w:ascii="Arial" w:cs="Arial" w:eastAsia="Arial" w:hAnsi="Arial"/>
          <w:sz w:val="18"/>
          <w:szCs w:val="18"/>
          <w:color w:val="auto"/>
        </w:rPr>
        <w:t>R&amp;D expenses increased 20% to $8.3 million for the six months ended June 30, 2013 from $6.9 million for the six</w:t>
      </w:r>
      <w:r>
        <w:rPr>
          <w:rFonts w:ascii="Arial" w:cs="Arial" w:eastAsia="Arial" w:hAnsi="Arial"/>
          <w:sz w:val="18"/>
          <w:szCs w:val="18"/>
          <w:i w:val="1"/>
          <w:iCs w:val="1"/>
          <w:color w:val="auto"/>
        </w:rPr>
        <w:t xml:space="preserve"> </w:t>
      </w:r>
      <w:r>
        <w:rPr>
          <w:rFonts w:ascii="Arial" w:cs="Arial" w:eastAsia="Arial" w:hAnsi="Arial"/>
          <w:sz w:val="18"/>
          <w:szCs w:val="18"/>
          <w:color w:val="auto"/>
        </w:rPr>
        <w:t>months ended June 30, 2012. This increase was in line with our strategic initiatives and was primarily driven by additional R&amp;D efforts dedicated to developing new product offerings for new and existing product categories.</w:t>
      </w:r>
    </w:p>
    <w:p>
      <w:pPr>
        <w:spacing w:after="0" w:line="127" w:lineRule="exact"/>
        <w:rPr>
          <w:sz w:val="20"/>
          <w:szCs w:val="20"/>
          <w:color w:val="auto"/>
        </w:rPr>
      </w:pPr>
    </w:p>
    <w:p>
      <w:pPr>
        <w:jc w:val="both"/>
        <w:spacing w:after="0" w:line="279" w:lineRule="auto"/>
        <w:rPr>
          <w:sz w:val="20"/>
          <w:szCs w:val="20"/>
          <w:color w:val="auto"/>
        </w:rPr>
      </w:pPr>
      <w:r>
        <w:rPr>
          <w:rFonts w:ascii="Arial" w:cs="Arial" w:eastAsia="Arial" w:hAnsi="Arial"/>
          <w:sz w:val="17"/>
          <w:szCs w:val="17"/>
          <w:i w:val="1"/>
          <w:iCs w:val="1"/>
          <w:color w:val="auto"/>
        </w:rPr>
        <w:t xml:space="preserve">Selling, general and administrative expenses. </w:t>
      </w:r>
      <w:r>
        <w:rPr>
          <w:rFonts w:ascii="Arial" w:cs="Arial" w:eastAsia="Arial" w:hAnsi="Arial"/>
          <w:sz w:val="17"/>
          <w:szCs w:val="17"/>
          <w:color w:val="auto"/>
        </w:rPr>
        <w:t>SG&amp;A expenses increased 6% to $48.2 million for the six months ended June 30, 2013 from $45.6 million for</w:t>
      </w:r>
      <w:r>
        <w:rPr>
          <w:rFonts w:ascii="Arial" w:cs="Arial" w:eastAsia="Arial" w:hAnsi="Arial"/>
          <w:sz w:val="17"/>
          <w:szCs w:val="17"/>
          <w:i w:val="1"/>
          <w:iCs w:val="1"/>
          <w:color w:val="auto"/>
        </w:rPr>
        <w:t xml:space="preserve"> </w:t>
      </w:r>
      <w:r>
        <w:rPr>
          <w:rFonts w:ascii="Arial" w:cs="Arial" w:eastAsia="Arial" w:hAnsi="Arial"/>
          <w:sz w:val="17"/>
          <w:szCs w:val="17"/>
          <w:color w:val="auto"/>
        </w:rPr>
        <w:t>the six months ended June 30, 2012. This increase was driven primarily by increased payroll costs associated with hiring key personnel in global engineering and in our Asian operations, increased incentive compensation costs, and increased freight and delivery costs associated with higher sales volumes in the current period. These increases were partially offset by a reduction in litigation costs associated with protecting our intellectual property.</w:t>
      </w:r>
    </w:p>
    <w:p>
      <w:pPr>
        <w:spacing w:after="0" w:line="11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Interest income (expense), net. </w:t>
      </w:r>
      <w:r>
        <w:rPr>
          <w:rFonts w:ascii="Arial" w:cs="Arial" w:eastAsia="Arial" w:hAnsi="Arial"/>
          <w:sz w:val="18"/>
          <w:szCs w:val="18"/>
          <w:color w:val="auto"/>
        </w:rPr>
        <w:t>Net interest income was $13 thousand for the six months ended June 30, 2013 compared to net interest expense of $88</w:t>
      </w:r>
      <w:r>
        <w:rPr>
          <w:rFonts w:ascii="Arial" w:cs="Arial" w:eastAsia="Arial" w:hAnsi="Arial"/>
          <w:sz w:val="18"/>
          <w:szCs w:val="18"/>
          <w:i w:val="1"/>
          <w:iCs w:val="1"/>
          <w:color w:val="auto"/>
        </w:rPr>
        <w:t xml:space="preserve"> </w:t>
      </w:r>
      <w:r>
        <w:rPr>
          <w:rFonts w:ascii="Arial" w:cs="Arial" w:eastAsia="Arial" w:hAnsi="Arial"/>
          <w:sz w:val="18"/>
          <w:szCs w:val="18"/>
          <w:color w:val="auto"/>
        </w:rPr>
        <w:t>thousand for the six months ended June 30, 2012. This change was driven primarily by lower interest expense in the current period due to decreased credit needs.</w:t>
      </w:r>
    </w:p>
    <w:p>
      <w:pPr>
        <w:spacing w:after="0" w:line="12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 xml:space="preserve">Other income (expense), net. </w:t>
      </w:r>
      <w:r>
        <w:rPr>
          <w:rFonts w:ascii="Arial" w:cs="Arial" w:eastAsia="Arial" w:hAnsi="Arial"/>
          <w:sz w:val="18"/>
          <w:szCs w:val="18"/>
          <w:color w:val="auto"/>
        </w:rPr>
        <w:t>Net other expense was $2.2 million for the six months ended June 30, 2013 compared to net other expense of $0.5 million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six months ended June 30, 2012. This increase was driven primarily by increased foreign currency losses associated with fluctuations in foreign currency rates related to the Chinese Yuan Renminbi, Brazilian Real, and Argentinian Peso.</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i w:val="1"/>
          <w:iCs w:val="1"/>
          <w:color w:val="auto"/>
        </w:rPr>
        <w:t xml:space="preserve">Income tax expense. </w:t>
      </w:r>
      <w:r>
        <w:rPr>
          <w:rFonts w:ascii="Arial" w:cs="Arial" w:eastAsia="Arial" w:hAnsi="Arial"/>
          <w:sz w:val="18"/>
          <w:szCs w:val="18"/>
          <w:color w:val="auto"/>
        </w:rPr>
        <w:t>Income tax expense was $2.9 million for the six months ended June 30, 2013 compared to $1.5 million for the six months ended June 30,</w:t>
      </w:r>
      <w:r>
        <w:rPr>
          <w:rFonts w:ascii="Arial" w:cs="Arial" w:eastAsia="Arial" w:hAnsi="Arial"/>
          <w:sz w:val="18"/>
          <w:szCs w:val="18"/>
          <w:i w:val="1"/>
          <w:iCs w:val="1"/>
          <w:color w:val="auto"/>
        </w:rPr>
        <w:t xml:space="preserve"> </w:t>
      </w:r>
      <w:r>
        <w:rPr>
          <w:rFonts w:ascii="Arial" w:cs="Arial" w:eastAsia="Arial" w:hAnsi="Arial"/>
          <w:sz w:val="18"/>
          <w:szCs w:val="18"/>
          <w:color w:val="auto"/>
        </w:rPr>
        <w:t>2012. Our effective tax rate was 24.9% for the six months ended June 30, 2013 compared to 17.7% for the six months ended June 30, 2012. The increase in our effective tax rate was due to the following: the recording of approximately $0.4 million of additional tax reserves in the second quarter of 2013 resulting from a tax audit in Hong Kong for years preceding our acquisition of Enson Assets Limited; a greater percentage of income earned in higher tax rate jurisdictions in 2013 compared to 2012; and the reversal of $0.5 million of unrecognized tax benefits in 2012 which were originally recorded in 2007 through 2011.</w:t>
      </w:r>
    </w:p>
    <w:p>
      <w:pPr>
        <w:spacing w:after="0" w:line="3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Sources and Uses of Cash</w:t>
      </w: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2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140" w:type="dxa"/>
            <w:vAlign w:val="bottom"/>
          </w:tcPr>
          <w:p>
            <w:pPr>
              <w:spacing w:after="0"/>
              <w:rPr>
                <w:sz w:val="14"/>
                <w:szCs w:val="14"/>
                <w:color w:val="auto"/>
              </w:rPr>
            </w:pPr>
          </w:p>
        </w:tc>
        <w:tc>
          <w:tcPr>
            <w:tcW w:w="1920" w:type="dxa"/>
            <w:vAlign w:val="bottom"/>
            <w:gridSpan w:val="2"/>
          </w:tcPr>
          <w:p>
            <w:pPr>
              <w:spacing w:after="0"/>
              <w:rPr>
                <w:sz w:val="20"/>
                <w:szCs w:val="20"/>
                <w:color w:val="auto"/>
              </w:rPr>
            </w:pPr>
            <w:r>
              <w:rPr>
                <w:rFonts w:ascii="Arial" w:cs="Arial" w:eastAsia="Arial" w:hAnsi="Arial"/>
                <w:sz w:val="14"/>
                <w:szCs w:val="14"/>
                <w:b w:val="1"/>
                <w:bCs w:val="1"/>
                <w:color w:val="auto"/>
              </w:rPr>
              <w:t>Six Months Ended June 30,</w:t>
            </w:r>
          </w:p>
        </w:tc>
        <w:tc>
          <w:tcPr>
            <w:tcW w:w="440" w:type="dxa"/>
            <w:vAlign w:val="bottom"/>
          </w:tcPr>
          <w:p>
            <w:pPr>
              <w:spacing w:after="0"/>
              <w:rPr>
                <w:sz w:val="14"/>
                <w:szCs w:val="14"/>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91"/>
              </w:rPr>
              <w:t>Increase</w:t>
            </w:r>
          </w:p>
        </w:tc>
        <w:tc>
          <w:tcPr>
            <w:tcW w:w="1840" w:type="dxa"/>
            <w:vAlign w:val="bottom"/>
            <w:gridSpan w:val="2"/>
          </w:tcPr>
          <w:p>
            <w:pPr>
              <w:jc w:val="right"/>
              <w:spacing w:after="0"/>
              <w:rPr>
                <w:sz w:val="20"/>
                <w:szCs w:val="20"/>
                <w:color w:val="auto"/>
              </w:rPr>
            </w:pPr>
            <w:r>
              <w:rPr>
                <w:rFonts w:ascii="Arial" w:cs="Arial" w:eastAsia="Arial" w:hAnsi="Arial"/>
                <w:sz w:val="14"/>
                <w:szCs w:val="14"/>
                <w:b w:val="1"/>
                <w:bCs w:val="1"/>
                <w:color w:val="auto"/>
                <w:w w:val="95"/>
              </w:rPr>
              <w:t>Six Months Ended June 30,</w:t>
            </w:r>
          </w:p>
        </w:tc>
        <w:tc>
          <w:tcPr>
            <w:tcW w:w="0" w:type="dxa"/>
            <w:vAlign w:val="bottom"/>
          </w:tcPr>
          <w:p>
            <w:pPr>
              <w:spacing w:after="0"/>
              <w:rPr>
                <w:sz w:val="1"/>
                <w:szCs w:val="1"/>
                <w:color w:val="auto"/>
              </w:rPr>
            </w:pPr>
          </w:p>
        </w:tc>
      </w:tr>
      <w:tr>
        <w:trPr>
          <w:trHeight w:val="192"/>
        </w:trPr>
        <w:tc>
          <w:tcPr>
            <w:tcW w:w="524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1820" w:type="dxa"/>
            <w:vAlign w:val="bottom"/>
          </w:tcPr>
          <w:p>
            <w:pPr>
              <w:jc w:val="right"/>
              <w:ind w:right="756"/>
              <w:spacing w:after="0"/>
              <w:rPr>
                <w:sz w:val="20"/>
                <w:szCs w:val="20"/>
                <w:color w:val="auto"/>
              </w:rPr>
            </w:pPr>
            <w:r>
              <w:rPr>
                <w:rFonts w:ascii="Arial" w:cs="Arial" w:eastAsia="Arial" w:hAnsi="Arial"/>
                <w:sz w:val="14"/>
                <w:szCs w:val="14"/>
                <w:b w:val="1"/>
                <w:bCs w:val="1"/>
                <w:color w:val="auto"/>
              </w:rPr>
              <w:t>2013</w:t>
            </w:r>
          </w:p>
        </w:tc>
        <w:tc>
          <w:tcPr>
            <w:tcW w:w="1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1820" w:type="dxa"/>
            <w:vAlign w:val="bottom"/>
            <w:gridSpan w:val="2"/>
          </w:tcPr>
          <w:p>
            <w:pPr>
              <w:jc w:val="center"/>
              <w:ind w:right="540"/>
              <w:spacing w:after="0"/>
              <w:rPr>
                <w:sz w:val="20"/>
                <w:szCs w:val="20"/>
                <w:color w:val="auto"/>
              </w:rPr>
            </w:pPr>
            <w:r>
              <w:rPr>
                <w:rFonts w:ascii="Arial" w:cs="Arial" w:eastAsia="Arial" w:hAnsi="Arial"/>
                <w:sz w:val="14"/>
                <w:szCs w:val="14"/>
                <w:b w:val="1"/>
                <w:bCs w:val="1"/>
                <w:color w:val="auto"/>
                <w:w w:val="89"/>
              </w:rPr>
              <w:t>(Decrease)</w:t>
            </w:r>
          </w:p>
        </w:tc>
        <w:tc>
          <w:tcPr>
            <w:tcW w:w="460" w:type="dxa"/>
            <w:vAlign w:val="bottom"/>
          </w:tcPr>
          <w:p>
            <w:pPr>
              <w:spacing w:after="0"/>
              <w:rPr>
                <w:sz w:val="16"/>
                <w:szCs w:val="16"/>
                <w:color w:val="auto"/>
              </w:rPr>
            </w:pPr>
          </w:p>
        </w:tc>
        <w:tc>
          <w:tcPr>
            <w:tcW w:w="1380" w:type="dxa"/>
            <w:vAlign w:val="bottom"/>
          </w:tcPr>
          <w:p>
            <w:pPr>
              <w:jc w:val="right"/>
              <w:ind w:right="694"/>
              <w:spacing w:after="0"/>
              <w:rPr>
                <w:sz w:val="20"/>
                <w:szCs w:val="20"/>
                <w:color w:val="auto"/>
              </w:rPr>
            </w:pPr>
            <w:r>
              <w:rPr>
                <w:rFonts w:ascii="Arial" w:cs="Arial" w:eastAsia="Arial" w:hAnsi="Arial"/>
                <w:sz w:val="14"/>
                <w:szCs w:val="14"/>
                <w:b w:val="1"/>
                <w:bCs w:val="1"/>
                <w:color w:val="auto"/>
              </w:rPr>
              <w:t>2012</w:t>
            </w:r>
          </w:p>
        </w:tc>
        <w:tc>
          <w:tcPr>
            <w:tcW w:w="0" w:type="dxa"/>
            <w:vAlign w:val="bottom"/>
          </w:tcPr>
          <w:p>
            <w:pPr>
              <w:spacing w:after="0"/>
              <w:rPr>
                <w:sz w:val="1"/>
                <w:szCs w:val="1"/>
                <w:color w:val="auto"/>
              </w:rPr>
            </w:pPr>
          </w:p>
        </w:tc>
      </w:tr>
      <w:tr>
        <w:trPr>
          <w:trHeight w:val="250"/>
        </w:trPr>
        <w:tc>
          <w:tcPr>
            <w:tcW w:w="52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operating activities</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82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7,946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40" w:type="dxa"/>
            <w:vAlign w:val="bottom"/>
            <w:tcBorders>
              <w:top w:val="single" w:sz="8" w:color="auto"/>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460" w:type="dxa"/>
            <w:vAlign w:val="bottom"/>
            <w:tcBorders>
              <w:top w:val="single" w:sz="8" w:color="auto"/>
              <w:bottom w:val="single" w:sz="8" w:color="CCEEFF"/>
            </w:tcBorders>
            <w:shd w:val="clear" w:color="auto" w:fill="CCEEFF"/>
          </w:tcPr>
          <w:p>
            <w:pPr>
              <w:jc w:val="right"/>
              <w:ind w:right="259"/>
              <w:spacing w:after="0"/>
              <w:rPr>
                <w:sz w:val="20"/>
                <w:szCs w:val="20"/>
                <w:color w:val="auto"/>
              </w:rPr>
            </w:pPr>
            <w:r>
              <w:rPr>
                <w:rFonts w:ascii="Arial" w:cs="Arial" w:eastAsia="Arial" w:hAnsi="Arial"/>
                <w:sz w:val="18"/>
                <w:szCs w:val="18"/>
                <w:color w:val="auto"/>
                <w:w w:val="99"/>
              </w:rPr>
              <w:t>$</w:t>
            </w:r>
          </w:p>
        </w:tc>
        <w:tc>
          <w:tcPr>
            <w:tcW w:w="1380" w:type="dxa"/>
            <w:vAlign w:val="bottom"/>
            <w:tcBorders>
              <w:top w:val="single" w:sz="8" w:color="auto"/>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8,601</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Cash used for investing activities</w:t>
            </w:r>
          </w:p>
        </w:tc>
        <w:tc>
          <w:tcPr>
            <w:tcW w:w="140" w:type="dxa"/>
            <w:vAlign w:val="bottom"/>
          </w:tcPr>
          <w:p>
            <w:pPr>
              <w:spacing w:after="0"/>
              <w:rPr>
                <w:sz w:val="21"/>
                <w:szCs w:val="21"/>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(5,309)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(4,691)</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2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provided by (used for) financing activities</w:t>
            </w:r>
          </w:p>
        </w:tc>
        <w:tc>
          <w:tcPr>
            <w:tcW w:w="14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1,877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7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4,347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(2,470)</w:t>
            </w:r>
          </w:p>
        </w:tc>
        <w:tc>
          <w:tcPr>
            <w:tcW w:w="0" w:type="dxa"/>
            <w:vAlign w:val="bottom"/>
          </w:tcPr>
          <w:p>
            <w:pPr>
              <w:spacing w:after="0"/>
              <w:rPr>
                <w:sz w:val="1"/>
                <w:szCs w:val="1"/>
                <w:color w:val="auto"/>
              </w:rPr>
            </w:pPr>
          </w:p>
        </w:tc>
      </w:tr>
      <w:tr>
        <w:trPr>
          <w:trHeight w:val="243"/>
        </w:trPr>
        <w:tc>
          <w:tcPr>
            <w:tcW w:w="5240" w:type="dxa"/>
            <w:vAlign w:val="bottom"/>
          </w:tcPr>
          <w:p>
            <w:pPr>
              <w:ind w:left="40"/>
              <w:spacing w:after="0"/>
              <w:rPr>
                <w:sz w:val="20"/>
                <w:szCs w:val="20"/>
                <w:color w:val="auto"/>
              </w:rPr>
            </w:pPr>
            <w:r>
              <w:rPr>
                <w:rFonts w:ascii="Arial" w:cs="Arial" w:eastAsia="Arial" w:hAnsi="Arial"/>
                <w:sz w:val="18"/>
                <w:szCs w:val="18"/>
                <w:color w:val="auto"/>
              </w:rPr>
              <w:t>Effect of exchange rate changes on cash</w:t>
            </w:r>
          </w:p>
        </w:tc>
        <w:tc>
          <w:tcPr>
            <w:tcW w:w="140" w:type="dxa"/>
            <w:vAlign w:val="bottom"/>
          </w:tcPr>
          <w:p>
            <w:pPr>
              <w:spacing w:after="0"/>
              <w:rPr>
                <w:sz w:val="21"/>
                <w:szCs w:val="21"/>
                <w:color w:val="auto"/>
              </w:rPr>
            </w:pPr>
          </w:p>
        </w:tc>
        <w:tc>
          <w:tcPr>
            <w:tcW w:w="1820" w:type="dxa"/>
            <w:vAlign w:val="bottom"/>
          </w:tcPr>
          <w:p>
            <w:pPr>
              <w:jc w:val="right"/>
              <w:ind w:right="36"/>
              <w:spacing w:after="0"/>
              <w:rPr>
                <w:sz w:val="20"/>
                <w:szCs w:val="20"/>
                <w:color w:val="auto"/>
              </w:rPr>
            </w:pPr>
            <w:r>
              <w:rPr>
                <w:rFonts w:ascii="Arial" w:cs="Arial" w:eastAsia="Arial" w:hAnsi="Arial"/>
                <w:sz w:val="18"/>
                <w:szCs w:val="18"/>
                <w:color w:val="auto"/>
              </w:rPr>
              <w:t>638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720" w:type="dxa"/>
            <w:vAlign w:val="bottom"/>
          </w:tcPr>
          <w:p>
            <w:pPr>
              <w:jc w:val="right"/>
              <w:ind w:right="18"/>
              <w:spacing w:after="0"/>
              <w:rPr>
                <w:sz w:val="20"/>
                <w:szCs w:val="20"/>
                <w:color w:val="auto"/>
              </w:rPr>
            </w:pPr>
            <w:r>
              <w:rPr>
                <w:rFonts w:ascii="Arial" w:cs="Arial" w:eastAsia="Arial" w:hAnsi="Arial"/>
                <w:sz w:val="18"/>
                <w:szCs w:val="18"/>
                <w:color w:val="auto"/>
              </w:rPr>
              <w:t>762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(124)</w:t>
            </w:r>
          </w:p>
        </w:tc>
        <w:tc>
          <w:tcPr>
            <w:tcW w:w="0" w:type="dxa"/>
            <w:vAlign w:val="bottom"/>
          </w:tcPr>
          <w:p>
            <w:pPr>
              <w:spacing w:after="0"/>
              <w:rPr>
                <w:sz w:val="1"/>
                <w:szCs w:val="1"/>
                <w:color w:val="auto"/>
              </w:rPr>
            </w:pPr>
          </w:p>
        </w:tc>
      </w:tr>
      <w:tr>
        <w:trPr>
          <w:trHeight w:val="520"/>
        </w:trPr>
        <w:tc>
          <w:tcPr>
            <w:tcW w:w="5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20" w:type="dxa"/>
            <w:vAlign w:val="bottom"/>
            <w:gridSpan w:val="2"/>
          </w:tcPr>
          <w:p>
            <w:pPr>
              <w:ind w:left="1100"/>
              <w:spacing w:after="0"/>
              <w:rPr>
                <w:sz w:val="20"/>
                <w:szCs w:val="20"/>
                <w:color w:val="auto"/>
              </w:rPr>
            </w:pPr>
            <w:r>
              <w:rPr>
                <w:rFonts w:ascii="Arial" w:cs="Arial" w:eastAsia="Arial" w:hAnsi="Arial"/>
                <w:sz w:val="14"/>
                <w:szCs w:val="14"/>
                <w:b w:val="1"/>
                <w:bCs w:val="1"/>
                <w:color w:val="auto"/>
              </w:rPr>
              <w:t>Increase</w:t>
            </w:r>
          </w:p>
        </w:tc>
        <w:tc>
          <w:tcPr>
            <w:tcW w:w="4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2"/>
        </w:trPr>
        <w:tc>
          <w:tcPr>
            <w:tcW w:w="67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80" w:type="dxa"/>
            <w:vAlign w:val="bottom"/>
            <w:gridSpan w:val="2"/>
          </w:tcPr>
          <w:p>
            <w:pPr>
              <w:ind w:left="100"/>
              <w:spacing w:after="0"/>
              <w:rPr>
                <w:sz w:val="20"/>
                <w:szCs w:val="20"/>
                <w:color w:val="auto"/>
              </w:rPr>
            </w:pPr>
            <w:r>
              <w:rPr>
                <w:rFonts w:ascii="Arial" w:cs="Arial" w:eastAsia="Arial" w:hAnsi="Arial"/>
                <w:sz w:val="14"/>
                <w:szCs w:val="14"/>
                <w:b w:val="1"/>
                <w:bCs w:val="1"/>
                <w:color w:val="auto"/>
              </w:rPr>
              <w:t>June 30, 2013</w:t>
            </w:r>
          </w:p>
        </w:tc>
        <w:tc>
          <w:tcPr>
            <w:tcW w:w="280" w:type="dxa"/>
            <w:vAlign w:val="bottom"/>
          </w:tcPr>
          <w:p>
            <w:pPr>
              <w:spacing w:after="0"/>
              <w:rPr>
                <w:sz w:val="15"/>
                <w:szCs w:val="15"/>
                <w:color w:val="auto"/>
              </w:rPr>
            </w:pPr>
          </w:p>
        </w:tc>
        <w:tc>
          <w:tcPr>
            <w:tcW w:w="1300" w:type="dxa"/>
            <w:vAlign w:val="bottom"/>
            <w:gridSpan w:val="2"/>
          </w:tcPr>
          <w:p>
            <w:pPr>
              <w:ind w:left="140"/>
              <w:spacing w:after="0"/>
              <w:rPr>
                <w:sz w:val="20"/>
                <w:szCs w:val="20"/>
                <w:color w:val="auto"/>
              </w:rPr>
            </w:pPr>
            <w:r>
              <w:rPr>
                <w:rFonts w:ascii="Arial" w:cs="Arial" w:eastAsia="Arial" w:hAnsi="Arial"/>
                <w:sz w:val="14"/>
                <w:szCs w:val="14"/>
                <w:b w:val="1"/>
                <w:bCs w:val="1"/>
                <w:color w:val="auto"/>
              </w:rPr>
              <w:t>(Decrease)</w:t>
            </w:r>
          </w:p>
        </w:tc>
        <w:tc>
          <w:tcPr>
            <w:tcW w:w="140" w:type="dxa"/>
            <w:vAlign w:val="bottom"/>
          </w:tcPr>
          <w:p>
            <w:pPr>
              <w:spacing w:after="0"/>
              <w:rPr>
                <w:sz w:val="15"/>
                <w:szCs w:val="15"/>
                <w:color w:val="auto"/>
              </w:rPr>
            </w:pPr>
          </w:p>
        </w:tc>
        <w:tc>
          <w:tcPr>
            <w:tcW w:w="1340" w:type="dxa"/>
            <w:vAlign w:val="bottom"/>
          </w:tcPr>
          <w:p>
            <w:pPr>
              <w:jc w:val="right"/>
              <w:ind w:right="76"/>
              <w:spacing w:after="0"/>
              <w:rPr>
                <w:sz w:val="20"/>
                <w:szCs w:val="20"/>
                <w:color w:val="auto"/>
              </w:rPr>
            </w:pPr>
            <w:r>
              <w:rPr>
                <w:rFonts w:ascii="Arial" w:cs="Arial" w:eastAsia="Arial" w:hAnsi="Arial"/>
                <w:sz w:val="14"/>
                <w:szCs w:val="14"/>
                <w:b w:val="1"/>
                <w:bCs w:val="1"/>
                <w:color w:val="auto"/>
                <w:w w:val="91"/>
              </w:rPr>
              <w:t>December 31, 2012</w:t>
            </w:r>
          </w:p>
        </w:tc>
      </w:tr>
      <w:tr>
        <w:trPr>
          <w:trHeight w:val="244"/>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49,745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5,152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44,593</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Working capital</w:t>
            </w:r>
          </w:p>
        </w:tc>
        <w:tc>
          <w:tcPr>
            <w:tcW w:w="240" w:type="dxa"/>
            <w:vAlign w:val="bottom"/>
          </w:tcPr>
          <w:p>
            <w:pPr>
              <w:spacing w:after="0"/>
              <w:rPr>
                <w:sz w:val="21"/>
                <w:szCs w:val="21"/>
                <w:color w:val="auto"/>
              </w:rPr>
            </w:pPr>
          </w:p>
        </w:tc>
        <w:tc>
          <w:tcPr>
            <w:tcW w:w="1280" w:type="dxa"/>
            <w:vAlign w:val="bottom"/>
          </w:tcPr>
          <w:p>
            <w:pPr>
              <w:jc w:val="right"/>
              <w:ind w:right="36"/>
              <w:spacing w:after="0"/>
              <w:rPr>
                <w:sz w:val="20"/>
                <w:szCs w:val="20"/>
                <w:color w:val="auto"/>
              </w:rPr>
            </w:pPr>
            <w:r>
              <w:rPr>
                <w:rFonts w:ascii="Arial" w:cs="Arial" w:eastAsia="Arial" w:hAnsi="Arial"/>
                <w:sz w:val="18"/>
                <w:szCs w:val="18"/>
                <w:color w:val="auto"/>
              </w:rPr>
              <w:t>129,875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00" w:type="dxa"/>
            <w:vAlign w:val="bottom"/>
          </w:tcPr>
          <w:p>
            <w:pPr>
              <w:jc w:val="right"/>
              <w:ind w:right="16"/>
              <w:spacing w:after="0"/>
              <w:rPr>
                <w:sz w:val="20"/>
                <w:szCs w:val="20"/>
                <w:color w:val="auto"/>
              </w:rPr>
            </w:pPr>
            <w:r>
              <w:rPr>
                <w:rFonts w:ascii="Arial" w:cs="Arial" w:eastAsia="Arial" w:hAnsi="Arial"/>
                <w:sz w:val="18"/>
                <w:szCs w:val="18"/>
                <w:color w:val="auto"/>
              </w:rPr>
              <w:t>16,387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40" w:type="dxa"/>
            <w:vAlign w:val="bottom"/>
          </w:tcPr>
          <w:p>
            <w:pPr>
              <w:jc w:val="right"/>
              <w:ind w:right="16"/>
              <w:spacing w:after="0"/>
              <w:rPr>
                <w:sz w:val="20"/>
                <w:szCs w:val="20"/>
                <w:color w:val="auto"/>
              </w:rPr>
            </w:pPr>
            <w:r>
              <w:rPr>
                <w:rFonts w:ascii="Arial" w:cs="Arial" w:eastAsia="Arial" w:hAnsi="Arial"/>
                <w:sz w:val="18"/>
                <w:szCs w:val="18"/>
                <w:color w:val="auto"/>
              </w:rPr>
              <w:t>113,488</w:t>
            </w:r>
          </w:p>
        </w:tc>
      </w:tr>
    </w:tbl>
    <w:p>
      <w:pPr>
        <w:spacing w:after="0" w:line="175" w:lineRule="exact"/>
        <w:rPr>
          <w:sz w:val="20"/>
          <w:szCs w:val="20"/>
          <w:color w:val="auto"/>
        </w:rPr>
      </w:pPr>
    </w:p>
    <w:p>
      <w:pPr>
        <w:jc w:val="both"/>
        <w:spacing w:after="0" w:line="291" w:lineRule="auto"/>
        <w:rPr>
          <w:sz w:val="20"/>
          <w:szCs w:val="20"/>
          <w:color w:val="auto"/>
        </w:rPr>
      </w:pPr>
      <w:r>
        <w:rPr>
          <w:rFonts w:ascii="Arial" w:cs="Arial" w:eastAsia="Arial" w:hAnsi="Arial"/>
          <w:sz w:val="16"/>
          <w:szCs w:val="16"/>
          <w:i w:val="1"/>
          <w:iCs w:val="1"/>
          <w:color w:val="auto"/>
        </w:rPr>
        <w:t xml:space="preserve">Net cash provided by operating activities </w:t>
      </w:r>
      <w:r>
        <w:rPr>
          <w:rFonts w:ascii="Arial" w:cs="Arial" w:eastAsia="Arial" w:hAnsi="Arial"/>
          <w:sz w:val="16"/>
          <w:szCs w:val="16"/>
          <w:color w:val="auto"/>
        </w:rPr>
        <w:t>decreased $0.7 million to cash inflows of $7.9 million during the six months ended June 30, 2013 from cash inflows</w:t>
      </w:r>
      <w:r>
        <w:rPr>
          <w:rFonts w:ascii="Arial" w:cs="Arial" w:eastAsia="Arial" w:hAnsi="Arial"/>
          <w:sz w:val="16"/>
          <w:szCs w:val="16"/>
          <w:i w:val="1"/>
          <w:iCs w:val="1"/>
          <w:color w:val="auto"/>
        </w:rPr>
        <w:t xml:space="preserve"> </w:t>
      </w:r>
      <w:r>
        <w:rPr>
          <w:rFonts w:ascii="Arial" w:cs="Arial" w:eastAsia="Arial" w:hAnsi="Arial"/>
          <w:sz w:val="16"/>
          <w:szCs w:val="16"/>
          <w:color w:val="auto"/>
        </w:rPr>
        <w:t>of $8.6 million during the six months ended June 30, 2012, primarily due to the net impact of changes in working capital needs associated with inventory, accounts receivable and accounts payable. We have increased inventory levels during the six months ended June 30, 2013 to support a higher level of expected sales in the current year. In addition, we purchased more resin than usual as a result of attractive pricing and we increased the inventory levels of certain components, primarily chips, as a result of increased lead times. With regard to accounts receivable, days sales outstanding decreased from approximately 66 days for the three months ended June 30, 2012 to approximately 59 days for the three months ended June 30, 2013. Accounts payable for the six months ended June 20, 2013 increased by approximately $2.6 million compared to a decrease of $13.5 million for the six months ended June 30, 2012.</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118" w:right="239" w:bottom="1440" w:gutter="0" w:footer="0" w:header="0"/>
        </w:sectPr>
      </w:pPr>
    </w:p>
    <w:bookmarkStart w:id="24" w:name="page25"/>
    <w:bookmarkEnd w:id="24"/>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used for investing activities </w:t>
      </w:r>
      <w:r>
        <w:rPr>
          <w:rFonts w:ascii="Arial" w:cs="Arial" w:eastAsia="Arial" w:hAnsi="Arial"/>
          <w:sz w:val="18"/>
          <w:szCs w:val="18"/>
          <w:color w:val="auto"/>
        </w:rPr>
        <w:t>during the six months ended June 30, 2013 was $5.3 million compared to $4.7 million during the six months ended June</w:t>
      </w:r>
      <w:r>
        <w:rPr>
          <w:rFonts w:ascii="Arial" w:cs="Arial" w:eastAsia="Arial" w:hAnsi="Arial"/>
          <w:sz w:val="18"/>
          <w:szCs w:val="18"/>
          <w:i w:val="1"/>
          <w:iCs w:val="1"/>
          <w:color w:val="auto"/>
        </w:rPr>
        <w:t xml:space="preserve"> </w:t>
      </w:r>
      <w:r>
        <w:rPr>
          <w:rFonts w:ascii="Arial" w:cs="Arial" w:eastAsia="Arial" w:hAnsi="Arial"/>
          <w:sz w:val="18"/>
          <w:szCs w:val="18"/>
          <w:color w:val="auto"/>
        </w:rPr>
        <w:t>30, 2012. Cash outflows to purchase property, plant and equipment were $4.7 million during the six months ended June 30, 2013 compared to $4.3 million for the six months ended June 30, 2012. This increase is due primarily to equipment purchases at our China factories which has enabled us to produce more units internally versus utilizing third-party manufacturers.</w:t>
      </w:r>
    </w:p>
    <w:p>
      <w:pPr>
        <w:spacing w:after="0" w:line="13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i w:val="1"/>
          <w:iCs w:val="1"/>
          <w:color w:val="auto"/>
        </w:rPr>
        <w:t xml:space="preserve">Net cash provided by financing activities </w:t>
      </w:r>
      <w:r>
        <w:rPr>
          <w:rFonts w:ascii="Arial" w:cs="Arial" w:eastAsia="Arial" w:hAnsi="Arial"/>
          <w:sz w:val="18"/>
          <w:szCs w:val="18"/>
          <w:color w:val="auto"/>
        </w:rPr>
        <w:t>was $1.9 million during the six months ended June 30, 2013 compared to net cash used for financing activities of</w:t>
      </w:r>
      <w:r>
        <w:rPr>
          <w:rFonts w:ascii="Arial" w:cs="Arial" w:eastAsia="Arial" w:hAnsi="Arial"/>
          <w:sz w:val="18"/>
          <w:szCs w:val="18"/>
          <w:i w:val="1"/>
          <w:iCs w:val="1"/>
          <w:color w:val="auto"/>
        </w:rPr>
        <w:t xml:space="preserve"> </w:t>
      </w:r>
      <w:r>
        <w:rPr>
          <w:rFonts w:ascii="Arial" w:cs="Arial" w:eastAsia="Arial" w:hAnsi="Arial"/>
          <w:sz w:val="18"/>
          <w:szCs w:val="18"/>
          <w:color w:val="auto"/>
        </w:rPr>
        <w:t>$2.5 million during the six months ended June 30, 2012. The increase in cash provided by financing activities was driven by higher proceeds from stock options exercises in the current year period and $3.4 million of net debt repayments in the prior year period, partially offset by an increased level of stock repurchases in the current year period.</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six months ended June 30, 2013, we repurchased 117,666 shares of our common stock at a cost of $2.4 million compared to our repurchase of 27,980 shares at a cost of $0.5 million during the six months ended June 30, 2012. We hold these shares as treasury stock and they are available for reissue. Presently, except for using a minimal number of these treasury shares to compensate our outside board members, we have no plans to distribute these shares, although we may change these plans if necessary to fulfill our on-going business objectives.</w:t>
      </w:r>
    </w:p>
    <w:p>
      <w:pPr>
        <w:spacing w:after="0" w:line="11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our Board of Directors authorizes management to repurchase shares of our issued and outstanding common stock. Repurchases may be made to manage dilution created by shares issued under our stock incentive plans or whenever we deem a repurchase is a good use of our cash and the price to be paid is at or below a threshold approved by our Board. As of June 30, 2013, we had 968,905 shares available for repurchase under the Board's authorizations.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Contractual Obligations</w:t>
      </w:r>
    </w:p>
    <w:p>
      <w:pPr>
        <w:spacing w:after="0" w:line="90"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following table summarizes our contractual obligations and the effect these obligations are expected to have on our liquidity and cash flow in future periods.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6"/>
          </w:tcPr>
          <w:p>
            <w:pPr>
              <w:jc w:val="center"/>
              <w:spacing w:after="0"/>
              <w:rPr>
                <w:sz w:val="20"/>
                <w:szCs w:val="20"/>
                <w:color w:val="auto"/>
              </w:rPr>
            </w:pPr>
            <w:r>
              <w:rPr>
                <w:rFonts w:ascii="Arial" w:cs="Arial" w:eastAsia="Arial" w:hAnsi="Arial"/>
                <w:sz w:val="14"/>
                <w:szCs w:val="14"/>
                <w:b w:val="1"/>
                <w:bCs w:val="1"/>
                <w:color w:val="auto"/>
                <w:w w:val="91"/>
              </w:rPr>
              <w:t>Payments Due by Period</w:t>
            </w:r>
          </w:p>
        </w:tc>
        <w:tc>
          <w:tcPr>
            <w:tcW w:w="280" w:type="dxa"/>
            <w:vAlign w:val="bottom"/>
            <w:tcBorders>
              <w:bottom w:val="single" w:sz="8" w:color="auto"/>
            </w:tcBorders>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2"/>
        </w:trPr>
        <w:tc>
          <w:tcPr>
            <w:tcW w:w="470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(In thousands)</w:t>
            </w:r>
          </w:p>
        </w:tc>
        <w:tc>
          <w:tcPr>
            <w:tcW w:w="300" w:type="dxa"/>
            <w:vAlign w:val="bottom"/>
          </w:tcPr>
          <w:p>
            <w:pPr>
              <w:spacing w:after="0"/>
              <w:rPr>
                <w:sz w:val="13"/>
                <w:szCs w:val="13"/>
                <w:color w:val="auto"/>
              </w:rPr>
            </w:pPr>
          </w:p>
        </w:tc>
        <w:tc>
          <w:tcPr>
            <w:tcW w:w="1080" w:type="dxa"/>
            <w:vAlign w:val="bottom"/>
            <w:gridSpan w:val="2"/>
            <w:vMerge w:val="restart"/>
          </w:tcPr>
          <w:p>
            <w:pPr>
              <w:ind w:left="180"/>
              <w:spacing w:after="0"/>
              <w:rPr>
                <w:sz w:val="20"/>
                <w:szCs w:val="20"/>
                <w:color w:val="auto"/>
              </w:rPr>
            </w:pPr>
            <w:r>
              <w:rPr>
                <w:rFonts w:ascii="Arial" w:cs="Arial" w:eastAsia="Arial" w:hAnsi="Arial"/>
                <w:sz w:val="14"/>
                <w:szCs w:val="14"/>
                <w:b w:val="1"/>
                <w:bCs w:val="1"/>
                <w:color w:val="auto"/>
              </w:rPr>
              <w:t>Total</w:t>
            </w:r>
          </w:p>
        </w:tc>
        <w:tc>
          <w:tcPr>
            <w:tcW w:w="220" w:type="dxa"/>
            <w:vAlign w:val="bottom"/>
          </w:tcPr>
          <w:p>
            <w:pPr>
              <w:spacing w:after="0"/>
              <w:rPr>
                <w:sz w:val="13"/>
                <w:szCs w:val="13"/>
                <w:color w:val="auto"/>
              </w:rPr>
            </w:pPr>
          </w:p>
        </w:tc>
        <w:tc>
          <w:tcPr>
            <w:tcW w:w="960" w:type="dxa"/>
            <w:vAlign w:val="bottom"/>
          </w:tcPr>
          <w:p>
            <w:pPr>
              <w:jc w:val="right"/>
              <w:ind w:right="176"/>
              <w:spacing w:after="0" w:line="153" w:lineRule="exact"/>
              <w:rPr>
                <w:sz w:val="20"/>
                <w:szCs w:val="20"/>
                <w:color w:val="auto"/>
              </w:rPr>
            </w:pPr>
            <w:r>
              <w:rPr>
                <w:rFonts w:ascii="Arial" w:cs="Arial" w:eastAsia="Arial" w:hAnsi="Arial"/>
                <w:sz w:val="14"/>
                <w:szCs w:val="14"/>
                <w:b w:val="1"/>
                <w:bCs w:val="1"/>
                <w:color w:val="auto"/>
              </w:rPr>
              <w:t>Less than</w:t>
            </w:r>
          </w:p>
        </w:tc>
        <w:tc>
          <w:tcPr>
            <w:tcW w:w="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jc w:val="center"/>
              <w:ind w:right="196"/>
              <w:spacing w:after="0" w:line="153" w:lineRule="exact"/>
              <w:rPr>
                <w:sz w:val="20"/>
                <w:szCs w:val="20"/>
                <w:color w:val="auto"/>
              </w:rPr>
            </w:pPr>
            <w:r>
              <w:rPr>
                <w:rFonts w:ascii="Arial" w:cs="Arial" w:eastAsia="Arial" w:hAnsi="Arial"/>
                <w:sz w:val="14"/>
                <w:szCs w:val="14"/>
                <w:b w:val="1"/>
                <w:bCs w:val="1"/>
                <w:color w:val="auto"/>
                <w:w w:val="92"/>
              </w:rPr>
              <w:t>1 - 3</w:t>
            </w: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60" w:type="dxa"/>
            <w:vAlign w:val="bottom"/>
          </w:tcPr>
          <w:p>
            <w:pPr>
              <w:jc w:val="right"/>
              <w:ind w:right="416"/>
              <w:spacing w:after="0" w:line="153" w:lineRule="exact"/>
              <w:rPr>
                <w:sz w:val="20"/>
                <w:szCs w:val="20"/>
                <w:color w:val="auto"/>
              </w:rPr>
            </w:pPr>
            <w:r>
              <w:rPr>
                <w:rFonts w:ascii="Arial" w:cs="Arial" w:eastAsia="Arial" w:hAnsi="Arial"/>
                <w:sz w:val="14"/>
                <w:szCs w:val="14"/>
                <w:b w:val="1"/>
                <w:bCs w:val="1"/>
                <w:color w:val="auto"/>
              </w:rPr>
              <w:t>4 - 5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000" w:type="dxa"/>
            <w:vAlign w:val="bottom"/>
          </w:tcPr>
          <w:p>
            <w:pPr>
              <w:jc w:val="right"/>
              <w:ind w:right="376"/>
              <w:spacing w:after="0" w:line="153"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300" w:type="dxa"/>
            <w:vAlign w:val="bottom"/>
          </w:tcPr>
          <w:p>
            <w:pPr>
              <w:spacing w:after="0"/>
              <w:rPr>
                <w:sz w:val="16"/>
                <w:szCs w:val="16"/>
                <w:color w:val="auto"/>
              </w:rPr>
            </w:pPr>
          </w:p>
        </w:tc>
        <w:tc>
          <w:tcPr>
            <w:tcW w:w="1080" w:type="dxa"/>
            <w:vAlign w:val="bottom"/>
            <w:gridSpan w:val="2"/>
            <w:vMerge w:val="continue"/>
          </w:tcPr>
          <w:p>
            <w:pPr>
              <w:spacing w:after="0"/>
              <w:rPr>
                <w:sz w:val="16"/>
                <w:szCs w:val="16"/>
                <w:color w:val="auto"/>
              </w:rPr>
            </w:pPr>
          </w:p>
        </w:tc>
        <w:tc>
          <w:tcPr>
            <w:tcW w:w="220" w:type="dxa"/>
            <w:vAlign w:val="bottom"/>
          </w:tcPr>
          <w:p>
            <w:pPr>
              <w:spacing w:after="0"/>
              <w:rPr>
                <w:sz w:val="16"/>
                <w:szCs w:val="16"/>
                <w:color w:val="auto"/>
              </w:rPr>
            </w:pPr>
          </w:p>
        </w:tc>
        <w:tc>
          <w:tcPr>
            <w:tcW w:w="960" w:type="dxa"/>
            <w:vAlign w:val="bottom"/>
          </w:tcPr>
          <w:p>
            <w:pPr>
              <w:jc w:val="right"/>
              <w:ind w:right="296"/>
              <w:spacing w:after="0"/>
              <w:rPr>
                <w:sz w:val="20"/>
                <w:szCs w:val="20"/>
                <w:color w:val="auto"/>
              </w:rPr>
            </w:pPr>
            <w:r>
              <w:rPr>
                <w:rFonts w:ascii="Arial" w:cs="Arial" w:eastAsia="Arial" w:hAnsi="Arial"/>
                <w:sz w:val="14"/>
                <w:szCs w:val="14"/>
                <w:b w:val="1"/>
                <w:bCs w:val="1"/>
                <w:color w:val="auto"/>
              </w:rPr>
              <w:t>1 year</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3"/>
          </w:tcPr>
          <w:p>
            <w:pPr>
              <w:jc w:val="center"/>
              <w:ind w:right="420"/>
              <w:spacing w:after="0"/>
              <w:rPr>
                <w:sz w:val="20"/>
                <w:szCs w:val="20"/>
                <w:color w:val="auto"/>
              </w:rPr>
            </w:pPr>
            <w:r>
              <w:rPr>
                <w:rFonts w:ascii="Arial" w:cs="Arial" w:eastAsia="Arial" w:hAnsi="Arial"/>
                <w:sz w:val="14"/>
                <w:szCs w:val="14"/>
                <w:b w:val="1"/>
                <w:bCs w:val="1"/>
                <w:color w:val="auto"/>
                <w:w w:val="87"/>
              </w:rPr>
              <w:t>years</w:t>
            </w:r>
          </w:p>
        </w:tc>
        <w:tc>
          <w:tcPr>
            <w:tcW w:w="280" w:type="dxa"/>
            <w:vAlign w:val="bottom"/>
          </w:tcPr>
          <w:p>
            <w:pPr>
              <w:spacing w:after="0"/>
              <w:rPr>
                <w:sz w:val="16"/>
                <w:szCs w:val="16"/>
                <w:color w:val="auto"/>
              </w:rPr>
            </w:pPr>
          </w:p>
        </w:tc>
        <w:tc>
          <w:tcPr>
            <w:tcW w:w="1060" w:type="dxa"/>
            <w:vAlign w:val="bottom"/>
            <w:gridSpan w:val="2"/>
          </w:tcPr>
          <w:p>
            <w:pPr>
              <w:ind w:left="160"/>
              <w:spacing w:after="0"/>
              <w:rPr>
                <w:sz w:val="20"/>
                <w:szCs w:val="20"/>
                <w:color w:val="auto"/>
              </w:rPr>
            </w:pPr>
            <w:r>
              <w:rPr>
                <w:rFonts w:ascii="Arial" w:cs="Arial" w:eastAsia="Arial" w:hAnsi="Arial"/>
                <w:sz w:val="14"/>
                <w:szCs w:val="14"/>
                <w:b w:val="1"/>
                <w:bCs w:val="1"/>
                <w:color w:val="auto"/>
              </w:rPr>
              <w:t>years</w:t>
            </w:r>
          </w:p>
        </w:tc>
        <w:tc>
          <w:tcPr>
            <w:tcW w:w="260" w:type="dxa"/>
            <w:vAlign w:val="bottom"/>
          </w:tcPr>
          <w:p>
            <w:pPr>
              <w:spacing w:after="0"/>
              <w:rPr>
                <w:sz w:val="16"/>
                <w:szCs w:val="16"/>
                <w:color w:val="auto"/>
              </w:rPr>
            </w:pPr>
          </w:p>
        </w:tc>
        <w:tc>
          <w:tcPr>
            <w:tcW w:w="1000" w:type="dxa"/>
            <w:vAlign w:val="bottom"/>
          </w:tcPr>
          <w:p>
            <w:pPr>
              <w:jc w:val="right"/>
              <w:ind w:right="316"/>
              <w:spacing w:after="0"/>
              <w:rPr>
                <w:sz w:val="20"/>
                <w:szCs w:val="20"/>
                <w:color w:val="auto"/>
              </w:rPr>
            </w:pPr>
            <w:r>
              <w:rPr>
                <w:rFonts w:ascii="Arial" w:cs="Arial" w:eastAsia="Arial" w:hAnsi="Arial"/>
                <w:sz w:val="14"/>
                <w:szCs w:val="14"/>
                <w:b w:val="1"/>
                <w:bCs w:val="1"/>
                <w:color w:val="auto"/>
              </w:rPr>
              <w:t>5 years</w:t>
            </w: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Contractual obligations:</w:t>
            </w:r>
          </w:p>
        </w:tc>
        <w:tc>
          <w:tcPr>
            <w:tcW w:w="3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Operating lease obligations</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4"/>
              <w:spacing w:after="0"/>
              <w:rPr>
                <w:sz w:val="20"/>
                <w:szCs w:val="20"/>
                <w:color w:val="auto"/>
              </w:rPr>
            </w:pPr>
            <w:r>
              <w:rPr>
                <w:rFonts w:ascii="Arial" w:cs="Arial" w:eastAsia="Arial" w:hAnsi="Arial"/>
                <w:sz w:val="18"/>
                <w:szCs w:val="18"/>
                <w:color w:val="auto"/>
              </w:rPr>
              <w:t>11,578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2,309</w:t>
            </w:r>
          </w:p>
        </w:tc>
        <w:tc>
          <w:tcPr>
            <w:tcW w:w="46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36"/>
              <w:spacing w:after="0"/>
              <w:rPr>
                <w:sz w:val="20"/>
                <w:szCs w:val="20"/>
                <w:color w:val="auto"/>
              </w:rPr>
            </w:pPr>
            <w:r>
              <w:rPr>
                <w:rFonts w:ascii="Arial" w:cs="Arial" w:eastAsia="Arial" w:hAnsi="Arial"/>
                <w:sz w:val="18"/>
                <w:szCs w:val="18"/>
                <w:color w:val="auto"/>
              </w:rPr>
              <w:t>3,417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36"/>
              <w:spacing w:after="0"/>
              <w:rPr>
                <w:sz w:val="20"/>
                <w:szCs w:val="20"/>
                <w:color w:val="auto"/>
              </w:rPr>
            </w:pPr>
            <w:r>
              <w:rPr>
                <w:rFonts w:ascii="Arial" w:cs="Arial" w:eastAsia="Arial" w:hAnsi="Arial"/>
                <w:sz w:val="18"/>
                <w:szCs w:val="18"/>
                <w:color w:val="auto"/>
              </w:rPr>
              <w:t>2,031</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ind w:right="16"/>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Capital lease obligations</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4700" w:type="dxa"/>
            <w:vAlign w:val="bottom"/>
            <w:tcBorders>
              <w:bottom w:val="single" w:sz="8" w:color="CCEEFF"/>
            </w:tcBorders>
          </w:tcPr>
          <w:p>
            <w:pPr>
              <w:ind w:left="180"/>
              <w:spacing w:after="0" w:line="270" w:lineRule="exact"/>
              <w:rPr>
                <w:sz w:val="20"/>
                <w:szCs w:val="20"/>
                <w:color w:val="auto"/>
              </w:rPr>
            </w:pPr>
            <w:r>
              <w:rPr>
                <w:rFonts w:ascii="Arial" w:cs="Arial" w:eastAsia="Arial" w:hAnsi="Arial"/>
                <w:sz w:val="18"/>
                <w:szCs w:val="18"/>
                <w:color w:val="auto"/>
              </w:rPr>
              <w:t>Purchase obligations</w:t>
            </w:r>
            <w:r>
              <w:rPr>
                <w:rFonts w:ascii="Arial" w:cs="Arial" w:eastAsia="Arial" w:hAnsi="Arial"/>
                <w:sz w:val="25"/>
                <w:szCs w:val="25"/>
                <w:color w:val="auto"/>
                <w:vertAlign w:val="superscript"/>
              </w:rPr>
              <w:t>(1) (2)</w:t>
            </w:r>
          </w:p>
        </w:tc>
        <w:tc>
          <w:tcPr>
            <w:tcW w:w="30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14"/>
              <w:spacing w:after="0"/>
              <w:rPr>
                <w:sz w:val="20"/>
                <w:szCs w:val="20"/>
                <w:color w:val="auto"/>
              </w:rPr>
            </w:pPr>
            <w:r>
              <w:rPr>
                <w:rFonts w:ascii="Arial" w:cs="Arial" w:eastAsia="Arial" w:hAnsi="Arial"/>
                <w:sz w:val="18"/>
                <w:szCs w:val="18"/>
                <w:color w:val="auto"/>
              </w:rPr>
              <w:t>590</w:t>
            </w:r>
          </w:p>
        </w:tc>
        <w:tc>
          <w:tcPr>
            <w:tcW w:w="120" w:type="dxa"/>
            <w:vAlign w:val="bottom"/>
            <w:tcBorders>
              <w:bottom w:val="single" w:sz="8" w:color="CCEEFF"/>
            </w:tcBorders>
          </w:tcPr>
          <w:p>
            <w:pPr>
              <w:spacing w:after="0"/>
              <w:rPr>
                <w:sz w:val="23"/>
                <w:szCs w:val="23"/>
                <w:color w:val="auto"/>
              </w:rPr>
            </w:pPr>
          </w:p>
        </w:tc>
        <w:tc>
          <w:tcPr>
            <w:tcW w:w="22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590</w:t>
            </w:r>
          </w:p>
        </w:tc>
        <w:tc>
          <w:tcPr>
            <w:tcW w:w="60" w:type="dxa"/>
            <w:vAlign w:val="bottom"/>
            <w:tcBorders>
              <w:bottom w:val="single" w:sz="8" w:color="auto"/>
            </w:tcBorders>
          </w:tcPr>
          <w:p>
            <w:pPr>
              <w:spacing w:after="0"/>
              <w:rPr>
                <w:sz w:val="23"/>
                <w:szCs w:val="23"/>
                <w:color w:val="auto"/>
              </w:rPr>
            </w:pPr>
          </w:p>
        </w:tc>
        <w:tc>
          <w:tcPr>
            <w:tcW w:w="1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8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0" w:type="dxa"/>
            <w:vAlign w:val="bottom"/>
            <w:tcBorders>
              <w:bottom w:val="single" w:sz="8" w:color="auto"/>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9"/>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contractual obligations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12,251</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2,919</w:t>
            </w:r>
          </w:p>
        </w:tc>
        <w:tc>
          <w:tcPr>
            <w:tcW w:w="46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3,457</w:t>
            </w:r>
          </w:p>
        </w:tc>
        <w:tc>
          <w:tcPr>
            <w:tcW w:w="10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rPr>
              <w:t>2,054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3,821</w:t>
            </w:r>
          </w:p>
        </w:tc>
        <w:tc>
          <w:tcPr>
            <w:tcW w:w="0" w:type="dxa"/>
            <w:vAlign w:val="bottom"/>
          </w:tcPr>
          <w:p>
            <w:pPr>
              <w:spacing w:after="0"/>
              <w:rPr>
                <w:sz w:val="1"/>
                <w:szCs w:val="1"/>
                <w:color w:val="auto"/>
              </w:rPr>
            </w:pPr>
          </w:p>
        </w:tc>
      </w:tr>
      <w:tr>
        <w:trPr>
          <w:trHeight w:val="20"/>
        </w:trPr>
        <w:tc>
          <w:tcPr>
            <w:tcW w:w="47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5"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Purchase obligations include contractual payments to purchase tooling assets.</w:t>
      </w:r>
    </w:p>
    <w:p>
      <w:pPr>
        <w:spacing w:after="0" w:line="55" w:lineRule="exact"/>
        <w:rPr>
          <w:rFonts w:ascii="Arial" w:cs="Arial" w:eastAsia="Arial" w:hAnsi="Arial"/>
          <w:sz w:val="25"/>
          <w:szCs w:val="25"/>
          <w:color w:val="auto"/>
          <w:vertAlign w:val="superscript"/>
        </w:rPr>
      </w:pPr>
    </w:p>
    <w:p>
      <w:pPr>
        <w:jc w:val="both"/>
        <w:ind w:left="660" w:hanging="328"/>
        <w:spacing w:after="0" w:line="221" w:lineRule="auto"/>
        <w:tabs>
          <w:tab w:leader="none" w:pos="660"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We issue cancelable purchase orders for our inventory purchases, which we exclude from the above contractual obligations table. We have determined that $76.7 million previously reported as inventory purchase obligations, all of which related to one contractual arrangement, are not contractually binding and thus have removed them from this table.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90"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Historically, we have utilized cash provided from operations as our primary source of liquidity, as internally generated cash flows have been sufficient to support our business operations, capital expenditures and discretionary share repurchases. Our working capital needs have typically been greatest during the third and fourth quarters when accounts receivable and inventories increase in connection with the fourth quarter holiday selling season. We believe our current cash balances and anticipated cash flow to be generated from operations will be sufficient to cover cash outlays expected during 2013; however, because our cash is located in various jurisdictions throughout the world, we may at times need to borrow from our revolving line of credit until we are able to transfer cash among our various entities. Our liquidity is subject to various risks including the risks discussed under "Item 3. Quantitative and Qualitative Disclosures about Market Risk."</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940" w:type="dxa"/>
            <w:vAlign w:val="bottom"/>
            <w:tcBorders>
              <w:bottom w:val="single" w:sz="8" w:color="CCEEFF"/>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2920" w:type="dxa"/>
            <w:vAlign w:val="bottom"/>
            <w:tcBorders>
              <w:bottom w:val="single" w:sz="8" w:color="CCEEFF"/>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tcPr>
          <w:p>
            <w:pPr>
              <w:jc w:val="right"/>
              <w:ind w:right="654"/>
              <w:spacing w:after="0"/>
              <w:rPr>
                <w:sz w:val="20"/>
                <w:szCs w:val="20"/>
                <w:color w:val="auto"/>
              </w:rPr>
            </w:pPr>
            <w:r>
              <w:rPr>
                <w:rFonts w:ascii="Arial" w:cs="Arial" w:eastAsia="Arial" w:hAnsi="Arial"/>
                <w:sz w:val="14"/>
                <w:szCs w:val="14"/>
                <w:b w:val="1"/>
                <w:bCs w:val="1"/>
                <w:color w:val="auto"/>
              </w:rPr>
              <w:t>June 30, 2013</w:t>
            </w:r>
          </w:p>
        </w:tc>
        <w:tc>
          <w:tcPr>
            <w:tcW w:w="10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tcPr>
          <w:p>
            <w:pPr>
              <w:jc w:val="right"/>
              <w:ind w:right="414"/>
              <w:spacing w:after="0"/>
              <w:rPr>
                <w:sz w:val="20"/>
                <w:szCs w:val="20"/>
                <w:color w:val="auto"/>
              </w:rPr>
            </w:pPr>
            <w:r>
              <w:rPr>
                <w:rFonts w:ascii="Arial" w:cs="Arial" w:eastAsia="Arial" w:hAnsi="Arial"/>
                <w:sz w:val="14"/>
                <w:szCs w:val="14"/>
                <w:b w:val="1"/>
                <w:bCs w:val="1"/>
                <w:color w:val="auto"/>
              </w:rPr>
              <w:t>December 31, 2012</w:t>
            </w: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34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49,745</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44,593</w:t>
            </w:r>
          </w:p>
        </w:tc>
      </w:tr>
      <w:tr>
        <w:trPr>
          <w:trHeight w:val="243"/>
        </w:trPr>
        <w:tc>
          <w:tcPr>
            <w:tcW w:w="3940" w:type="dxa"/>
            <w:vAlign w:val="bottom"/>
          </w:tcPr>
          <w:p>
            <w:pPr>
              <w:ind w:left="40"/>
              <w:spacing w:after="0"/>
              <w:rPr>
                <w:sz w:val="20"/>
                <w:szCs w:val="20"/>
                <w:color w:val="auto"/>
              </w:rPr>
            </w:pPr>
            <w:r>
              <w:rPr>
                <w:rFonts w:ascii="Arial" w:cs="Arial" w:eastAsia="Arial" w:hAnsi="Arial"/>
                <w:sz w:val="18"/>
                <w:szCs w:val="18"/>
                <w:color w:val="auto"/>
              </w:rPr>
              <w:t>Debt</w:t>
            </w:r>
          </w:p>
        </w:tc>
        <w:tc>
          <w:tcPr>
            <w:tcW w:w="29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86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3940" w:type="dxa"/>
            <w:vAlign w:val="bottom"/>
          </w:tcPr>
          <w:p>
            <w:pPr>
              <w:spacing w:after="0"/>
              <w:rPr>
                <w:sz w:val="2"/>
                <w:szCs w:val="2"/>
                <w:color w:val="auto"/>
              </w:rPr>
            </w:pPr>
          </w:p>
        </w:tc>
        <w:tc>
          <w:tcPr>
            <w:tcW w:w="29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860" w:type="dxa"/>
            <w:vAlign w:val="bottom"/>
          </w:tcPr>
          <w:p>
            <w:pPr>
              <w:spacing w:after="0"/>
              <w:rPr>
                <w:sz w:val="2"/>
                <w:szCs w:val="2"/>
                <w:color w:val="auto"/>
              </w:rPr>
            </w:pPr>
          </w:p>
        </w:tc>
      </w:tr>
      <w:tr>
        <w:trPr>
          <w:trHeight w:val="250"/>
        </w:trPr>
        <w:tc>
          <w:tcPr>
            <w:tcW w:w="3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Available borrowing resources</w:t>
            </w:r>
          </w:p>
        </w:tc>
        <w:tc>
          <w:tcPr>
            <w:tcW w:w="292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8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54,987</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55,000</w:t>
            </w:r>
          </w:p>
        </w:tc>
      </w:tr>
      <w:tr>
        <w:trPr>
          <w:trHeight w:val="459"/>
        </w:trPr>
        <w:tc>
          <w:tcPr>
            <w:tcW w:w="3940" w:type="dxa"/>
            <w:vAlign w:val="bottom"/>
          </w:tcPr>
          <w:p>
            <w:pPr>
              <w:spacing w:after="0"/>
              <w:rPr>
                <w:sz w:val="24"/>
                <w:szCs w:val="24"/>
                <w:color w:val="auto"/>
              </w:rPr>
            </w:pPr>
          </w:p>
        </w:tc>
        <w:tc>
          <w:tcPr>
            <w:tcW w:w="2920" w:type="dxa"/>
            <w:vAlign w:val="bottom"/>
          </w:tcPr>
          <w:p>
            <w:pPr>
              <w:jc w:val="right"/>
              <w:ind w:right="970"/>
              <w:spacing w:after="0"/>
              <w:rPr>
                <w:sz w:val="20"/>
                <w:szCs w:val="20"/>
                <w:color w:val="auto"/>
              </w:rPr>
            </w:pPr>
            <w:r>
              <w:rPr>
                <w:rFonts w:ascii="Arial" w:cs="Arial" w:eastAsia="Arial" w:hAnsi="Arial"/>
                <w:sz w:val="18"/>
                <w:szCs w:val="18"/>
                <w:color w:val="auto"/>
              </w:rPr>
              <w:t>25</w:t>
            </w:r>
          </w:p>
        </w:tc>
        <w:tc>
          <w:tcPr>
            <w:tcW w:w="420" w:type="dxa"/>
            <w:vAlign w:val="bottom"/>
          </w:tcPr>
          <w:p>
            <w:pPr>
              <w:spacing w:after="0"/>
              <w:rPr>
                <w:sz w:val="24"/>
                <w:szCs w:val="24"/>
                <w:color w:val="auto"/>
              </w:rPr>
            </w:pPr>
          </w:p>
        </w:tc>
        <w:tc>
          <w:tcPr>
            <w:tcW w:w="1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6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25" w:name="page26"/>
    <w:bookmarkEnd w:id="25"/>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1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cash balances are held in numerous locations throughout the world. The majority of our cash is held outside of the United States and may be repatriated to the United States but, under current law, would be subject to United States federal income taxes, less applicable foreign tax credits. Repatriation of some foreign balances is restricted by local laws. We have not provided for the United States federal tax liability on these amounts for financial statement purposes as this cash is considered indefinitely reinvested outside of the United States. Our intent is to meet our domestic liquidity needs through ongoing cash flows, external borrowings, or both. We utilize a variety of tax planning strategies in an effort to ensure that our worldwide cash is available in the locations in which it is needed.</w:t>
      </w:r>
    </w:p>
    <w:p>
      <w:pPr>
        <w:spacing w:after="0" w:line="13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June 30, 2013, we had $14.2 million, $25.8 million, $6.1 million and $3.7 million of cash and cash equivalents in the United States, Asia, Europe, and South America, respectively. On December 31, 2012, we had approximately $2.7 million, $27.3 million, $9.4 million, and $5.2 million of cash and cash equivalents in the United States, Asia, Europe and South America, respectively. We attempt to mitigate our exposure to liquidity, credit and other relevant risks by placing our cash and cash equivalents with financial institutions we believe are high quality.</w:t>
      </w:r>
    </w:p>
    <w:p>
      <w:pPr>
        <w:spacing w:after="0" w:line="129"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On October 2, 2012, we entered into an Amended and Restated Credit Agreement ("Amended Credit Agreement") with U.S. Bank National Association ("U.S. Bank") which provides for a $55.0 million line of credit ("Credit Line") that may be used for working capital and other general corporate purposes including acquisitions, share repurchases and capital expenditures. The Amended Credit Agreement expires on November 1, 2014. Amounts available for borrowing under the Credit Line are reduced by the balance of any outstanding letters of credit, of which there were $13 thousand at June 30, 2013.</w:t>
      </w:r>
    </w:p>
    <w:p>
      <w:pPr>
        <w:spacing w:after="0" w:line="11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All obligations under the Credit Line are secured by substantially all of our U.S. personal property and tangible and intangible assets as well as 65% of our ownership interest in Enson Assets Limited, our wholly-owned subsidiary which controls our manufacturing factories in the PRC.</w:t>
      </w:r>
    </w:p>
    <w:p>
      <w:pPr>
        <w:spacing w:after="0" w:line="6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Under the Amended Credit Agreement, we may elect to pay interest on the Credit Line based on LIBOR plus an applicable margin (varying from 1.25% to 1.75%) or base rate (based on the prime rate of U.S. Bank or as otherwise specified in the Amended Credit Agreement) plus an applicable margin (varying from -0.25% to +0.25%). The applicable margins are calculated quarterly and vary based on our leverage ratio as set forth in the Amended Credit Agreement. There are no commitment fees or unused line fees under the Amended Credit Agreement.</w:t>
      </w:r>
    </w:p>
    <w:p>
      <w:pPr>
        <w:spacing w:after="0" w:line="7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Amended Credit Agreement includes financial covenants requiring a minimum fixed charge coverage ratio, a maximum leverage ratio and minimum liquidity levels. In addition, the Amended Credit Agreement also contains other customary affirmative and negative covenants and events of default. As of June 30, 2013, we were in compliance with the covenants and conditions of the Amended Credit Agreement.</w:t>
      </w:r>
    </w:p>
    <w:p>
      <w:pPr>
        <w:spacing w:after="0" w:line="20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Off Balance Sheet Arrangements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color w:val="auto"/>
        </w:rPr>
        <w:t>We do not participate in any material off balance sheet arrangements.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Factors That May Affect Financial Condition and Future Results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Forward Looking Statements</w:t>
      </w:r>
    </w:p>
    <w:p>
      <w:pPr>
        <w:spacing w:after="0" w:line="90"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We caution that the following important factors, among others (including but not limited to factors discussed in "Management’s Discussion and Analysis of Financial Condition and Results of Operations," as well as those discussed in our 2012 Annual Report on Form 10-K, or in our other reports filed from time to time with the Securities and Exchange Commission), may affect our actual results and may contribute to or cause our actual consolidated results to differ materially from those expressed in any of our forward-looking statements. The factors included here are not exhaustive. Further, any forward-looking statement speaks only as of the date on which such statement is made, and we undertake no obligation to update any forward-looking statement to reflect events or circumstances after the date on which such statement is made or to reflect the occurrence of unanticipated events. New factors emerge from time to time, and it is not possible for management to predict all such factors, nor can we assess the impact of each such factor on the business or the extent to which any factor, or combination of factors, may cause actual results to differ materially from those contained in any forward-looking statement. Therefore, forward-looking statements should not be relied upon as a prediction of actual future results.</w:t>
      </w:r>
    </w:p>
    <w:p>
      <w:pPr>
        <w:spacing w:after="0" w:line="47"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While we believe that the forward-looking statements made in this report are based on reasonable assumptions, the actual outcome of such statements is subject to a number of risks and uncertainties, including the failure of our markets to continue growing and expanding in the manner we anticipated; the failure of our customers to grow and expand as we anticipated; the effects of natural or other events beyond our control, including the effects political unrest, war or terrorist activities may have on us or the economy; the economic environment's effect on us or our customers; the growth of, acceptance of and the demand for our products and technologies in various markets and geographical regions, including cable, satellite, consumer electronics, retail, and digital media and interactive technology; our inability to add profitable complementary products which are accepted by the marketplace; our</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118" w:right="239" w:bottom="1440" w:gutter="0" w:footer="0" w:header="0"/>
        </w:sectPr>
      </w:pPr>
    </w:p>
    <w:bookmarkStart w:id="26" w:name="page27"/>
    <w:bookmarkEnd w:id="26"/>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52"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inability to attract and retain a quality workforce at adequate levels in all regions of the world, and particularly Asia; our inability to continue to maintain our operating costs at acceptable levels through our cost containment efforts; our inability to continue selling our products or licensing our technologies at higher or profitable margins; our inability to obtain orders or maintain our order volume with new and existing customers; our inability to develop new and innovative technologies and products that are accepted by our customers; the possible dilutive effect our stock incentive programs may have on our earnings per share and stock price; our inability to continue to obtain adequate quantities of component parts or secure adequate factory production capacity on a timely basis; and other factors listed from time to time in our press releases and filings with the Securities and Exchange Commission.</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9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exposed to various market risks, including interest rate and foreign currency exchange rate fluctuations. We have established policies, procedures and internal processes governing our management of these risks and the use of financial instruments to mitigate our risk exposure.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Interest Rate Risk</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are exposed to interest rate risk related to our debt. Although at June 30, 2013 we had no outstanding borrowings under our Credit Line, from time to time we need to borrow amounts for working capital and other liquidity needs. Under the Amended Credit Agreement that became effective on October 2, 2012, we may elect to pay interest on outstanding borrowings on our Credit Line based on LIBOR or a base rate (based on the prime rate of U.S. Bank) plus an applicable margin as defined in the Amended Credit Agreement. A 100 basis point increase in interest rates would have had an insignificant effect on reported net income for the three and six months ended June 30, 2013.</w:t>
      </w:r>
    </w:p>
    <w:p>
      <w:pPr>
        <w:spacing w:after="0" w:line="134"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We cannot make any assurances that we will not need to borrow additional amounts in the future or that funds will be extended to us under comparable terms or at all. If funding is not available to us at a time when we need to borrow, we would have to use our cash reserves, including potentially repatriating cash from foreign jurisdictions, which may have a material adverse effect on our operating results, financial position and cash flows.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Currency Exchange Rate Risk</w:t>
      </w:r>
    </w:p>
    <w:p>
      <w:pPr>
        <w:spacing w:after="0" w:line="90"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At June 30, 2013, we had wholly owned subsidiaries in Argentina, Brazil, Cayman Islands, France, Germany, Hong Kong, India, Italy, the Netherlands, the PRC, Singapore, Spain, and the United Kingdom. We are exposed to foreign currency exchange rate risk inherent in our sales commitments, anticipated sales, anticipated purchases, assets and liabilities denominated in currencies other than the U.S. dollar. The most significant foreign currencies to our operations during 2013 are the Euro, British Pound, Chinese Yuan Renminbi, Indian Rupee, Singapore dollar, Argentinian Peso and Brazilian Real. For most currencies, we are a net receiver of the foreign currency and therefore benefit from a weaker U.S. dollar and are adversely affected by a stronger U.S. dollar relative to the foreign currency. Even where we are a net receiver, a weaker U.S. dollar may adversely affect certain expense figures taken alone.</w:t>
      </w:r>
    </w:p>
    <w:p>
      <w:pPr>
        <w:spacing w:after="0" w:line="11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From time to time, we enter into foreign currency exchange agreements to manage the foreign currency exchange rate risks inherent in our forecasted income and cash flows denominated in foreign currencies. The terms of these foreign currency exchange agreements normally last less than nine months. We recognize the gains and losses on these foreign currency contracts in the same period as the remeasurement gains and losses of the related foreign currency-denominated exposures.</w:t>
      </w:r>
    </w:p>
    <w:p>
      <w:pPr>
        <w:spacing w:after="0" w:line="133"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is difficult to estimate the impact of fluctuations on reported income, as it depends on the opening and closing rates, the average net balance sheet positions held in a foreign currency and the amount of income generated in local currency. We routinely forecast what these balance sheet positions and income generated in local currency may be and we take steps to minimize exposure as we deem appropriate. Alternatively, we may choose not to hedge the foreign currency risk associated with our foreign currency exposures, primarily if such exposure acts as a natural foreign currency hedge for other offsetting amounts denominated in the same currency or the currency is difficult or too expensive to hedge. We do not enter into any derivative transactions for speculative purposes.</w:t>
      </w:r>
    </w:p>
    <w:p>
      <w:pPr>
        <w:spacing w:after="0" w:line="13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sensitivity of earnings to variability in exchange rates is assessed by applying an approximate range of potential rate fluctuations to our assets and obligations, including currency contracts, and projected results of operations denominated in foreign currency with all other variables held constant. Based on our overall foreign currency rate exposure at June 30, 2013, we estimate that if the exchange rates for the Euro, British Pound, Chinese Yuan Renminbi, Indian Rupee, Singapore dollar, Argentinian Peso, and the Brazilian Real relative to the U.S. dollar fluctuate 10% from June 30, 2013, net income in the third quarter of 2013 would fluctuate by approximately $4.3 million.</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118" w:right="239" w:bottom="1440" w:gutter="0" w:footer="0" w:header="0"/>
        </w:sectPr>
      </w:pPr>
    </w:p>
    <w:bookmarkStart w:id="27" w:name="page28"/>
    <w:bookmarkEnd w:id="27"/>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9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Exchange Act Rule 13a-15(d) defines "disclosure controls and procedures" to mean controls and procedures of a company that are designed to ensure that information required to be disclosed by the company in the reports that it files or submits under the Exchange Act is recorded, processed, summarized and reported, within the time periods specified in the Commission’s rules and forms. The definition further states that disclosure controls and procedures include, without limitation, controls and procedures designed to ensure that the information required to be disclosed by a company in the reports that it files or submits under the Exchange Act is accumulated and communicated to the company’s management, including its principal executive and principal financial officers, or persons performing similar functions, as appropriate to allow timely decisions regarding required disclosure.</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An evaluation was performed under the supervision and with the participation of our management, including our principal executive and principal financial officers, of the effectiveness of the design and operation of our disclosure controls and procedures as of the end of the period covered by this report. Based on that evaluation, our principal executive and principal financial officers have concluded that our disclosure controls and procedures were effective, as of the end of the period covered by this report, to provide reasonable assurance that information required to be disclosed by us in reports that we file or submit under the Exchange Act is recorded, processed, summarized and reported within the time periods specified in Securities and Exchange Commission rules and forms and is accumulated and communicated to our management to allow timely decisions regarding required disclosures.</w:t>
      </w:r>
    </w:p>
    <w:p>
      <w:pPr>
        <w:spacing w:after="0" w:line="3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subject to lawsuits arising out of the conduct of our business. The discussion of our litigation matters contained in "Notes to the Consolidated Financial Statements - Note 10" is incorporated herein by reference.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8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reader should carefully consider, in connection with the other information in this report, the factors discussed in "Part I, Item 1A: Risk Factors" of the Company's 2012 Annual Report on Form 10-K incorporated herein by reference. These factors may cause our actual results to differ materially from those stated in forward-looking statements contained in this document and elsewhere.</w:t>
      </w: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7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During the three months ended June 30, 2013, we repurchased 36,647 shares of our issued and outstanding common stock for $0.9 million under the ongoing and systematic programs approved by our Board of Directors. We make stock repurchases to manage the dilution created by shares issued under our stock incentive plans or when we deem a repurchase is a good use of our cash and the price to be paid is at or below a threshold approved by our Board from time to time. On June 30, 2013, we had 968,905 shares available for repurchase under the Board's authorizations.</w:t>
      </w:r>
    </w:p>
    <w:p>
      <w:pPr>
        <w:spacing w:after="0" w:line="36"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sets forth, for the three months ended June 30, 2013, our total stock repurchases, average price paid per share and the maximum number of shares that may yet be purchased under our plans or programs:</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20" w:type="dxa"/>
            <w:vAlign w:val="bottom"/>
            <w:gridSpan w:val="2"/>
            <w:vMerge w:val="restart"/>
          </w:tcPr>
          <w:p>
            <w:pPr>
              <w:jc w:val="center"/>
              <w:ind w:right="280"/>
              <w:spacing w:after="0"/>
              <w:rPr>
                <w:sz w:val="20"/>
                <w:szCs w:val="20"/>
                <w:color w:val="auto"/>
              </w:rPr>
            </w:pPr>
            <w:r>
              <w:rPr>
                <w:rFonts w:ascii="Arial" w:cs="Arial" w:eastAsia="Arial" w:hAnsi="Arial"/>
                <w:sz w:val="14"/>
                <w:szCs w:val="14"/>
                <w:b w:val="1"/>
                <w:bCs w:val="1"/>
                <w:color w:val="auto"/>
                <w:w w:val="91"/>
              </w:rPr>
              <w:t>Weighted Average</w:t>
            </w: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4"/>
              </w:rPr>
              <w:t>Total Number of Shares</w:t>
            </w:r>
          </w:p>
        </w:tc>
        <w:tc>
          <w:tcPr>
            <w:tcW w:w="100" w:type="dxa"/>
            <w:vAlign w:val="bottom"/>
          </w:tcPr>
          <w:p>
            <w:pPr>
              <w:spacing w:after="0"/>
              <w:rPr>
                <w:sz w:val="14"/>
                <w:szCs w:val="14"/>
                <w:color w:val="auto"/>
              </w:rPr>
            </w:pPr>
          </w:p>
        </w:tc>
        <w:tc>
          <w:tcPr>
            <w:tcW w:w="1940" w:type="dxa"/>
            <w:vAlign w:val="bottom"/>
          </w:tcPr>
          <w:p>
            <w:pPr>
              <w:jc w:val="center"/>
              <w:spacing w:after="0"/>
              <w:rPr>
                <w:sz w:val="20"/>
                <w:szCs w:val="20"/>
                <w:color w:val="auto"/>
              </w:rPr>
            </w:pPr>
            <w:r>
              <w:rPr>
                <w:rFonts w:ascii="Arial" w:cs="Arial" w:eastAsia="Arial" w:hAnsi="Arial"/>
                <w:sz w:val="14"/>
                <w:szCs w:val="14"/>
                <w:b w:val="1"/>
                <w:bCs w:val="1"/>
                <w:color w:val="auto"/>
                <w:w w:val="96"/>
              </w:rPr>
              <w:t>Maximum Number of</w:t>
            </w:r>
          </w:p>
        </w:tc>
        <w:tc>
          <w:tcPr>
            <w:tcW w:w="0" w:type="dxa"/>
            <w:vAlign w:val="bottom"/>
          </w:tcPr>
          <w:p>
            <w:pPr>
              <w:spacing w:after="0"/>
              <w:rPr>
                <w:sz w:val="1"/>
                <w:szCs w:val="1"/>
                <w:color w:val="auto"/>
              </w:rPr>
            </w:pPr>
          </w:p>
        </w:tc>
      </w:tr>
      <w:tr>
        <w:trPr>
          <w:trHeight w:val="149"/>
        </w:trPr>
        <w:tc>
          <w:tcPr>
            <w:tcW w:w="4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20" w:type="dxa"/>
            <w:vAlign w:val="bottom"/>
            <w:vMerge w:val="restart"/>
          </w:tcPr>
          <w:p>
            <w:pPr>
              <w:jc w:val="right"/>
              <w:ind w:right="36"/>
              <w:spacing w:after="0"/>
              <w:rPr>
                <w:sz w:val="20"/>
                <w:szCs w:val="20"/>
                <w:color w:val="auto"/>
              </w:rPr>
            </w:pPr>
            <w:r>
              <w:rPr>
                <w:rFonts w:ascii="Arial" w:cs="Arial" w:eastAsia="Arial" w:hAnsi="Arial"/>
                <w:sz w:val="14"/>
                <w:szCs w:val="14"/>
                <w:b w:val="1"/>
                <w:bCs w:val="1"/>
                <w:color w:val="auto"/>
              </w:rPr>
              <w:t>Total Number of</w:t>
            </w: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vMerge w:val="continue"/>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as Part of Publicly</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Shares that May Yet Be</w:t>
            </w:r>
          </w:p>
        </w:tc>
        <w:tc>
          <w:tcPr>
            <w:tcW w:w="0" w:type="dxa"/>
            <w:vAlign w:val="bottom"/>
          </w:tcPr>
          <w:p>
            <w:pPr>
              <w:spacing w:after="0"/>
              <w:rPr>
                <w:sz w:val="1"/>
                <w:szCs w:val="1"/>
                <w:color w:val="auto"/>
              </w:rPr>
            </w:pPr>
          </w:p>
        </w:tc>
      </w:tr>
      <w:tr>
        <w:trPr>
          <w:trHeight w:val="149"/>
        </w:trPr>
        <w:tc>
          <w:tcPr>
            <w:tcW w:w="412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Period</w:t>
            </w:r>
          </w:p>
        </w:tc>
        <w:tc>
          <w:tcPr>
            <w:tcW w:w="120" w:type="dxa"/>
            <w:vAlign w:val="bottom"/>
            <w:vMerge w:val="restart"/>
          </w:tcPr>
          <w:p>
            <w:pPr>
              <w:spacing w:after="0"/>
              <w:rPr>
                <w:sz w:val="12"/>
                <w:szCs w:val="12"/>
                <w:color w:val="auto"/>
              </w:rPr>
            </w:pPr>
          </w:p>
        </w:tc>
        <w:tc>
          <w:tcPr>
            <w:tcW w:w="1320" w:type="dxa"/>
            <w:vAlign w:val="bottom"/>
            <w:vMerge w:val="continue"/>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52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4"/>
              </w:rPr>
              <w:t>Price Paid</w:t>
            </w: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1"/>
              </w:rPr>
              <w:t>Announced Plans or</w:t>
            </w:r>
          </w:p>
        </w:tc>
        <w:tc>
          <w:tcPr>
            <w:tcW w:w="100" w:type="dxa"/>
            <w:vAlign w:val="bottom"/>
          </w:tcPr>
          <w:p>
            <w:pPr>
              <w:spacing w:after="0"/>
              <w:rPr>
                <w:sz w:val="12"/>
                <w:szCs w:val="12"/>
                <w:color w:val="auto"/>
              </w:rPr>
            </w:pPr>
          </w:p>
        </w:tc>
        <w:tc>
          <w:tcPr>
            <w:tcW w:w="19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Purchased Under the Plans or</w:t>
            </w:r>
          </w:p>
        </w:tc>
        <w:tc>
          <w:tcPr>
            <w:tcW w:w="0" w:type="dxa"/>
            <w:vAlign w:val="bottom"/>
          </w:tcPr>
          <w:p>
            <w:pPr>
              <w:spacing w:after="0"/>
              <w:rPr>
                <w:sz w:val="1"/>
                <w:szCs w:val="1"/>
                <w:color w:val="auto"/>
              </w:rPr>
            </w:pPr>
          </w:p>
        </w:tc>
      </w:tr>
      <w:tr>
        <w:trPr>
          <w:trHeight w:val="192"/>
        </w:trPr>
        <w:tc>
          <w:tcPr>
            <w:tcW w:w="412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9"/>
              </w:rPr>
              <w:t>Shares Purchased</w:t>
            </w:r>
          </w:p>
        </w:tc>
        <w:tc>
          <w:tcPr>
            <w:tcW w:w="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ind w:right="98"/>
              <w:spacing w:after="0"/>
              <w:rPr>
                <w:sz w:val="20"/>
                <w:szCs w:val="20"/>
                <w:color w:val="auto"/>
              </w:rPr>
            </w:pPr>
            <w:r>
              <w:rPr>
                <w:rFonts w:ascii="Arial" w:cs="Arial" w:eastAsia="Arial" w:hAnsi="Arial"/>
                <w:sz w:val="14"/>
                <w:szCs w:val="14"/>
                <w:b w:val="1"/>
                <w:bCs w:val="1"/>
                <w:color w:val="auto"/>
                <w:w w:val="92"/>
              </w:rPr>
              <w:t>per Share</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100" w:type="dxa"/>
            <w:vAlign w:val="bottom"/>
            <w:tcBorders>
              <w:bottom w:val="single" w:sz="8" w:color="CCEEFF"/>
            </w:tcBorders>
          </w:tcPr>
          <w:p>
            <w:pPr>
              <w:spacing w:after="0"/>
              <w:rPr>
                <w:sz w:val="16"/>
                <w:szCs w:val="16"/>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Programs</w:t>
            </w:r>
          </w:p>
        </w:tc>
        <w:tc>
          <w:tcPr>
            <w:tcW w:w="0" w:type="dxa"/>
            <w:vAlign w:val="bottom"/>
          </w:tcPr>
          <w:p>
            <w:pPr>
              <w:spacing w:after="0"/>
              <w:rPr>
                <w:sz w:val="1"/>
                <w:szCs w:val="1"/>
                <w:color w:val="auto"/>
              </w:rPr>
            </w:pPr>
          </w:p>
        </w:tc>
      </w:tr>
      <w:tr>
        <w:trPr>
          <w:trHeight w:val="25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April 1, 2013 - April 30, 2013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5,552</w:t>
            </w:r>
          </w:p>
        </w:tc>
        <w:tc>
          <w:tcPr>
            <w:tcW w:w="36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22.17</w:t>
            </w:r>
          </w:p>
        </w:tc>
        <w:tc>
          <w:tcPr>
            <w:tcW w:w="10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5,552</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1,000,000</w:t>
            </w:r>
          </w:p>
        </w:tc>
        <w:tc>
          <w:tcPr>
            <w:tcW w:w="0" w:type="dxa"/>
            <w:vAlign w:val="bottom"/>
          </w:tcPr>
          <w:p>
            <w:pPr>
              <w:spacing w:after="0"/>
              <w:rPr>
                <w:sz w:val="1"/>
                <w:szCs w:val="1"/>
                <w:color w:val="auto"/>
              </w:rPr>
            </w:pPr>
          </w:p>
        </w:tc>
      </w:tr>
      <w:tr>
        <w:trPr>
          <w:trHeight w:val="243"/>
        </w:trPr>
        <w:tc>
          <w:tcPr>
            <w:tcW w:w="4240" w:type="dxa"/>
            <w:vAlign w:val="bottom"/>
            <w:gridSpan w:val="2"/>
          </w:tcPr>
          <w:p>
            <w:pPr>
              <w:ind w:left="40"/>
              <w:spacing w:after="0"/>
              <w:rPr>
                <w:sz w:val="20"/>
                <w:szCs w:val="20"/>
                <w:color w:val="auto"/>
              </w:rPr>
            </w:pPr>
            <w:r>
              <w:rPr>
                <w:rFonts w:ascii="Arial" w:cs="Arial" w:eastAsia="Arial" w:hAnsi="Arial"/>
                <w:sz w:val="18"/>
                <w:szCs w:val="18"/>
                <w:color w:val="auto"/>
              </w:rPr>
              <w:t>May 1, 2013 - May 31, 2013</w:t>
            </w:r>
          </w:p>
        </w:tc>
        <w:tc>
          <w:tcPr>
            <w:tcW w:w="1320" w:type="dxa"/>
            <w:vAlign w:val="bottom"/>
          </w:tcPr>
          <w:p>
            <w:pPr>
              <w:jc w:val="right"/>
              <w:spacing w:after="0"/>
              <w:rPr>
                <w:sz w:val="20"/>
                <w:szCs w:val="20"/>
                <w:color w:val="auto"/>
              </w:rPr>
            </w:pPr>
            <w:r>
              <w:rPr>
                <w:rFonts w:ascii="Arial" w:cs="Arial" w:eastAsia="Arial" w:hAnsi="Arial"/>
                <w:sz w:val="18"/>
                <w:szCs w:val="18"/>
                <w:color w:val="auto"/>
              </w:rPr>
              <w:t>29,774</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24.06</w:t>
            </w:r>
          </w:p>
        </w:tc>
        <w:tc>
          <w:tcPr>
            <w:tcW w:w="100" w:type="dxa"/>
            <w:vAlign w:val="bottom"/>
          </w:tcPr>
          <w:p>
            <w:pPr>
              <w:spacing w:after="0"/>
              <w:rPr>
                <w:sz w:val="21"/>
                <w:szCs w:val="21"/>
                <w:color w:val="auto"/>
              </w:rPr>
            </w:pPr>
          </w:p>
        </w:tc>
        <w:tc>
          <w:tcPr>
            <w:tcW w:w="1940" w:type="dxa"/>
            <w:vAlign w:val="bottom"/>
          </w:tcPr>
          <w:p>
            <w:pPr>
              <w:jc w:val="right"/>
              <w:ind w:right="19"/>
              <w:spacing w:after="0"/>
              <w:rPr>
                <w:sz w:val="20"/>
                <w:szCs w:val="20"/>
                <w:color w:val="auto"/>
              </w:rPr>
            </w:pPr>
            <w:r>
              <w:rPr>
                <w:rFonts w:ascii="Arial" w:cs="Arial" w:eastAsia="Arial" w:hAnsi="Arial"/>
                <w:sz w:val="18"/>
                <w:szCs w:val="18"/>
                <w:color w:val="auto"/>
              </w:rPr>
              <w:t>29,774</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970,226</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2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June 1, 2013 - June 30, 2013</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1,321</w:t>
            </w:r>
          </w:p>
        </w:tc>
        <w:tc>
          <w:tcPr>
            <w:tcW w:w="6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jc w:val="right"/>
              <w:ind w:right="18"/>
              <w:spacing w:after="0"/>
              <w:rPr>
                <w:sz w:val="20"/>
                <w:szCs w:val="20"/>
                <w:color w:val="auto"/>
              </w:rPr>
            </w:pPr>
            <w:r>
              <w:rPr>
                <w:rFonts w:ascii="Arial" w:cs="Arial" w:eastAsia="Arial" w:hAnsi="Arial"/>
                <w:sz w:val="18"/>
                <w:szCs w:val="18"/>
                <w:color w:val="auto"/>
              </w:rPr>
              <w:t>28.41</w:t>
            </w:r>
          </w:p>
        </w:tc>
        <w:tc>
          <w:tcPr>
            <w:tcW w:w="100" w:type="dxa"/>
            <w:vAlign w:val="bottom"/>
            <w:tcBorders>
              <w:bottom w:val="single" w:sz="8" w:color="CCEEFF"/>
            </w:tcBorders>
            <w:shd w:val="clear" w:color="auto" w:fill="CCEEFF"/>
          </w:tcPr>
          <w:p>
            <w:pPr>
              <w:spacing w:after="0"/>
              <w:rPr>
                <w:sz w:val="23"/>
                <w:szCs w:val="23"/>
                <w:color w:val="auto"/>
              </w:rPr>
            </w:pPr>
          </w:p>
        </w:tc>
        <w:tc>
          <w:tcPr>
            <w:tcW w:w="19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1,321</w:t>
            </w:r>
          </w:p>
        </w:tc>
        <w:tc>
          <w:tcPr>
            <w:tcW w:w="2040" w:type="dxa"/>
            <w:vAlign w:val="bottom"/>
            <w:tcBorders>
              <w:bottom w:val="single" w:sz="8" w:color="CCEEFF"/>
            </w:tcBorders>
            <w:gridSpan w:val="2"/>
            <w:shd w:val="clear" w:color="auto" w:fill="CCEEFF"/>
          </w:tcPr>
          <w:p>
            <w:pPr>
              <w:jc w:val="right"/>
              <w:ind w:right="28"/>
              <w:spacing w:after="0"/>
              <w:rPr>
                <w:sz w:val="20"/>
                <w:szCs w:val="20"/>
                <w:color w:val="auto"/>
              </w:rPr>
            </w:pPr>
            <w:r>
              <w:rPr>
                <w:rFonts w:ascii="Arial" w:cs="Arial" w:eastAsia="Arial" w:hAnsi="Arial"/>
                <w:sz w:val="18"/>
                <w:szCs w:val="18"/>
                <w:color w:val="auto"/>
              </w:rPr>
              <w:t>968,905</w:t>
            </w:r>
          </w:p>
        </w:tc>
        <w:tc>
          <w:tcPr>
            <w:tcW w:w="0" w:type="dxa"/>
            <w:vAlign w:val="bottom"/>
          </w:tcPr>
          <w:p>
            <w:pPr>
              <w:spacing w:after="0"/>
              <w:rPr>
                <w:sz w:val="1"/>
                <w:szCs w:val="1"/>
                <w:color w:val="auto"/>
              </w:rPr>
            </w:pPr>
          </w:p>
        </w:tc>
      </w:tr>
      <w:tr>
        <w:trPr>
          <w:trHeight w:val="257"/>
        </w:trPr>
        <w:tc>
          <w:tcPr>
            <w:tcW w:w="4240" w:type="dxa"/>
            <w:vAlign w:val="bottom"/>
            <w:gridSpan w:val="2"/>
          </w:tcPr>
          <w:p>
            <w:pPr>
              <w:ind w:left="38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36,647</w:t>
            </w:r>
          </w:p>
        </w:tc>
        <w:tc>
          <w:tcPr>
            <w:tcW w:w="60" w:type="dxa"/>
            <w:vAlign w:val="bottom"/>
            <w:tcBorders>
              <w:top w:val="single" w:sz="8" w:color="auto"/>
              <w:bottom w:val="single" w:sz="8" w:color="auto"/>
            </w:tcBorders>
          </w:tcPr>
          <w:p>
            <w:pPr>
              <w:spacing w:after="0"/>
              <w:rPr>
                <w:sz w:val="22"/>
                <w:szCs w:val="22"/>
                <w:color w:val="auto"/>
              </w:rPr>
            </w:pP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420" w:type="dxa"/>
            <w:vAlign w:val="bottom"/>
          </w:tcPr>
          <w:p>
            <w:pPr>
              <w:jc w:val="right"/>
              <w:ind w:right="18"/>
              <w:spacing w:after="0"/>
              <w:rPr>
                <w:sz w:val="20"/>
                <w:szCs w:val="20"/>
                <w:color w:val="auto"/>
              </w:rPr>
            </w:pPr>
            <w:r>
              <w:rPr>
                <w:rFonts w:ascii="Arial" w:cs="Arial" w:eastAsia="Arial" w:hAnsi="Arial"/>
                <w:sz w:val="18"/>
                <w:szCs w:val="18"/>
                <w:color w:val="auto"/>
              </w:rPr>
              <w:t>23.93</w:t>
            </w:r>
          </w:p>
        </w:tc>
        <w:tc>
          <w:tcPr>
            <w:tcW w:w="100" w:type="dxa"/>
            <w:vAlign w:val="bottom"/>
          </w:tcPr>
          <w:p>
            <w:pPr>
              <w:spacing w:after="0"/>
              <w:rPr>
                <w:sz w:val="22"/>
                <w:szCs w:val="22"/>
                <w:color w:val="auto"/>
              </w:rPr>
            </w:pPr>
          </w:p>
        </w:tc>
        <w:tc>
          <w:tcPr>
            <w:tcW w:w="1940" w:type="dxa"/>
            <w:vAlign w:val="bottom"/>
            <w:tcBorders>
              <w:top w:val="single" w:sz="8" w:color="auto"/>
              <w:bottom w:val="single" w:sz="8" w:color="auto"/>
            </w:tcBorders>
          </w:tcPr>
          <w:p>
            <w:pPr>
              <w:jc w:val="right"/>
              <w:ind w:right="19"/>
              <w:spacing w:after="0"/>
              <w:rPr>
                <w:sz w:val="20"/>
                <w:szCs w:val="20"/>
                <w:color w:val="auto"/>
              </w:rPr>
            </w:pPr>
            <w:r>
              <w:rPr>
                <w:rFonts w:ascii="Arial" w:cs="Arial" w:eastAsia="Arial" w:hAnsi="Arial"/>
                <w:sz w:val="18"/>
                <w:szCs w:val="18"/>
                <w:color w:val="auto"/>
              </w:rPr>
              <w:t>36,647</w:t>
            </w:r>
          </w:p>
        </w:tc>
        <w:tc>
          <w:tcPr>
            <w:tcW w:w="2040" w:type="dxa"/>
            <w:vAlign w:val="bottom"/>
            <w:gridSpan w:val="2"/>
          </w:tcPr>
          <w:p>
            <w:pPr>
              <w:jc w:val="right"/>
              <w:ind w:right="28"/>
              <w:spacing w:after="0"/>
              <w:rPr>
                <w:sz w:val="20"/>
                <w:szCs w:val="20"/>
                <w:color w:val="auto"/>
              </w:rPr>
            </w:pPr>
            <w:r>
              <w:rPr>
                <w:rFonts w:ascii="Arial" w:cs="Arial" w:eastAsia="Arial" w:hAnsi="Arial"/>
                <w:sz w:val="18"/>
                <w:szCs w:val="18"/>
                <w:color w:val="auto"/>
              </w:rPr>
              <w:t>968,905</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46"/>
        </w:trPr>
        <w:tc>
          <w:tcPr>
            <w:tcW w:w="4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60" w:type="dxa"/>
            <w:vAlign w:val="bottom"/>
            <w:gridSpan w:val="3"/>
          </w:tcPr>
          <w:p>
            <w:pPr>
              <w:jc w:val="right"/>
              <w:ind w:right="120"/>
              <w:spacing w:after="0"/>
              <w:rPr>
                <w:sz w:val="20"/>
                <w:szCs w:val="20"/>
                <w:color w:val="auto"/>
              </w:rPr>
            </w:pPr>
            <w:r>
              <w:rPr>
                <w:rFonts w:ascii="Arial" w:cs="Arial" w:eastAsia="Arial" w:hAnsi="Arial"/>
                <w:sz w:val="18"/>
                <w:szCs w:val="18"/>
                <w:color w:val="auto"/>
              </w:rPr>
              <w:t>28</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8" w:right="239" w:bottom="1440" w:gutter="0" w:footer="0" w:header="0"/>
        </w:sectPr>
      </w:pPr>
    </w:p>
    <w:bookmarkStart w:id="28" w:name="page29"/>
    <w:bookmarkEnd w:id="28"/>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391" w:lineRule="exact"/>
        <w:rPr>
          <w:sz w:val="20"/>
          <w:szCs w:val="20"/>
          <w:color w:val="auto"/>
        </w:rPr>
      </w:pPr>
    </w:p>
    <w:tbl>
      <w:tblPr>
        <w:tblLayout w:type="fixed"/>
        <w:tblInd w:w="380" w:type="dxa"/>
        <w:tblCellMar>
          <w:top w:w="0" w:type="dxa"/>
          <w:left w:w="0" w:type="dxa"/>
          <w:bottom w:w="0" w:type="dxa"/>
          <w:right w:w="0" w:type="dxa"/>
        </w:tblCellMar>
      </w:tblPr>
      <w:tr>
        <w:trPr>
          <w:trHeight w:val="216"/>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31.1</w:t>
            </w:r>
          </w:p>
        </w:tc>
        <w:tc>
          <w:tcPr>
            <w:tcW w:w="9940" w:type="dxa"/>
            <w:vAlign w:val="bottom"/>
          </w:tcPr>
          <w:p>
            <w:pPr>
              <w:ind w:left="560"/>
              <w:spacing w:after="0"/>
              <w:rPr>
                <w:sz w:val="20"/>
                <w:szCs w:val="20"/>
                <w:color w:val="auto"/>
              </w:rPr>
            </w:pPr>
            <w:r>
              <w:rPr>
                <w:rFonts w:ascii="Arial" w:cs="Arial" w:eastAsia="Arial" w:hAnsi="Arial"/>
                <w:sz w:val="18"/>
                <w:szCs w:val="18"/>
                <w:color w:val="auto"/>
                <w:w w:val="96"/>
              </w:rPr>
              <w:t>Rule 13a-14(a) Certifications of Paul D. Arling, Chief Executive Officer (principal executive officer) of Universal Electronics</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Inc.</w:t>
            </w:r>
          </w:p>
        </w:tc>
      </w:tr>
      <w:tr>
        <w:trPr>
          <w:trHeight w:val="377"/>
        </w:trPr>
        <w:tc>
          <w:tcPr>
            <w:tcW w:w="860" w:type="dxa"/>
            <w:vAlign w:val="bottom"/>
          </w:tcPr>
          <w:p>
            <w:pPr>
              <w:jc w:val="right"/>
              <w:ind w:right="450"/>
              <w:spacing w:after="0"/>
              <w:rPr>
                <w:sz w:val="20"/>
                <w:szCs w:val="20"/>
                <w:color w:val="auto"/>
              </w:rPr>
            </w:pPr>
            <w:r>
              <w:rPr>
                <w:rFonts w:ascii="Arial" w:cs="Arial" w:eastAsia="Arial" w:hAnsi="Arial"/>
                <w:sz w:val="18"/>
                <w:szCs w:val="18"/>
                <w:color w:val="auto"/>
                <w:w w:val="85"/>
              </w:rPr>
              <w:t>31.2</w:t>
            </w:r>
          </w:p>
        </w:tc>
        <w:tc>
          <w:tcPr>
            <w:tcW w:w="9940" w:type="dxa"/>
            <w:vAlign w:val="bottom"/>
          </w:tcPr>
          <w:p>
            <w:pPr>
              <w:ind w:left="560"/>
              <w:spacing w:after="0"/>
              <w:rPr>
                <w:sz w:val="20"/>
                <w:szCs w:val="20"/>
                <w:color w:val="auto"/>
              </w:rPr>
            </w:pPr>
            <w:r>
              <w:rPr>
                <w:rFonts w:ascii="Arial" w:cs="Arial" w:eastAsia="Arial" w:hAnsi="Arial"/>
                <w:sz w:val="18"/>
                <w:szCs w:val="18"/>
                <w:color w:val="auto"/>
              </w:rPr>
              <w:t>Rule 13a-14(a) Certifications of Bryan M. Hackworth, Chief Financial Officer (principal financial officer and principal</w:t>
            </w:r>
          </w:p>
        </w:tc>
      </w:tr>
      <w:tr>
        <w:trPr>
          <w:trHeight w:val="230"/>
        </w:trPr>
        <w:tc>
          <w:tcPr>
            <w:tcW w:w="860" w:type="dxa"/>
            <w:vAlign w:val="bottom"/>
          </w:tcPr>
          <w:p>
            <w:pPr>
              <w:spacing w:after="0"/>
              <w:rPr>
                <w:sz w:val="20"/>
                <w:szCs w:val="20"/>
                <w:color w:val="auto"/>
              </w:rPr>
            </w:pPr>
          </w:p>
        </w:tc>
        <w:tc>
          <w:tcPr>
            <w:tcW w:w="9940" w:type="dxa"/>
            <w:vAlign w:val="bottom"/>
          </w:tcPr>
          <w:p>
            <w:pPr>
              <w:ind w:left="560"/>
              <w:spacing w:after="0"/>
              <w:rPr>
                <w:sz w:val="20"/>
                <w:szCs w:val="20"/>
                <w:color w:val="auto"/>
              </w:rPr>
            </w:pPr>
            <w:r>
              <w:rPr>
                <w:rFonts w:ascii="Arial" w:cs="Arial" w:eastAsia="Arial" w:hAnsi="Arial"/>
                <w:sz w:val="18"/>
                <w:szCs w:val="18"/>
                <w:color w:val="auto"/>
              </w:rPr>
              <w:t>accounting officer) of Universal Electronics Inc.</w:t>
            </w:r>
          </w:p>
        </w:tc>
      </w:tr>
    </w:tbl>
    <w:p>
      <w:pPr>
        <w:spacing w:after="0" w:line="161" w:lineRule="exact"/>
        <w:rPr>
          <w:sz w:val="20"/>
          <w:szCs w:val="20"/>
          <w:color w:val="auto"/>
        </w:rPr>
      </w:pPr>
    </w:p>
    <w:p>
      <w:pPr>
        <w:jc w:val="both"/>
        <w:ind w:left="1800" w:hanging="1414"/>
        <w:spacing w:after="0" w:line="264" w:lineRule="auto"/>
        <w:tabs>
          <w:tab w:leader="none" w:pos="18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Section 1350 Certifications of Paul D. Arling, Chief Executive Officer (principal executive officer) of Universal Electronics Inc., and Bryan M. Hackworth, Chief Financial Officer (principal financial officer and principal accounting officer) of Universal Electronics Inc. pursuant to 18 U.S.C. Section 1350</w:t>
      </w:r>
    </w:p>
    <w:p>
      <w:pPr>
        <w:sectPr>
          <w:pgSz w:w="11900" w:h="16838" w:orient="portrait"/>
          <w:cols w:equalWidth="0" w:num="1">
            <w:col w:w="11180"/>
          </w:cols>
          <w:pgMar w:left="240" w:top="118" w:right="479" w:bottom="1440" w:gutter="0" w:footer="0" w:header="0"/>
        </w:sectPr>
      </w:pPr>
    </w:p>
    <w:p>
      <w:pPr>
        <w:spacing w:after="0" w:line="14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121"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200"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200"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207"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 Linkbase Document</w:t>
      </w:r>
    </w:p>
    <w:p>
      <w:pPr>
        <w:spacing w:after="0" w:line="207"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ind w:left="260"/>
        <w:spacing w:after="0"/>
        <w:rPr>
          <w:sz w:val="20"/>
          <w:szCs w:val="20"/>
          <w:color w:val="auto"/>
        </w:rPr>
      </w:pPr>
      <w:r>
        <w:rPr>
          <w:rFonts w:ascii="Arial" w:cs="Arial" w:eastAsia="Arial" w:hAnsi="Arial"/>
          <w:sz w:val="17"/>
          <w:szCs w:val="17"/>
          <w:color w:val="auto"/>
        </w:rPr>
        <w:t>*101.LAB</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207"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ind w:left="260"/>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200"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spacing w:after="0" w:line="8"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br w:type="column"/>
      </w:r>
    </w:p>
    <w:p>
      <w:pPr>
        <w:jc w:val="both"/>
        <w:ind w:right="20"/>
        <w:spacing w:after="0" w:line="286" w:lineRule="auto"/>
        <w:rPr>
          <w:sz w:val="20"/>
          <w:szCs w:val="20"/>
          <w:color w:val="auto"/>
        </w:rPr>
      </w:pPr>
      <w:r>
        <w:rPr>
          <w:rFonts w:ascii="Arial" w:cs="Arial" w:eastAsia="Arial" w:hAnsi="Arial"/>
          <w:sz w:val="17"/>
          <w:szCs w:val="17"/>
          <w:color w:val="auto"/>
        </w:rPr>
        <w:t>XBRL (Extensible Business Reporting Language) information is furnished and not filed or a part of a registration statement or prospectus for purposes of Sections 11 or 12 of the Securities Act of 1933, is deemed not filed for purposes of Section 18 of the Securities Exchange Act of 1934, and otherwise is not subject to liability under these sections.</w:t>
      </w:r>
    </w:p>
    <w:p>
      <w:pPr>
        <w:spacing w:after="0" w:line="200" w:lineRule="exact"/>
        <w:rPr>
          <w:sz w:val="20"/>
          <w:szCs w:val="20"/>
          <w:color w:val="auto"/>
        </w:rPr>
      </w:pPr>
    </w:p>
    <w:p>
      <w:pPr>
        <w:sectPr>
          <w:pgSz w:w="11900" w:h="16838" w:orient="portrait"/>
          <w:cols w:equalWidth="0" w:num="2">
            <w:col w:w="1080" w:space="720"/>
            <w:col w:w="9380"/>
          </w:cols>
          <w:pgMar w:left="240" w:top="118" w:right="479" w:bottom="1440" w:gutter="0" w:footer="0" w:header="0"/>
          <w:type w:val="continuous"/>
        </w:sectPr>
      </w:pPr>
    </w:p>
    <w:p>
      <w:pPr>
        <w:spacing w:after="0" w:line="200" w:lineRule="exact"/>
        <w:rPr>
          <w:sz w:val="20"/>
          <w:szCs w:val="20"/>
          <w:color w:val="auto"/>
        </w:rPr>
      </w:pPr>
    </w:p>
    <w:p>
      <w:pPr>
        <w:spacing w:after="0" w:line="252" w:lineRule="exact"/>
        <w:rPr>
          <w:sz w:val="20"/>
          <w:szCs w:val="20"/>
          <w:color w:val="auto"/>
        </w:rPr>
      </w:pPr>
    </w:p>
    <w:p>
      <w:pPr>
        <w:jc w:val="center"/>
        <w:ind w:right="-239"/>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180"/>
          </w:cols>
          <w:pgMar w:left="240" w:top="118" w:right="479" w:bottom="1440" w:gutter="0" w:footer="0" w:header="0"/>
          <w:type w:val="continuous"/>
        </w:sectPr>
      </w:pPr>
    </w:p>
    <w:bookmarkStart w:id="29" w:name="page30"/>
    <w:bookmarkEnd w:id="29"/>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17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 of Section 13 or 15(d)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r>
              <w:rPr>
                <w:rFonts w:ascii="Arial" w:cs="Arial" w:eastAsia="Arial" w:hAnsi="Arial"/>
                <w:sz w:val="18"/>
                <w:szCs w:val="18"/>
                <w:color w:val="auto"/>
              </w:rPr>
              <w:t>Dated:  August 8, 2013</w:t>
            </w:r>
          </w:p>
        </w:tc>
        <w:tc>
          <w:tcPr>
            <w:tcW w:w="7700" w:type="dxa"/>
            <w:vAlign w:val="bottom"/>
            <w:gridSpan w:val="2"/>
          </w:tcPr>
          <w:p>
            <w:pPr>
              <w:ind w:left="1920"/>
              <w:spacing w:after="0"/>
              <w:rPr>
                <w:sz w:val="20"/>
                <w:szCs w:val="20"/>
                <w:color w:val="auto"/>
              </w:rPr>
            </w:pPr>
            <w:r>
              <w:rPr>
                <w:rFonts w:ascii="Arial" w:cs="Arial" w:eastAsia="Arial" w:hAnsi="Arial"/>
                <w:sz w:val="18"/>
                <w:szCs w:val="18"/>
                <w:b w:val="1"/>
                <w:bCs w:val="1"/>
                <w:color w:val="auto"/>
              </w:rPr>
              <w:t>UNIVERSAL ELECTRONICS INC.</w:t>
            </w:r>
          </w:p>
        </w:tc>
      </w:tr>
      <w:tr>
        <w:trPr>
          <w:trHeight w:val="392"/>
        </w:trPr>
        <w:tc>
          <w:tcPr>
            <w:tcW w:w="3680" w:type="dxa"/>
            <w:vAlign w:val="bottom"/>
          </w:tcPr>
          <w:p>
            <w:pPr>
              <w:spacing w:after="0"/>
              <w:rPr>
                <w:sz w:val="24"/>
                <w:szCs w:val="24"/>
                <w:color w:val="auto"/>
              </w:rPr>
            </w:pPr>
          </w:p>
        </w:tc>
        <w:tc>
          <w:tcPr>
            <w:tcW w:w="2560" w:type="dxa"/>
            <w:vAlign w:val="bottom"/>
          </w:tcPr>
          <w:p>
            <w:pPr>
              <w:ind w:left="1920"/>
              <w:spacing w:after="0"/>
              <w:rPr>
                <w:sz w:val="20"/>
                <w:szCs w:val="20"/>
                <w:color w:val="auto"/>
              </w:rPr>
            </w:pPr>
            <w:r>
              <w:rPr>
                <w:rFonts w:ascii="Arial" w:cs="Arial" w:eastAsia="Arial" w:hAnsi="Arial"/>
                <w:sz w:val="18"/>
                <w:szCs w:val="18"/>
                <w:color w:val="auto"/>
              </w:rPr>
              <w:t>By:</w:t>
            </w:r>
          </w:p>
        </w:tc>
        <w:tc>
          <w:tcPr>
            <w:tcW w:w="5140" w:type="dxa"/>
            <w:vAlign w:val="bottom"/>
          </w:tcPr>
          <w:p>
            <w:pPr>
              <w:ind w:left="40"/>
              <w:spacing w:after="0"/>
              <w:rPr>
                <w:sz w:val="20"/>
                <w:szCs w:val="20"/>
                <w:color w:val="auto"/>
              </w:rPr>
            </w:pPr>
            <w:r>
              <w:rPr>
                <w:rFonts w:ascii="Arial" w:cs="Arial" w:eastAsia="Arial" w:hAnsi="Arial"/>
                <w:sz w:val="18"/>
                <w:szCs w:val="18"/>
                <w:color w:val="auto"/>
              </w:rPr>
              <w:t xml:space="preserve">/s/ </w:t>
            </w:r>
            <w:r>
              <w:rPr>
                <w:rFonts w:ascii="Arial" w:cs="Arial" w:eastAsia="Arial" w:hAnsi="Arial"/>
                <w:sz w:val="18"/>
                <w:szCs w:val="18"/>
                <w:i w:val="1"/>
                <w:iCs w:val="1"/>
                <w:color w:val="auto"/>
              </w:rPr>
              <w:t>Bryan M. Hackworth</w:t>
            </w:r>
          </w:p>
        </w:tc>
      </w:tr>
      <w:tr>
        <w:trPr>
          <w:trHeight w:val="27"/>
        </w:trPr>
        <w:tc>
          <w:tcPr>
            <w:tcW w:w="3680" w:type="dxa"/>
            <w:vAlign w:val="bottom"/>
          </w:tcPr>
          <w:p>
            <w:pPr>
              <w:spacing w:after="0"/>
              <w:rPr>
                <w:sz w:val="2"/>
                <w:szCs w:val="2"/>
                <w:color w:val="auto"/>
              </w:rPr>
            </w:pPr>
          </w:p>
        </w:tc>
        <w:tc>
          <w:tcPr>
            <w:tcW w:w="2560" w:type="dxa"/>
            <w:vAlign w:val="bottom"/>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r>
      <w:tr>
        <w:trPr>
          <w:trHeight w:val="237"/>
        </w:trPr>
        <w:tc>
          <w:tcPr>
            <w:tcW w:w="3680" w:type="dxa"/>
            <w:vAlign w:val="bottom"/>
          </w:tcPr>
          <w:p>
            <w:pPr>
              <w:spacing w:after="0"/>
              <w:rPr>
                <w:sz w:val="20"/>
                <w:szCs w:val="20"/>
                <w:color w:val="auto"/>
              </w:rPr>
            </w:pPr>
          </w:p>
        </w:tc>
        <w:tc>
          <w:tcPr>
            <w:tcW w:w="2560" w:type="dxa"/>
            <w:vAlign w:val="bottom"/>
          </w:tcPr>
          <w:p>
            <w:pPr>
              <w:spacing w:after="0"/>
              <w:rPr>
                <w:sz w:val="20"/>
                <w:szCs w:val="20"/>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Bryan M. Hackworth</w:t>
            </w:r>
          </w:p>
        </w:tc>
      </w:tr>
      <w:tr>
        <w:trPr>
          <w:trHeight w:val="270"/>
        </w:trPr>
        <w:tc>
          <w:tcPr>
            <w:tcW w:w="36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Chief Financial Officer (principal financial officer</w:t>
            </w:r>
          </w:p>
        </w:tc>
      </w:tr>
      <w:tr>
        <w:trPr>
          <w:trHeight w:val="270"/>
        </w:trPr>
        <w:tc>
          <w:tcPr>
            <w:tcW w:w="3680" w:type="dxa"/>
            <w:vAlign w:val="bottom"/>
          </w:tcPr>
          <w:p>
            <w:pPr>
              <w:spacing w:after="0"/>
              <w:rPr>
                <w:sz w:val="23"/>
                <w:szCs w:val="23"/>
                <w:color w:val="auto"/>
              </w:rPr>
            </w:pPr>
          </w:p>
        </w:tc>
        <w:tc>
          <w:tcPr>
            <w:tcW w:w="2560" w:type="dxa"/>
            <w:vAlign w:val="bottom"/>
          </w:tcPr>
          <w:p>
            <w:pPr>
              <w:spacing w:after="0"/>
              <w:rPr>
                <w:sz w:val="23"/>
                <w:szCs w:val="23"/>
                <w:color w:val="auto"/>
              </w:rPr>
            </w:pPr>
          </w:p>
        </w:tc>
        <w:tc>
          <w:tcPr>
            <w:tcW w:w="5140" w:type="dxa"/>
            <w:vAlign w:val="bottom"/>
          </w:tcPr>
          <w:p>
            <w:pPr>
              <w:ind w:left="40"/>
              <w:spacing w:after="0"/>
              <w:rPr>
                <w:sz w:val="20"/>
                <w:szCs w:val="20"/>
                <w:color w:val="auto"/>
              </w:rPr>
            </w:pPr>
            <w:r>
              <w:rPr>
                <w:rFonts w:ascii="Arial" w:cs="Arial" w:eastAsia="Arial" w:hAnsi="Arial"/>
                <w:sz w:val="18"/>
                <w:szCs w:val="18"/>
                <w:color w:val="auto"/>
              </w:rPr>
              <w:t>and principal accounting officer)</w:t>
            </w:r>
          </w:p>
        </w:tc>
      </w:tr>
      <w:tr>
        <w:trPr>
          <w:trHeight w:val="864"/>
        </w:trPr>
        <w:tc>
          <w:tcPr>
            <w:tcW w:w="3680" w:type="dxa"/>
            <w:vAlign w:val="bottom"/>
          </w:tcPr>
          <w:p>
            <w:pPr>
              <w:spacing w:after="0"/>
              <w:rPr>
                <w:sz w:val="24"/>
                <w:szCs w:val="24"/>
                <w:color w:val="auto"/>
              </w:rPr>
            </w:pPr>
          </w:p>
        </w:tc>
        <w:tc>
          <w:tcPr>
            <w:tcW w:w="2560" w:type="dxa"/>
            <w:vAlign w:val="bottom"/>
          </w:tcPr>
          <w:p>
            <w:pPr>
              <w:ind w:left="1900"/>
              <w:spacing w:after="0"/>
              <w:rPr>
                <w:sz w:val="20"/>
                <w:szCs w:val="20"/>
                <w:color w:val="auto"/>
              </w:rPr>
            </w:pPr>
            <w:r>
              <w:rPr>
                <w:rFonts w:ascii="Arial" w:cs="Arial" w:eastAsia="Arial" w:hAnsi="Arial"/>
                <w:sz w:val="18"/>
                <w:szCs w:val="18"/>
                <w:color w:val="auto"/>
              </w:rPr>
              <w:t>30</w:t>
            </w:r>
          </w:p>
        </w:tc>
        <w:tc>
          <w:tcPr>
            <w:tcW w:w="5140" w:type="dxa"/>
            <w:vAlign w:val="bottom"/>
          </w:tcPr>
          <w:p>
            <w:pPr>
              <w:spacing w:after="0"/>
              <w:rPr>
                <w:sz w:val="24"/>
                <w:szCs w:val="24"/>
                <w:color w:val="auto"/>
              </w:rPr>
            </w:pPr>
          </w:p>
        </w:tc>
      </w:tr>
    </w:tbl>
    <w:p>
      <w:pPr>
        <w:sectPr>
          <w:pgSz w:w="11900" w:h="16838" w:orient="portrait"/>
          <w:cols w:equalWidth="0" w:num="1">
            <w:col w:w="11420"/>
          </w:cols>
          <w:pgMar w:left="240" w:top="118" w:right="239" w:bottom="1440" w:gutter="0" w:footer="0" w:header="0"/>
        </w:sectPr>
      </w:pPr>
    </w:p>
    <w:bookmarkStart w:id="30" w:name="page31"/>
    <w:bookmarkEnd w:id="30"/>
    <w:p>
      <w:pPr>
        <w:spacing w:after="0"/>
        <w:rPr>
          <w:rFonts w:ascii="Arial" w:cs="Arial" w:eastAsia="Arial" w:hAnsi="Arial"/>
          <w:sz w:val="14"/>
          <w:szCs w:val="14"/>
          <w:b w:val="1"/>
          <w:bCs w:val="1"/>
          <w:u w:val="single" w:color="auto"/>
          <w:color w:val="0000FF"/>
        </w:rPr>
      </w:pPr>
      <w:hyperlink w:anchor="page1">
        <w:r>
          <w:rPr>
            <w:rFonts w:ascii="Arial" w:cs="Arial" w:eastAsia="Arial" w:hAnsi="Arial"/>
            <w:sz w:val="14"/>
            <w:szCs w:val="14"/>
            <w:b w:val="1"/>
            <w:bCs w:val="1"/>
            <w:u w:val="single" w:color="auto"/>
            <w:color w:val="0000FF"/>
          </w:rPr>
          <w:t>Table of Contents</w:t>
        </w:r>
      </w:hyperlink>
    </w:p>
    <w:p>
      <w:pPr>
        <w:spacing w:after="0" w:line="200" w:lineRule="exact"/>
        <w:rPr>
          <w:sz w:val="20"/>
          <w:szCs w:val="20"/>
          <w:color w:val="auto"/>
        </w:rPr>
      </w:pP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3440"/>
              <w:spacing w:after="0"/>
              <w:rPr>
                <w:sz w:val="20"/>
                <w:szCs w:val="20"/>
                <w:color w:val="auto"/>
              </w:rPr>
            </w:pPr>
            <w:r>
              <w:rPr>
                <w:rFonts w:ascii="Arial" w:cs="Arial" w:eastAsia="Arial" w:hAnsi="Arial"/>
                <w:sz w:val="18"/>
                <w:szCs w:val="18"/>
                <w:b w:val="1"/>
                <w:bCs w:val="1"/>
                <w:color w:val="auto"/>
              </w:rPr>
              <w:t>EXHIBIT INDEX</w:t>
            </w:r>
          </w:p>
        </w:tc>
      </w:tr>
      <w:tr>
        <w:trPr>
          <w:trHeight w:val="588"/>
        </w:trPr>
        <w:tc>
          <w:tcPr>
            <w:tcW w:w="1580" w:type="dxa"/>
            <w:vAlign w:val="bottom"/>
            <w:gridSpan w:val="2"/>
          </w:tcPr>
          <w:p>
            <w:pPr>
              <w:ind w:left="40"/>
              <w:spacing w:after="0"/>
              <w:rPr>
                <w:sz w:val="20"/>
                <w:szCs w:val="20"/>
                <w:color w:val="auto"/>
              </w:rPr>
            </w:pPr>
            <w:r>
              <w:rPr>
                <w:rFonts w:ascii="Arial" w:cs="Arial" w:eastAsia="Arial" w:hAnsi="Arial"/>
                <w:sz w:val="14"/>
                <w:szCs w:val="14"/>
                <w:b w:val="1"/>
                <w:bCs w:val="1"/>
                <w:color w:val="auto"/>
              </w:rPr>
              <w:t>Exhibit No.</w:t>
            </w:r>
          </w:p>
        </w:tc>
        <w:tc>
          <w:tcPr>
            <w:tcW w:w="9780" w:type="dxa"/>
            <w:vAlign w:val="bottom"/>
          </w:tcPr>
          <w:p>
            <w:pPr>
              <w:ind w:left="20"/>
              <w:spacing w:after="0"/>
              <w:rPr>
                <w:sz w:val="20"/>
                <w:szCs w:val="20"/>
                <w:color w:val="auto"/>
              </w:rPr>
            </w:pPr>
            <w:r>
              <w:rPr>
                <w:rFonts w:ascii="Arial" w:cs="Arial" w:eastAsia="Arial" w:hAnsi="Arial"/>
                <w:sz w:val="14"/>
                <w:szCs w:val="14"/>
                <w:b w:val="1"/>
                <w:bCs w:val="1"/>
                <w:color w:val="auto"/>
              </w:rPr>
              <w:t>Description</w:t>
            </w:r>
          </w:p>
        </w:tc>
      </w:tr>
      <w:tr>
        <w:trPr>
          <w:trHeight w:val="243"/>
        </w:trPr>
        <w:tc>
          <w:tcPr>
            <w:tcW w:w="1460" w:type="dxa"/>
            <w:vAlign w:val="bottom"/>
            <w:tcBorders>
              <w:top w:val="single" w:sz="8" w:color="auto"/>
            </w:tcBorders>
          </w:tcPr>
          <w:p>
            <w:pPr>
              <w:ind w:left="40"/>
              <w:spacing w:after="0"/>
              <w:rPr>
                <w:sz w:val="20"/>
                <w:szCs w:val="20"/>
                <w:color w:val="auto"/>
              </w:rPr>
            </w:pPr>
            <w:r>
              <w:rPr>
                <w:rFonts w:ascii="Arial" w:cs="Arial" w:eastAsia="Arial" w:hAnsi="Arial"/>
                <w:sz w:val="18"/>
                <w:szCs w:val="18"/>
                <w:color w:val="auto"/>
              </w:rPr>
              <w:t>31.1</w:t>
            </w:r>
          </w:p>
        </w:tc>
        <w:tc>
          <w:tcPr>
            <w:tcW w:w="120" w:type="dxa"/>
            <w:vAlign w:val="bottom"/>
          </w:tcPr>
          <w:p>
            <w:pPr>
              <w:spacing w:after="0"/>
              <w:rPr>
                <w:sz w:val="21"/>
                <w:szCs w:val="21"/>
                <w:color w:val="auto"/>
              </w:rPr>
            </w:pPr>
          </w:p>
        </w:tc>
        <w:tc>
          <w:tcPr>
            <w:tcW w:w="978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97"/>
              </w:rPr>
              <w:t>Rule 13a-14(a) Certifications of Paul D. Arling, Chief Executive Officer (principal executive 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31.2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Rule 13a-14(a) Certifications of Bryan M. Hackworth, Chief Financial Officer (principal financial officer and principal accounting</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officer) of Universal Electronics Inc.</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4"/>
              </w:rPr>
              <w:t>Section 1350 Certifications of Paul D. Arling, Chief Executive Officer (principal executive officer) of Universal Electronics Inc., and</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6"/>
              </w:rPr>
              <w:t>Bryan M. Hackworth, Chief Financial Officer (principal financial officer and principal accounting officer) of Universal Electronics</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Inc. pursuant to 18 U.S.C. Section 1350</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*101.INS</w:t>
            </w:r>
          </w:p>
        </w:tc>
        <w:tc>
          <w:tcPr>
            <w:tcW w:w="9780" w:type="dxa"/>
            <w:vAlign w:val="bottom"/>
          </w:tcPr>
          <w:p>
            <w:pPr>
              <w:ind w:left="20"/>
              <w:spacing w:after="0"/>
              <w:rPr>
                <w:sz w:val="20"/>
                <w:szCs w:val="20"/>
                <w:color w:val="auto"/>
              </w:rPr>
            </w:pPr>
            <w:r>
              <w:rPr>
                <w:rFonts w:ascii="Arial" w:cs="Arial" w:eastAsia="Arial" w:hAnsi="Arial"/>
                <w:sz w:val="18"/>
                <w:szCs w:val="18"/>
                <w:color w:val="auto"/>
              </w:rPr>
              <w:t>XBRL Instance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*101.SCH</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Schema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*101.CAL</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Calculation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*101.DEF</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Definition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*101.LAB</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Label Linkbase Document</w:t>
            </w:r>
          </w:p>
        </w:tc>
      </w:tr>
      <w:tr>
        <w:trPr>
          <w:trHeight w:val="392"/>
        </w:trPr>
        <w:tc>
          <w:tcPr>
            <w:tcW w:w="1580" w:type="dxa"/>
            <w:vAlign w:val="bottom"/>
            <w:gridSpan w:val="2"/>
          </w:tcPr>
          <w:p>
            <w:pPr>
              <w:ind w:left="40"/>
              <w:spacing w:after="0"/>
              <w:rPr>
                <w:sz w:val="20"/>
                <w:szCs w:val="20"/>
                <w:color w:val="auto"/>
              </w:rPr>
            </w:pPr>
            <w:r>
              <w:rPr>
                <w:rFonts w:ascii="Arial" w:cs="Arial" w:eastAsia="Arial" w:hAnsi="Arial"/>
                <w:sz w:val="18"/>
                <w:szCs w:val="18"/>
                <w:color w:val="auto"/>
              </w:rPr>
              <w:t>*101.PRE</w:t>
            </w:r>
          </w:p>
        </w:tc>
        <w:tc>
          <w:tcPr>
            <w:tcW w:w="9780" w:type="dxa"/>
            <w:vAlign w:val="bottom"/>
          </w:tcPr>
          <w:p>
            <w:pPr>
              <w:ind w:left="20"/>
              <w:spacing w:after="0"/>
              <w:rPr>
                <w:sz w:val="20"/>
                <w:szCs w:val="20"/>
                <w:color w:val="auto"/>
              </w:rPr>
            </w:pPr>
            <w:r>
              <w:rPr>
                <w:rFonts w:ascii="Arial" w:cs="Arial" w:eastAsia="Arial" w:hAnsi="Arial"/>
                <w:sz w:val="18"/>
                <w:szCs w:val="18"/>
                <w:color w:val="auto"/>
              </w:rPr>
              <w:t>XBRL Taxonomy Extension Presentation Linkbase Document</w:t>
            </w:r>
          </w:p>
        </w:tc>
      </w:tr>
      <w:tr>
        <w:trPr>
          <w:trHeight w:val="377"/>
        </w:trPr>
        <w:tc>
          <w:tcPr>
            <w:tcW w:w="1460" w:type="dxa"/>
            <w:vAlign w:val="bottom"/>
          </w:tcPr>
          <w:p>
            <w:pPr>
              <w:ind w:left="4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8"/>
              </w:rPr>
              <w:t>XBRL (Extensible Business Reporting Language) information is furnished and not filed or a part of a registration statement or</w:t>
            </w:r>
          </w:p>
        </w:tc>
      </w:tr>
      <w:tr>
        <w:trPr>
          <w:trHeight w:val="216"/>
        </w:trPr>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w w:val="95"/>
              </w:rPr>
              <w:t>prospectus for purposes of Sections 11 or 12 of the Securities Act of 1933, is deemed not filed for purposes of Section 18 of the</w:t>
            </w:r>
          </w:p>
        </w:tc>
      </w:tr>
      <w:tr>
        <w:trPr>
          <w:trHeight w:val="230"/>
        </w:trPr>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780" w:type="dxa"/>
            <w:vAlign w:val="bottom"/>
          </w:tcPr>
          <w:p>
            <w:pPr>
              <w:ind w:left="20"/>
              <w:spacing w:after="0"/>
              <w:rPr>
                <w:sz w:val="20"/>
                <w:szCs w:val="20"/>
                <w:color w:val="auto"/>
              </w:rPr>
            </w:pPr>
            <w:r>
              <w:rPr>
                <w:rFonts w:ascii="Arial" w:cs="Arial" w:eastAsia="Arial" w:hAnsi="Arial"/>
                <w:sz w:val="18"/>
                <w:szCs w:val="18"/>
                <w:color w:val="auto"/>
              </w:rPr>
              <w:t>Securities Exchange Act of 1934, and otherwise is not subject to liability under these sections.</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360"/>
          </w:cols>
          <w:pgMar w:left="240" w:top="118" w:right="299" w:bottom="1440" w:gutter="0" w:footer="0" w:header="0"/>
        </w:sectPr>
      </w:pPr>
    </w:p>
    <w:bookmarkStart w:id="31" w:name="page32"/>
    <w:bookmarkEnd w:id="31"/>
    <w:p>
      <w:pPr>
        <w:jc w:val="right"/>
        <w:spacing w:after="0"/>
        <w:rPr>
          <w:sz w:val="20"/>
          <w:szCs w:val="20"/>
          <w:color w:val="auto"/>
        </w:rPr>
      </w:pPr>
      <w:r>
        <w:rPr>
          <w:rFonts w:ascii="Arial" w:cs="Arial" w:eastAsia="Arial" w:hAnsi="Arial"/>
          <w:sz w:val="18"/>
          <w:szCs w:val="18"/>
          <w:b w:val="1"/>
          <w:bCs w:val="1"/>
          <w:color w:val="auto"/>
        </w:rPr>
        <w:t>Exhibit 31.1</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Paul D. Arling, certify that:</w:t>
      </w:r>
    </w:p>
    <w:p>
      <w:pPr>
        <w:spacing w:after="0" w:line="171" w:lineRule="exact"/>
        <w:rPr>
          <w:sz w:val="20"/>
          <w:szCs w:val="20"/>
          <w:color w:val="auto"/>
        </w:rPr>
      </w:pPr>
    </w:p>
    <w:p>
      <w:pPr>
        <w:ind w:left="340" w:hanging="332"/>
        <w:spacing w:after="0"/>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54" w:lineRule="exact"/>
        <w:rPr>
          <w:rFonts w:ascii="Arial" w:cs="Arial" w:eastAsia="Arial" w:hAnsi="Arial"/>
          <w:sz w:val="18"/>
          <w:szCs w:val="18"/>
          <w:color w:val="auto"/>
        </w:rPr>
      </w:pPr>
    </w:p>
    <w:p>
      <w:pPr>
        <w:jc w:val="both"/>
        <w:ind w:left="340" w:right="340" w:firstLine="154"/>
        <w:spacing w:after="0" w:line="311"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ind w:left="340" w:right="560" w:firstLine="154"/>
        <w:spacing w:after="0" w:line="311"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left="340" w:right="900" w:firstLine="154"/>
        <w:spacing w:after="0" w:line="395" w:lineRule="auto"/>
        <w:tabs>
          <w:tab w:leader="none" w:pos="849" w:val="left"/>
        </w:tabs>
        <w:numPr>
          <w:ilvl w:val="1"/>
          <w:numId w:val="1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9" w:lineRule="exact"/>
        <w:rPr>
          <w:rFonts w:ascii="Arial" w:cs="Arial" w:eastAsia="Arial" w:hAnsi="Arial"/>
          <w:sz w:val="16"/>
          <w:szCs w:val="16"/>
          <w:color w:val="auto"/>
        </w:rPr>
      </w:pPr>
    </w:p>
    <w:p>
      <w:pPr>
        <w:ind w:left="340" w:right="400" w:firstLine="154"/>
        <w:spacing w:after="0" w:line="369" w:lineRule="auto"/>
        <w:tabs>
          <w:tab w:leader="none" w:pos="859" w:val="left"/>
        </w:tabs>
        <w:numPr>
          <w:ilvl w:val="1"/>
          <w:numId w:val="15"/>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right="500" w:hanging="332"/>
        <w:spacing w:after="0" w:line="277" w:lineRule="auto"/>
        <w:tabs>
          <w:tab w:leader="none" w:pos="3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40" w:right="320" w:firstLine="154"/>
        <w:spacing w:after="0" w:line="324" w:lineRule="auto"/>
        <w:tabs>
          <w:tab w:leader="none" w:pos="84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60" w:firstLine="154"/>
        <w:spacing w:after="0" w:line="324" w:lineRule="auto"/>
        <w:tabs>
          <w:tab w:leader="none" w:pos="859" w:val="left"/>
        </w:tabs>
        <w:numPr>
          <w:ilvl w:val="1"/>
          <w:numId w:val="1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p>
      <w:pPr>
        <w:spacing w:after="0" w:line="333"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Paul D. Arling</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Chairman and Chief Executive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2" w:name="page33"/>
    <w:bookmarkEnd w:id="32"/>
    <w:p>
      <w:pPr>
        <w:jc w:val="right"/>
        <w:spacing w:after="0"/>
        <w:rPr>
          <w:sz w:val="20"/>
          <w:szCs w:val="20"/>
          <w:color w:val="auto"/>
        </w:rPr>
      </w:pPr>
      <w:r>
        <w:rPr>
          <w:rFonts w:ascii="Arial" w:cs="Arial" w:eastAsia="Arial" w:hAnsi="Arial"/>
          <w:sz w:val="18"/>
          <w:szCs w:val="18"/>
          <w:b w:val="1"/>
          <w:bCs w:val="1"/>
          <w:color w:val="auto"/>
        </w:rPr>
        <w:t>Exhibit 31.2</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Bryan M. Hackworth, certify that:</w:t>
      </w:r>
    </w:p>
    <w:p>
      <w:pPr>
        <w:spacing w:after="0" w:line="171" w:lineRule="exact"/>
        <w:rPr>
          <w:sz w:val="20"/>
          <w:szCs w:val="20"/>
          <w:color w:val="auto"/>
        </w:rPr>
      </w:pP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Universal Electronics Inc.;</w:t>
      </w:r>
    </w:p>
    <w:p>
      <w:pPr>
        <w:spacing w:after="0" w:line="171" w:lineRule="exact"/>
        <w:rPr>
          <w:rFonts w:ascii="Arial" w:cs="Arial" w:eastAsia="Arial" w:hAnsi="Arial"/>
          <w:sz w:val="18"/>
          <w:szCs w:val="18"/>
          <w:color w:val="auto"/>
        </w:rPr>
      </w:pPr>
    </w:p>
    <w:p>
      <w:pPr>
        <w:ind w:left="340" w:right="120" w:hanging="332"/>
        <w:spacing w:after="0" w:line="342" w:lineRule="auto"/>
        <w:tabs>
          <w:tab w:leader="none" w:pos="340" w:val="left"/>
        </w:tabs>
        <w:numPr>
          <w:ilvl w:val="0"/>
          <w:numId w:val="16"/>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left="340" w:right="580" w:hanging="332"/>
        <w:spacing w:after="0" w:line="308" w:lineRule="auto"/>
        <w:tabs>
          <w:tab w:leader="none" w:pos="340" w:val="left"/>
        </w:tabs>
        <w:numPr>
          <w:ilvl w:val="0"/>
          <w:numId w:val="16"/>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92" w:lineRule="exact"/>
        <w:rPr>
          <w:rFonts w:ascii="Arial" w:cs="Arial" w:eastAsia="Arial" w:hAnsi="Arial"/>
          <w:sz w:val="17"/>
          <w:szCs w:val="17"/>
          <w:color w:val="auto"/>
        </w:rPr>
      </w:pPr>
    </w:p>
    <w:p>
      <w:pPr>
        <w:ind w:left="340" w:right="60" w:hanging="332"/>
        <w:spacing w:after="0" w:line="264"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jc w:val="both"/>
        <w:ind w:left="340" w:right="340" w:firstLine="154"/>
        <w:spacing w:after="0" w:line="311"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46" w:lineRule="exact"/>
        <w:rPr>
          <w:rFonts w:ascii="Arial" w:cs="Arial" w:eastAsia="Arial" w:hAnsi="Arial"/>
          <w:sz w:val="18"/>
          <w:szCs w:val="18"/>
          <w:color w:val="auto"/>
        </w:rPr>
      </w:pPr>
    </w:p>
    <w:p>
      <w:pPr>
        <w:ind w:left="340" w:right="560" w:firstLine="154"/>
        <w:spacing w:after="0" w:line="311"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6" w:lineRule="exact"/>
        <w:rPr>
          <w:rFonts w:ascii="Arial" w:cs="Arial" w:eastAsia="Arial" w:hAnsi="Arial"/>
          <w:sz w:val="18"/>
          <w:szCs w:val="18"/>
          <w:color w:val="auto"/>
        </w:rPr>
      </w:pPr>
    </w:p>
    <w:p>
      <w:pPr>
        <w:ind w:left="340" w:right="900" w:firstLine="154"/>
        <w:spacing w:after="0" w:line="387" w:lineRule="auto"/>
        <w:tabs>
          <w:tab w:leader="none" w:pos="849" w:val="left"/>
        </w:tabs>
        <w:numPr>
          <w:ilvl w:val="1"/>
          <w:numId w:val="16"/>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340" w:right="400" w:firstLine="154"/>
        <w:spacing w:after="0" w:line="369" w:lineRule="auto"/>
        <w:tabs>
          <w:tab w:leader="none" w:pos="859" w:val="left"/>
        </w:tabs>
        <w:numPr>
          <w:ilvl w:val="1"/>
          <w:numId w:val="16"/>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 w:lineRule="exact"/>
        <w:rPr>
          <w:rFonts w:ascii="Arial" w:cs="Arial" w:eastAsia="Arial" w:hAnsi="Arial"/>
          <w:sz w:val="16"/>
          <w:szCs w:val="16"/>
          <w:color w:val="auto"/>
        </w:rPr>
      </w:pPr>
    </w:p>
    <w:p>
      <w:pPr>
        <w:ind w:left="340" w:right="500" w:hanging="332"/>
        <w:spacing w:after="0" w:line="277"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registrant’s board of directors:</w:t>
      </w:r>
    </w:p>
    <w:p>
      <w:pPr>
        <w:spacing w:after="0" w:line="62" w:lineRule="exact"/>
        <w:rPr>
          <w:rFonts w:ascii="Arial" w:cs="Arial" w:eastAsia="Arial" w:hAnsi="Arial"/>
          <w:sz w:val="18"/>
          <w:szCs w:val="18"/>
          <w:color w:val="auto"/>
        </w:rPr>
      </w:pPr>
    </w:p>
    <w:p>
      <w:pPr>
        <w:ind w:left="340" w:right="320" w:firstLine="154"/>
        <w:spacing w:after="0" w:line="324" w:lineRule="auto"/>
        <w:tabs>
          <w:tab w:leader="none" w:pos="84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35" w:lineRule="exact"/>
        <w:rPr>
          <w:rFonts w:ascii="Arial" w:cs="Arial" w:eastAsia="Arial" w:hAnsi="Arial"/>
          <w:sz w:val="18"/>
          <w:szCs w:val="18"/>
          <w:color w:val="auto"/>
        </w:rPr>
      </w:pPr>
    </w:p>
    <w:p>
      <w:pPr>
        <w:ind w:left="340" w:right="260" w:firstLine="154"/>
        <w:spacing w:after="0" w:line="324" w:lineRule="auto"/>
        <w:tabs>
          <w:tab w:leader="none" w:pos="859" w:val="left"/>
        </w:tabs>
        <w:numPr>
          <w:ilvl w:val="1"/>
          <w:numId w:val="16"/>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89" w:lineRule="exact"/>
        <w:rPr>
          <w:sz w:val="20"/>
          <w:szCs w:val="20"/>
          <w:color w:val="auto"/>
        </w:rPr>
      </w:pPr>
    </w:p>
    <w:p>
      <w:pPr>
        <w:spacing w:after="0"/>
        <w:rPr>
          <w:sz w:val="20"/>
          <w:szCs w:val="20"/>
          <w:color w:val="auto"/>
        </w:rPr>
      </w:pPr>
      <w:r>
        <w:rPr>
          <w:rFonts w:ascii="Arial" w:cs="Arial" w:eastAsia="Arial" w:hAnsi="Arial"/>
          <w:sz w:val="18"/>
          <w:szCs w:val="18"/>
          <w:color w:val="auto"/>
        </w:rPr>
        <w:t>Date: August 8, 2013</w:t>
      </w:r>
    </w:p>
    <w:p>
      <w:pPr>
        <w:spacing w:after="0" w:line="200" w:lineRule="exact"/>
        <w:rPr>
          <w:sz w:val="20"/>
          <w:szCs w:val="20"/>
          <w:color w:val="auto"/>
        </w:rPr>
      </w:pPr>
    </w:p>
    <w:p>
      <w:pPr>
        <w:spacing w:after="0" w:line="349" w:lineRule="exact"/>
        <w:rPr>
          <w:sz w:val="20"/>
          <w:szCs w:val="20"/>
          <w:color w:val="auto"/>
        </w:rPr>
      </w:pPr>
    </w:p>
    <w:p>
      <w:pPr>
        <w:ind w:left="40"/>
        <w:spacing w:after="0"/>
        <w:rPr>
          <w:sz w:val="20"/>
          <w:szCs w:val="20"/>
          <w:color w:val="auto"/>
        </w:rPr>
      </w:pP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9241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92417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Bryan M. Hackworth</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2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(principal financial officer</w:t>
      </w:r>
    </w:p>
    <w:p>
      <w:pPr>
        <w:spacing w:after="0" w:line="9" w:lineRule="exact"/>
        <w:rPr>
          <w:sz w:val="20"/>
          <w:szCs w:val="20"/>
          <w:color w:val="auto"/>
        </w:rPr>
      </w:pPr>
    </w:p>
    <w:p>
      <w:pPr>
        <w:ind w:left="40"/>
        <w:spacing w:after="0"/>
        <w:rPr>
          <w:sz w:val="20"/>
          <w:szCs w:val="20"/>
          <w:color w:val="auto"/>
        </w:rPr>
      </w:pPr>
      <w:r>
        <w:rPr>
          <w:rFonts w:ascii="Arial" w:cs="Arial" w:eastAsia="Arial" w:hAnsi="Arial"/>
          <w:sz w:val="18"/>
          <w:szCs w:val="18"/>
          <w:color w:val="auto"/>
        </w:rPr>
        <w:t>and principal accounting officer)</w:t>
      </w:r>
    </w:p>
    <w:p>
      <w:pPr>
        <w:sectPr>
          <w:pgSz w:w="11900" w:h="16838" w:orient="portrait"/>
          <w:cols w:equalWidth="0" w:num="1">
            <w:col w:w="11420"/>
          </w:cols>
          <w:pgMar w:left="240" w:top="580" w:right="23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32</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SECTION 1350 CERTIFICATIONS</w:t>
      </w:r>
    </w:p>
    <w:p>
      <w:pPr>
        <w:spacing w:after="0" w:line="17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Pursuant to 18 U.S.C. Section 1350, as adopted pursuant to Section 906 of the Sarbanes-Oxley Act of 2002, each of the undersigned officers of Universal Electronics Inc. (the “Company”), hereby certifies that the (i) Company’s Form 10-Q for the fiscal quarter ended June 30, 2013 (the “Report”) fully complies with the requirements of Section 13(a) or 15(d), as applicable, of the Securities Exchange Act of 1934 and (ii)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40"/>
        <w:spacing w:after="0"/>
        <w:tabs>
          <w:tab w:leader="none" w:pos="700" w:val="left"/>
          <w:tab w:leader="none" w:pos="7900" w:val="left"/>
          <w:tab w:leader="none" w:pos="8580" w:val="left"/>
        </w:tabs>
        <w:rPr>
          <w:sz w:val="20"/>
          <w:szCs w:val="20"/>
          <w:color w:val="auto"/>
        </w:rPr>
      </w:pPr>
      <w:r>
        <w:rPr>
          <w:rFonts w:ascii="Arial" w:cs="Arial" w:eastAsia="Arial" w:hAnsi="Arial"/>
          <w:sz w:val="18"/>
          <w:szCs w:val="18"/>
          <w:color w:val="auto"/>
        </w:rPr>
        <w:t>Dated:</w:t>
        <w:tab/>
        <w:t>August 8, 2013</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i w:val="1"/>
          <w:iCs w:val="1"/>
          <w:color w:val="auto"/>
        </w:rPr>
        <w:t>/s/ Paul D. Arling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31750</wp:posOffset>
            </wp:positionV>
            <wp:extent cx="18097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Chief Executive Officer</w:t>
      </w:r>
    </w:p>
    <w:p>
      <w:pPr>
        <w:spacing w:after="0" w:line="387" w:lineRule="exact"/>
        <w:rPr>
          <w:sz w:val="20"/>
          <w:szCs w:val="20"/>
          <w:color w:val="auto"/>
        </w:rPr>
      </w:pPr>
    </w:p>
    <w:p>
      <w:pPr>
        <w:ind w:left="7920"/>
        <w:spacing w:after="0"/>
        <w:tabs>
          <w:tab w:leader="none" w:pos="85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i w:val="1"/>
          <w:iCs w:val="1"/>
          <w:color w:val="auto"/>
        </w:rPr>
        <w:t>/s/ Bryan M. Hackworth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5441950</wp:posOffset>
            </wp:positionH>
            <wp:positionV relativeFrom="paragraph">
              <wp:posOffset>31750</wp:posOffset>
            </wp:positionV>
            <wp:extent cx="18097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57" w:lineRule="exact"/>
        <w:rPr>
          <w:sz w:val="20"/>
          <w:szCs w:val="20"/>
          <w:color w:val="auto"/>
        </w:rPr>
      </w:pPr>
    </w:p>
    <w:p>
      <w:pPr>
        <w:ind w:left="860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A signed original of this written statement has been provided to Universal Electronics Inc. and will be retained by it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decimal"/>
      <w:start w:val="1"/>
    </w:lvl>
  </w:abstractNum>
  <w:abstractNum w:abstractNumId="3">
    <w:nsid w:val="4DB127F8"/>
    <w:multiLevelType w:val="hybridMultilevel"/>
    <w:lvl w:ilvl="0">
      <w:lvlJc w:val="left"/>
      <w:lvlText w:val="(%1)"/>
      <w:numFmt w:val="decimal"/>
      <w:start w:val="1"/>
    </w:lvl>
  </w:abstractNum>
  <w:abstractNum w:abstractNumId="4">
    <w:nsid w:val="216231B"/>
    <w:multiLevelType w:val="hybridMultilevel"/>
    <w:lvl w:ilvl="0">
      <w:lvlJc w:val="left"/>
      <w:lvlText w:val="(%1)"/>
      <w:numFmt w:val="decimal"/>
      <w:start w:val="1"/>
    </w:lvl>
  </w:abstractNum>
  <w:abstractNum w:abstractNumId="5">
    <w:nsid w:val="1F16E9E8"/>
    <w:multiLevelType w:val="hybridMultilevel"/>
    <w:lvl w:ilvl="0">
      <w:lvlJc w:val="left"/>
      <w:lvlText w:val="(%1)"/>
      <w:numFmt w:val="decimal"/>
      <w:start w:val="1"/>
    </w:lvl>
  </w:abstractNum>
  <w:abstractNum w:abstractNumId="6">
    <w:nsid w:val="1190CDE7"/>
    <w:multiLevelType w:val="hybridMultilevel"/>
    <w:lvl w:ilvl="0">
      <w:lvlJc w:val="left"/>
      <w:lvlText w:val="(%1)"/>
      <w:numFmt w:val="decimal"/>
      <w:start w:val="1"/>
    </w:lvl>
  </w:abstractNum>
  <w:abstractNum w:abstractNumId="7">
    <w:nsid w:val="66EF438D"/>
    <w:multiLevelType w:val="hybridMultilevel"/>
    <w:lvl w:ilvl="0">
      <w:lvlJc w:val="left"/>
      <w:lvlText w:val="(%1)"/>
      <w:numFmt w:val="decimal"/>
      <w:start w:val="1"/>
    </w:lvl>
  </w:abstractNum>
  <w:abstractNum w:abstractNumId="8">
    <w:nsid w:val="140E0F76"/>
    <w:multiLevelType w:val="hybridMultilevel"/>
    <w:lvl w:ilvl="0">
      <w:lvlJc w:val="left"/>
      <w:lvlText w:val="(%1)"/>
      <w:numFmt w:val="decimal"/>
      <w:start w:val="1"/>
    </w:lvl>
  </w:abstractNum>
  <w:abstractNum w:abstractNumId="9">
    <w:nsid w:val="3352255A"/>
    <w:multiLevelType w:val="hybridMultilevel"/>
    <w:lvl w:ilvl="0">
      <w:lvlJc w:val="left"/>
      <w:lvlText w:val="(%1)"/>
      <w:numFmt w:val="decimal"/>
      <w:start w:val="1"/>
    </w:lvl>
  </w:abstractNum>
  <w:abstractNum w:abstractNumId="10">
    <w:nsid w:val="109CF92E"/>
    <w:multiLevelType w:val="hybridMultilevel"/>
    <w:lvl w:ilvl="0">
      <w:lvlJc w:val="left"/>
      <w:lvlText w:val="•"/>
      <w:numFmt w:val="bullet"/>
      <w:start w:val="1"/>
    </w:lvl>
  </w:abstractNum>
  <w:abstractNum w:abstractNumId="11">
    <w:nsid w:val="DED7263"/>
    <w:multiLevelType w:val="hybridMultilevel"/>
    <w:lvl w:ilvl="0">
      <w:lvlJc w:val="left"/>
      <w:lvlText w:val="•"/>
      <w:numFmt w:val="bullet"/>
      <w:start w:val="1"/>
    </w:lvl>
  </w:abstractNum>
  <w:abstractNum w:abstractNumId="12">
    <w:nsid w:val="7FDCC233"/>
    <w:multiLevelType w:val="hybridMultilevel"/>
    <w:lvl w:ilvl="0">
      <w:lvlJc w:val="left"/>
      <w:lvlText w:val="(%1)"/>
      <w:numFmt w:val="decimal"/>
      <w:start w:val="1"/>
    </w:lvl>
  </w:abstractNum>
  <w:abstractNum w:abstractNumId="13">
    <w:nsid w:val="1BEFD79F"/>
    <w:multiLevelType w:val="hybridMultilevel"/>
    <w:lvl w:ilvl="0">
      <w:lvlJc w:val="left"/>
      <w:lvlText w:val="%1"/>
      <w:numFmt w:val="decimal"/>
      <w:start w:val="32"/>
    </w:lvl>
  </w:abstractNum>
  <w:abstractNum w:abstractNumId="14">
    <w:nsid w:val="41A7C4C9"/>
    <w:multiLevelType w:val="hybridMultilevel"/>
    <w:lvl w:ilvl="0">
      <w:lvlJc w:val="left"/>
      <w:lvlText w:val="%1."/>
      <w:numFmt w:val="decimal"/>
      <w:start w:val="1"/>
    </w:lvl>
    <w:lvl w:ilvl="1">
      <w:lvlJc w:val="left"/>
      <w:lvlText w:val="%2)"/>
      <w:numFmt w:val="lowerLetter"/>
      <w:start w:val="1"/>
    </w:lvl>
  </w:abstractNum>
  <w:abstractNum w:abstractNumId="15">
    <w:nsid w:val="6B68079A"/>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2019-12-05T16:35:43Z</dcterms:created>
  <dcterms:modified xsi:type="dcterms:W3CDTF">2019-12-05T16:35:43Z</dcterms:modified>
</cp:coreProperties>
</file>