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3" w:lineRule="exact"/>
        <w:rPr>
          <w:sz w:val="20"/>
          <w:szCs w:val="20"/>
          <w:color w:val="auto"/>
        </w:rPr>
      </w:pPr>
    </w:p>
    <w:p>
      <w:pPr>
        <w:ind w:left="800" w:hanging="596"/>
        <w:spacing w:after="0"/>
        <w:tabs>
          <w:tab w:leader="none" w:pos="8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2004</w:t>
      </w:r>
    </w:p>
    <w:p>
      <w:pPr>
        <w:spacing w:after="0" w:line="211" w:lineRule="exact"/>
        <w:rPr>
          <w:sz w:val="20"/>
          <w:szCs w:val="20"/>
          <w:color w:val="auto"/>
        </w:rPr>
      </w:pPr>
    </w:p>
    <w:p>
      <w:pPr>
        <w:ind w:left="800" w:hanging="556"/>
        <w:spacing w:after="0"/>
        <w:tabs>
          <w:tab w:leader="none" w:pos="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1" w:lineRule="exact"/>
        <w:rPr>
          <w:sz w:val="20"/>
          <w:szCs w:val="20"/>
          <w:color w:val="auto"/>
        </w:rPr>
      </w:pPr>
    </w:p>
    <w:p>
      <w:pPr>
        <w:ind w:left="800"/>
        <w:spacing w:after="0"/>
        <w:tabs>
          <w:tab w:leader="none" w:pos="3960" w:val="left"/>
          <w:tab w:leader="none" w:pos="49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-5080</wp:posOffset>
            </wp:positionV>
            <wp:extent cx="11811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1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Commission File Number: 0-21044</w:t>
      </w:r>
    </w:p>
    <w:p>
      <w:pPr>
        <w:spacing w:after="0" w:line="200" w:lineRule="exact"/>
        <w:rPr>
          <w:sz w:val="20"/>
          <w:szCs w:val="20"/>
          <w:color w:val="auto"/>
        </w:rPr>
      </w:pPr>
    </w:p>
    <w:p>
      <w:pPr>
        <w:spacing w:after="0" w:line="2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200" w:lineRule="exact"/>
        <w:rPr>
          <w:sz w:val="20"/>
          <w:szCs w:val="20"/>
          <w:color w:val="auto"/>
        </w:rPr>
      </w:pPr>
    </w:p>
    <w:p>
      <w:pPr>
        <w:spacing w:after="0" w:line="266"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66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560" w:type="dxa"/>
            <w:vAlign w:val="bottom"/>
          </w:tcPr>
          <w:p>
            <w:pPr>
              <w:spacing w:after="0"/>
              <w:rPr>
                <w:sz w:val="20"/>
                <w:szCs w:val="20"/>
                <w:color w:val="auto"/>
              </w:rPr>
            </w:pPr>
          </w:p>
        </w:tc>
      </w:tr>
      <w:tr>
        <w:trPr>
          <w:trHeight w:val="410"/>
        </w:trPr>
        <w:tc>
          <w:tcPr>
            <w:tcW w:w="6640" w:type="dxa"/>
            <w:vAlign w:val="bottom"/>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33-0204817</w:t>
            </w:r>
          </w:p>
        </w:tc>
      </w:tr>
      <w:tr>
        <w:trPr>
          <w:trHeight w:val="216"/>
        </w:trPr>
        <w:tc>
          <w:tcPr>
            <w:tcW w:w="6640" w:type="dxa"/>
            <w:vAlign w:val="bottom"/>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640" w:type="dxa"/>
            <w:vAlign w:val="bottom"/>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640" w:type="dxa"/>
            <w:vAlign w:val="bottom"/>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9"/>
              </w:rPr>
              <w:t>6101 Gateway Drive</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90630</w:t>
            </w:r>
          </w:p>
        </w:tc>
      </w:tr>
      <w:tr>
        <w:trPr>
          <w:trHeight w:val="216"/>
        </w:trPr>
        <w:tc>
          <w:tcPr>
            <w:tcW w:w="6640" w:type="dxa"/>
            <w:vAlign w:val="bottom"/>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w w:val="99"/>
              </w:rPr>
              <w:t>Cypress, California</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38"/>
        </w:trPr>
        <w:tc>
          <w:tcPr>
            <w:tcW w:w="6640" w:type="dxa"/>
            <w:vAlign w:val="bottom"/>
          </w:tcPr>
          <w:p>
            <w:pPr>
              <w:jc w:val="center"/>
              <w:ind w:right="35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60" w:type="dxa"/>
            <w:vAlign w:val="bottom"/>
          </w:tcPr>
          <w:p>
            <w:pPr>
              <w:spacing w:after="0"/>
              <w:rPr>
                <w:sz w:val="20"/>
                <w:szCs w:val="20"/>
                <w:color w:val="auto"/>
              </w:rPr>
            </w:pPr>
          </w:p>
        </w:tc>
      </w:tr>
    </w:tbl>
    <w:p>
      <w:pPr>
        <w:spacing w:after="0" w:line="15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(714) 820-1000</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3" w:lineRule="exact"/>
        <w:rPr>
          <w:sz w:val="20"/>
          <w:szCs w:val="20"/>
          <w:color w:val="auto"/>
        </w:rPr>
      </w:pPr>
    </w:p>
    <w:p>
      <w:pPr>
        <w:ind w:left="508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Securities Exchange Act of 1934).</w:t>
      </w:r>
    </w:p>
    <w:p>
      <w:pPr>
        <w:spacing w:after="0" w:line="170" w:lineRule="exact"/>
        <w:rPr>
          <w:sz w:val="20"/>
          <w:szCs w:val="20"/>
          <w:color w:val="auto"/>
        </w:rPr>
      </w:pPr>
    </w:p>
    <w:p>
      <w:pPr>
        <w:ind w:left="508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o</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13,575,226 shares of Common Stock, par value $.01 per share, of the registrant were outstanding on October 28,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258445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18" w:right="5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40" w:type="dxa"/>
            <w:vAlign w:val="bottom"/>
            <w:gridSpan w:val="4"/>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gridSpan w:val="2"/>
          </w:tcPr>
          <w:p>
            <w:pPr>
              <w:jc w:val="center"/>
              <w:ind w:right="4520"/>
              <w:spacing w:after="0"/>
              <w:rPr>
                <w:sz w:val="20"/>
                <w:szCs w:val="20"/>
                <w:color w:val="auto"/>
              </w:rPr>
            </w:pPr>
            <w:r>
              <w:rPr>
                <w:rFonts w:ascii="Times New Roman" w:cs="Times New Roman" w:eastAsia="Times New Roman" w:hAnsi="Times New Roman"/>
                <w:sz w:val="18"/>
                <w:szCs w:val="18"/>
                <w:color w:val="auto"/>
                <w:w w:val="99"/>
              </w:rPr>
              <w:t>INDEX</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51"/>
        </w:trPr>
        <w:tc>
          <w:tcPr>
            <w:tcW w:w="2900" w:type="dxa"/>
            <w:vAlign w:val="bottom"/>
            <w:gridSpan w:val="13"/>
            <w:vMerge w:val="restart"/>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PART I. FINANCIAL INFORMATION</w:t>
              </w:r>
            </w:hyperlink>
          </w:p>
        </w:tc>
        <w:tc>
          <w:tcPr>
            <w:tcW w:w="8120" w:type="dxa"/>
            <w:vAlign w:val="bottom"/>
            <w:gridSpan w:val="7"/>
            <w:vMerge w:val="restart"/>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900" w:type="dxa"/>
            <w:vAlign w:val="bottom"/>
            <w:tcBorders>
              <w:bottom w:val="single" w:sz="8" w:color="0000EE"/>
            </w:tcBorders>
            <w:gridSpan w:val="13"/>
            <w:vMerge w:val="continue"/>
          </w:tcPr>
          <w:p>
            <w:pPr>
              <w:spacing w:after="0"/>
              <w:rPr>
                <w:sz w:val="21"/>
                <w:szCs w:val="21"/>
                <w:color w:val="auto"/>
              </w:rPr>
            </w:pPr>
          </w:p>
        </w:tc>
        <w:tc>
          <w:tcPr>
            <w:tcW w:w="8120" w:type="dxa"/>
            <w:vAlign w:val="bottom"/>
            <w:gridSpan w:val="7"/>
            <w:vMerge w:val="continue"/>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Consolidated Financial Statements (Unaudited)</w:t>
              </w:r>
            </w:hyperlink>
          </w:p>
        </w:tc>
        <w:tc>
          <w:tcPr>
            <w:tcW w:w="7040" w:type="dxa"/>
            <w:vAlign w:val="bottom"/>
            <w:gridSpan w:val="4"/>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w:t>
              </w:r>
            </w:hyperlink>
          </w:p>
        </w:tc>
        <w:tc>
          <w:tcPr>
            <w:tcW w:w="8780" w:type="dxa"/>
            <w:vAlign w:val="bottom"/>
            <w:gridSpan w:val="11"/>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Income Statements</w:t>
              </w:r>
            </w:hyperlink>
          </w:p>
        </w:tc>
        <w:tc>
          <w:tcPr>
            <w:tcW w:w="8500" w:type="dxa"/>
            <w:vAlign w:val="bottom"/>
            <w:gridSpan w:val="9"/>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Cash Flows</w:t>
              </w:r>
            </w:hyperlink>
          </w:p>
        </w:tc>
        <w:tc>
          <w:tcPr>
            <w:tcW w:w="8000" w:type="dxa"/>
            <w:vAlign w:val="bottom"/>
            <w:gridSpan w:val="6"/>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Consolidated Financial Statements</w:t>
              </w:r>
            </w:hyperlink>
          </w:p>
        </w:tc>
        <w:tc>
          <w:tcPr>
            <w:tcW w:w="7720" w:type="dxa"/>
            <w:vAlign w:val="bottom"/>
            <w:gridSpan w:val="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4000" w:type="dxa"/>
            <w:vAlign w:val="bottom"/>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w:t>
              </w:r>
            </w:hyperlink>
          </w:p>
        </w:tc>
        <w:tc>
          <w:tcPr>
            <w:tcW w:w="180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Controls and Procedures</w:t>
              </w:r>
            </w:hyperlink>
          </w:p>
        </w:tc>
        <w:tc>
          <w:tcPr>
            <w:tcW w:w="8680" w:type="dxa"/>
            <w:vAlign w:val="bottom"/>
            <w:gridSpan w:val="10"/>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PART II. OTHER INFORMATION</w:t>
              </w:r>
            </w:hyperlink>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w:t>
              </w:r>
            </w:hyperlink>
          </w:p>
        </w:tc>
        <w:tc>
          <w:tcPr>
            <w:tcW w:w="1360" w:type="dxa"/>
            <w:vAlign w:val="bottom"/>
            <w:tcBorders>
              <w:top w:val="single" w:sz="8" w:color="0000EE"/>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Legal Proceedings</w:t>
              </w:r>
            </w:hyperlink>
          </w:p>
        </w:tc>
        <w:tc>
          <w:tcPr>
            <w:tcW w:w="680" w:type="dxa"/>
            <w:vAlign w:val="bottom"/>
            <w:tcBorders>
              <w:top w:val="single" w:sz="8" w:color="0000EE"/>
            </w:tcBorders>
            <w:gridSpan w:val="4"/>
          </w:tcPr>
          <w:p>
            <w:pPr>
              <w:spacing w:after="0"/>
              <w:rPr>
                <w:sz w:val="17"/>
                <w:szCs w:val="17"/>
                <w:color w:val="auto"/>
              </w:rPr>
            </w:pPr>
          </w:p>
        </w:tc>
        <w:tc>
          <w:tcPr>
            <w:tcW w:w="8440" w:type="dxa"/>
            <w:vAlign w:val="bottom"/>
            <w:gridSpan w:val="8"/>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2.</w:t>
              </w:r>
            </w:hyperlink>
          </w:p>
        </w:tc>
        <w:tc>
          <w:tcPr>
            <w:tcW w:w="438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Unregistered Sales of Equity Securities and Use of Proceeds</w:t>
              </w:r>
            </w:hyperlink>
          </w:p>
        </w:tc>
        <w:tc>
          <w:tcPr>
            <w:tcW w:w="6100" w:type="dxa"/>
            <w:vAlign w:val="bottom"/>
            <w:gridSpan w:val="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6.</w:t>
              </w:r>
            </w:hyperlink>
          </w:p>
        </w:tc>
        <w:tc>
          <w:tcPr>
            <w:tcW w:w="10480" w:type="dxa"/>
            <w:vAlign w:val="bottom"/>
            <w:gridSpan w:val="17"/>
          </w:tcPr>
          <w:p>
            <w:pPr>
              <w:ind w:left="20"/>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Exhibits</w:t>
              </w:r>
            </w:hyperlink>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Signatures</w:t>
              </w:r>
            </w:hyperlink>
          </w:p>
        </w:tc>
        <w:tc>
          <w:tcPr>
            <w:tcW w:w="9860" w:type="dxa"/>
            <w:vAlign w:val="bottom"/>
            <w:gridSpan w:val="13"/>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2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Exhibit Index</w:t>
              </w:r>
            </w:hyperlink>
          </w:p>
        </w:tc>
        <w:tc>
          <w:tcPr>
            <w:tcW w:w="10020" w:type="dxa"/>
            <w:vAlign w:val="bottom"/>
            <w:gridSpan w:val="15"/>
          </w:tcPr>
          <w:p>
            <w:pPr>
              <w:spacing w:after="0"/>
              <w:rPr>
                <w:sz w:val="17"/>
                <w:szCs w:val="17"/>
                <w:color w:val="auto"/>
              </w:rPr>
            </w:pPr>
          </w:p>
        </w:tc>
        <w:tc>
          <w:tcPr>
            <w:tcW w:w="4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 31.1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31.2</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EXHIBIT 32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3"/>
                <w:szCs w:val="13"/>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94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7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53,960</w:t>
            </w:r>
          </w:p>
        </w:tc>
        <w:tc>
          <w:tcPr>
            <w:tcW w:w="4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30,501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 net</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26,189</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Income tax receivable</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118,099</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113,187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Equipment, furniture and fixtures, net</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130,494</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126,167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79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7940" w:type="dxa"/>
            <w:vAlign w:val="bottom"/>
            <w:shd w:val="clear" w:color="auto" w:fill="EEEEEE"/>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420" w:type="dxa"/>
            <w:vAlign w:val="bottom"/>
            <w:shd w:val="clear" w:color="auto" w:fill="EEEEEE"/>
          </w:tcPr>
          <w:p>
            <w:pPr>
              <w:spacing w:after="0"/>
              <w:rPr>
                <w:sz w:val="18"/>
                <w:szCs w:val="18"/>
                <w:color w:val="auto"/>
              </w:rPr>
            </w:pPr>
          </w:p>
        </w:tc>
        <w:tc>
          <w:tcPr>
            <w:tcW w:w="9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income taxes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Accrued compensation</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accrued expenses</w:t>
            </w:r>
          </w:p>
        </w:tc>
        <w:tc>
          <w:tcPr>
            <w:tcW w:w="4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34,481</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30,996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4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4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40" w:type="dxa"/>
            <w:vAlign w:val="bottom"/>
            <w:shd w:val="clear" w:color="auto" w:fill="EEEEEE"/>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$.01 par value, 50,000,000 shares authorized; 16,578,486 and 16,404,485 shares</w:t>
            </w:r>
          </w:p>
        </w:tc>
        <w:tc>
          <w:tcPr>
            <w:tcW w:w="46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issued at September 30, 2004 and December 31, 2003, respectively</w:t>
            </w:r>
          </w:p>
        </w:tc>
        <w:tc>
          <w:tcPr>
            <w:tcW w:w="46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46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77,508</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(150)</w:t>
            </w: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41,574</w:t>
            </w: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Deferred stock-based compensation</w:t>
            </w:r>
          </w:p>
        </w:tc>
        <w:tc>
          <w:tcPr>
            <w:tcW w:w="4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3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79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cost of common stock in treasury, 3,040,400 and 2,598,670 shares at September 30, 2004 and</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2003, respectively</w:t>
            </w:r>
          </w:p>
        </w:tc>
        <w:tc>
          <w:tcPr>
            <w:tcW w:w="46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(23,085)</w:t>
            </w: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(17,233)</w:t>
            </w:r>
          </w:p>
        </w:tc>
        <w:tc>
          <w:tcPr>
            <w:tcW w:w="0" w:type="dxa"/>
            <w:vAlign w:val="bottom"/>
          </w:tcPr>
          <w:p>
            <w:pPr>
              <w:spacing w:after="0"/>
              <w:rPr>
                <w:sz w:val="1"/>
                <w:szCs w:val="1"/>
                <w:color w:val="auto"/>
              </w:rPr>
            </w:pPr>
          </w:p>
        </w:tc>
      </w:tr>
      <w:tr>
        <w:trPr>
          <w:trHeight w:val="223"/>
        </w:trPr>
        <w:tc>
          <w:tcPr>
            <w:tcW w:w="7940" w:type="dxa"/>
            <w:vAlign w:val="bottom"/>
            <w:shd w:val="clear" w:color="auto" w:fill="EEEEEE"/>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96,013</w:t>
            </w:r>
          </w:p>
        </w:tc>
        <w:tc>
          <w:tcPr>
            <w:tcW w:w="4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95,171</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130,494</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126,167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79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9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9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40,047</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30,300</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106,669</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84,931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24,254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18,467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65,333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52,111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15,793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11,833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32,820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10,656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29,451</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24,006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12,497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27,547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54"/>
              <w:spacing w:after="0"/>
              <w:rPr>
                <w:sz w:val="20"/>
                <w:szCs w:val="20"/>
                <w:color w:val="auto"/>
              </w:rPr>
            </w:pPr>
            <w:r>
              <w:rPr>
                <w:rFonts w:ascii="Times New Roman" w:cs="Times New Roman" w:eastAsia="Times New Roman" w:hAnsi="Times New Roman"/>
                <w:sz w:val="18"/>
                <w:szCs w:val="18"/>
                <w:color w:val="auto"/>
              </w:rPr>
              <w:t>(551)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28"/>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20"/>
                <w:szCs w:val="20"/>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980" w:type="dxa"/>
            <w:vAlign w:val="bottom"/>
            <w:shd w:val="clear" w:color="auto" w:fill="EEEEEE"/>
          </w:tcPr>
          <w:p>
            <w:pPr>
              <w:spacing w:after="0"/>
              <w:rPr>
                <w:sz w:val="3"/>
                <w:szCs w:val="3"/>
                <w:color w:val="auto"/>
              </w:rPr>
            </w:pPr>
          </w:p>
        </w:tc>
        <w:tc>
          <w:tcPr>
            <w:tcW w:w="300" w:type="dxa"/>
            <w:vAlign w:val="bottom"/>
            <w:tcBorders>
              <w:right w:val="single" w:sz="8" w:color="808080"/>
            </w:tcBorders>
            <w:shd w:val="clear" w:color="auto" w:fill="EEEEEE"/>
          </w:tcPr>
          <w:p>
            <w:pPr>
              <w:spacing w:after="0"/>
              <w:rPr>
                <w:sz w:val="3"/>
                <w:szCs w:val="3"/>
                <w:color w:val="auto"/>
              </w:rPr>
            </w:pPr>
          </w:p>
        </w:tc>
        <w:tc>
          <w:tcPr>
            <w:tcW w:w="500" w:type="dxa"/>
            <w:vAlign w:val="bottom"/>
            <w:tcBorders>
              <w:bottom w:val="single" w:sz="8" w:color="808080"/>
              <w:right w:val="single" w:sz="8" w:color="808080"/>
            </w:tcBorders>
            <w:shd w:val="clear" w:color="auto" w:fill="808080"/>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600" w:type="dxa"/>
            <w:vAlign w:val="bottom"/>
            <w:tcBorders>
              <w:bottom w:val="single" w:sz="8" w:color="808080"/>
              <w:right w:val="single" w:sz="8" w:color="808080"/>
            </w:tcBorders>
            <w:shd w:val="clear" w:color="auto" w:fill="808080"/>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00" w:type="dxa"/>
            <w:vAlign w:val="bottom"/>
            <w:tcBorders>
              <w:bottom w:val="single" w:sz="8" w:color="808080"/>
            </w:tcBorders>
            <w:shd w:val="clear" w:color="auto" w:fill="808080"/>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980" w:type="dxa"/>
            <w:vAlign w:val="bottom"/>
            <w:tcBorders>
              <w:bottom w:val="single" w:sz="8" w:color="EEEEEE"/>
            </w:tcBorders>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5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13,496</w:t>
            </w:r>
          </w:p>
        </w:tc>
        <w:tc>
          <w:tcPr>
            <w:tcW w:w="28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13,751</w:t>
            </w: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13,566</w:t>
            </w:r>
          </w:p>
        </w:tc>
        <w:tc>
          <w:tcPr>
            <w:tcW w:w="36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13,648</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14,029</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14,145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13,937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issued to employee benefit plan</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Stock-based compensation plan</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Loss on disposal of fixed assets</w:t>
            </w:r>
          </w:p>
        </w:tc>
        <w:tc>
          <w:tcPr>
            <w:tcW w:w="260" w:type="dxa"/>
            <w:vAlign w:val="bottom"/>
          </w:tcPr>
          <w:p>
            <w:pPr>
              <w:spacing w:after="0"/>
              <w:rPr>
                <w:sz w:val="17"/>
                <w:szCs w:val="17"/>
                <w:color w:val="auto"/>
              </w:rPr>
            </w:pPr>
          </w:p>
        </w:tc>
        <w:tc>
          <w:tcPr>
            <w:tcW w:w="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254</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Write-down of investment</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(6,822)</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(698)</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income and other taxes</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(691)</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for) provided by investing activities:</w:t>
            </w:r>
          </w:p>
        </w:tc>
        <w:tc>
          <w:tcPr>
            <w:tcW w:w="26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w w:val="97"/>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 of short-term investments</w:t>
            </w:r>
          </w:p>
        </w:tc>
        <w:tc>
          <w:tcPr>
            <w:tcW w:w="26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Acquisition of equipment, furniture and fixtures</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(1,897)</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Net cash (used for) provided by investing activities</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(4,697)</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20,087</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260" w:type="dxa"/>
            <w:vAlign w:val="bottom"/>
          </w:tcPr>
          <w:p>
            <w:pPr>
              <w:spacing w:after="0"/>
              <w:rPr>
                <w:sz w:val="20"/>
                <w:szCs w:val="20"/>
                <w:color w:val="auto"/>
              </w:rPr>
            </w:pPr>
          </w:p>
        </w:tc>
        <w:tc>
          <w:tcPr>
            <w:tcW w:w="50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Treasury stock purchase</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(5,852)</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Payment on note payable</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2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(4,488)</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(252)</w:t>
            </w: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(4,521)</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58,481</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53,960</w:t>
            </w:r>
          </w:p>
        </w:tc>
        <w:tc>
          <w:tcPr>
            <w:tcW w:w="4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all subsidiaries after elimination of all material intercompany accounts and transactions.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These financial statements should be read in conjunction with the consolidated financial statements and related notes contained in the Company’s 2003 Annual Report on Form 10-K. The financial information presented in the accompanying statements reflects all adjustments that are, in the opinion of management, necessary for a fair presentation of the periods indicated. All such adjustments are of a normal recurring nature.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judgments that affect the reported amounts of assets and liabilities, disclosure of contingent assets and liabilities at the date of the financial statements and the reported amounts of revenues and expenses during the reporting period. Actual results could differ from those estimates. On an on-going basis, the Company evaluates its estimates and judgments, including those related to revenue recognition, allowance for sales returns and doubtful accounts, inventory valuation, valuation of long-lived assets, intangible assets and goodwill, and income taxes.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applies the provisions of Accounting Principles Board Opinion No. 25 in accounting for stock-based employee compensation; therefore, no compensation expense has been recognized for its fixed stock option plans as options are granted at fair market value on the date of the grant. In accordance with SFAS No. 123, “Accounting for Stock-Based Compensation,” as amended by SFAS No. 148, “Accounting for Stock-Based Compensation — Transition and Disclosure,” the Company adopted the disclosure requirements of this Statement.</w:t>
      </w:r>
    </w:p>
    <w:p>
      <w:pPr>
        <w:spacing w:after="0" w:line="14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has provided below the pro forma disclosures of the effect on net income and earnings per share as if SFAS No. 123 had been applied in measuring compensation expense for all periods presented. The following table illustrates, pursuant to SFAS No. 123, as amended by SFAS No. 148, the effect on net income and related earnings per share, had compensation cost for stock based-compensation plans been determined based on the fair value method prescribed under SFAS No. 123. (In thousands, except per share amounts).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reported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c>
          <w:tcPr>
            <w:tcW w:w="10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1,667</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520" w:type="dxa"/>
            <w:vAlign w:val="bottom"/>
          </w:tcPr>
          <w:p>
            <w:pPr>
              <w:spacing w:after="0"/>
              <w:rPr>
                <w:sz w:val="18"/>
                <w:szCs w:val="18"/>
                <w:color w:val="auto"/>
              </w:rPr>
            </w:pP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shd w:val="clear" w:color="auto" w:fill="EEEEEE"/>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Total stock-based employee compensation expense</w:t>
            </w:r>
          </w:p>
        </w:tc>
        <w:tc>
          <w:tcPr>
            <w:tcW w:w="2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6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440" w:type="dxa"/>
            <w:vAlign w:val="bottom"/>
            <w:tcBorders>
              <w:right w:val="single" w:sz="8" w:color="EEEEEE"/>
            </w:tcBorders>
            <w:shd w:val="clear" w:color="auto" w:fill="EEEEEE"/>
          </w:tcPr>
          <w:p>
            <w:pPr>
              <w:spacing w:after="0"/>
              <w:rPr>
                <w:sz w:val="17"/>
                <w:szCs w:val="17"/>
                <w:color w:val="auto"/>
              </w:rPr>
            </w:pPr>
          </w:p>
        </w:tc>
        <w:tc>
          <w:tcPr>
            <w:tcW w:w="48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determined under the fair value based method for all</w:t>
            </w:r>
          </w:p>
        </w:tc>
        <w:tc>
          <w:tcPr>
            <w:tcW w:w="2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awards, net of related tax effects</w:t>
            </w:r>
          </w:p>
        </w:tc>
        <w:tc>
          <w:tcPr>
            <w:tcW w:w="280" w:type="dxa"/>
            <w:vAlign w:val="bottom"/>
            <w:tcBorders>
              <w:right w:val="single" w:sz="8" w:color="EEEEEE"/>
            </w:tcBorders>
            <w:shd w:val="clear" w:color="auto" w:fill="EEEEEE"/>
          </w:tcPr>
          <w:p>
            <w:pPr>
              <w:spacing w:after="0"/>
              <w:rPr>
                <w:sz w:val="20"/>
                <w:szCs w:val="20"/>
                <w:color w:val="auto"/>
              </w:rPr>
            </w:pPr>
          </w:p>
        </w:tc>
        <w:tc>
          <w:tcPr>
            <w:tcW w:w="5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(795)</w:t>
            </w:r>
          </w:p>
        </w:tc>
        <w:tc>
          <w:tcPr>
            <w:tcW w:w="4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98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w w:val="91"/>
              </w:rPr>
              <w:t>(1,998)</w:t>
            </w:r>
          </w:p>
        </w:tc>
        <w:tc>
          <w:tcPr>
            <w:tcW w:w="540" w:type="dxa"/>
            <w:vAlign w:val="bottom"/>
            <w:shd w:val="clear" w:color="auto" w:fill="EEEEEE"/>
          </w:tcPr>
          <w:p>
            <w:pPr>
              <w:spacing w:after="0"/>
              <w:rPr>
                <w:sz w:val="20"/>
                <w:szCs w:val="20"/>
                <w:color w:val="auto"/>
              </w:rPr>
            </w:pPr>
          </w:p>
        </w:tc>
        <w:tc>
          <w:tcPr>
            <w:tcW w:w="440" w:type="dxa"/>
            <w:vAlign w:val="bottom"/>
            <w:tcBorders>
              <w:right w:val="single" w:sz="8" w:color="EEEEEE"/>
            </w:tcBorders>
            <w:shd w:val="clear" w:color="auto" w:fill="EEEEEE"/>
          </w:tcPr>
          <w:p>
            <w:pPr>
              <w:spacing w:after="0"/>
              <w:rPr>
                <w:sz w:val="20"/>
                <w:szCs w:val="20"/>
                <w:color w:val="auto"/>
              </w:rPr>
            </w:pPr>
          </w:p>
        </w:tc>
        <w:tc>
          <w:tcPr>
            <w:tcW w:w="100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w w:val="95"/>
              </w:rPr>
              <w:t>(2,380)</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3"/>
              </w:rPr>
              <w:t>1,274</w:t>
            </w:r>
          </w:p>
        </w:tc>
        <w:tc>
          <w:tcPr>
            <w:tcW w:w="10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3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520" w:type="dxa"/>
            <w:vAlign w:val="bottom"/>
          </w:tcPr>
          <w:p>
            <w:pPr>
              <w:spacing w:after="0"/>
              <w:rPr>
                <w:sz w:val="19"/>
                <w:szCs w:val="19"/>
                <w:color w:val="auto"/>
              </w:rPr>
            </w:pP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reported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520" w:type="dxa"/>
            <w:vAlign w:val="bottom"/>
          </w:tcPr>
          <w:p>
            <w:pPr>
              <w:spacing w:after="0"/>
              <w:rPr>
                <w:sz w:val="20"/>
                <w:szCs w:val="20"/>
                <w:color w:val="auto"/>
              </w:rPr>
            </w:pPr>
          </w:p>
        </w:tc>
        <w:tc>
          <w:tcPr>
            <w:tcW w:w="98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31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64"/>
        </w:trPr>
        <w:tc>
          <w:tcPr>
            <w:tcW w:w="516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r>
      <w:tr>
        <w:trPr>
          <w:trHeight w:val="227"/>
        </w:trPr>
        <w:tc>
          <w:tcPr>
            <w:tcW w:w="5160" w:type="dxa"/>
            <w:vAlign w:val="bottom"/>
          </w:tcPr>
          <w:p>
            <w:pPr>
              <w:spacing w:after="0"/>
              <w:rPr>
                <w:sz w:val="19"/>
                <w:szCs w:val="19"/>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18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64"/>
        </w:trPr>
        <w:tc>
          <w:tcPr>
            <w:tcW w:w="516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r>
      <w:tr>
        <w:trPr>
          <w:trHeight w:val="61"/>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216"/>
        </w:trPr>
        <w:tc>
          <w:tcPr>
            <w:tcW w:w="516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Pro forma</w:t>
            </w:r>
          </w:p>
        </w:tc>
        <w:tc>
          <w:tcPr>
            <w:tcW w:w="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$0.09</w:t>
            </w:r>
          </w:p>
        </w:tc>
        <w:tc>
          <w:tcPr>
            <w:tcW w:w="162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$0.06</w:t>
            </w:r>
          </w:p>
        </w:tc>
        <w:tc>
          <w:tcPr>
            <w:tcW w:w="1800" w:type="dxa"/>
            <w:vAlign w:val="bottom"/>
            <w:gridSpan w:val="2"/>
            <w:shd w:val="clear" w:color="auto" w:fill="EEEEEE"/>
          </w:tcPr>
          <w:p>
            <w:pPr>
              <w:jc w:val="right"/>
              <w:ind w:right="488"/>
              <w:spacing w:after="0"/>
              <w:rPr>
                <w:sz w:val="20"/>
                <w:szCs w:val="20"/>
                <w:color w:val="auto"/>
              </w:rPr>
            </w:pPr>
            <w:r>
              <w:rPr>
                <w:rFonts w:ascii="Times New Roman" w:cs="Times New Roman" w:eastAsia="Times New Roman" w:hAnsi="Times New Roman"/>
                <w:sz w:val="18"/>
                <w:szCs w:val="18"/>
                <w:color w:val="auto"/>
              </w:rPr>
              <w:t>$0.25</w:t>
            </w:r>
          </w:p>
        </w:tc>
        <w:tc>
          <w:tcPr>
            <w:tcW w:w="1860" w:type="dxa"/>
            <w:vAlign w:val="bottom"/>
            <w:gridSpan w:val="2"/>
            <w:shd w:val="clear" w:color="auto" w:fill="EEEEEE"/>
          </w:tcPr>
          <w:p>
            <w:pPr>
              <w:jc w:val="right"/>
              <w:ind w:right="56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16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As reported</w:t>
            </w:r>
          </w:p>
        </w:tc>
        <w:tc>
          <w:tcPr>
            <w:tcW w:w="9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$0.14</w:t>
            </w:r>
          </w:p>
        </w:tc>
        <w:tc>
          <w:tcPr>
            <w:tcW w:w="1620" w:type="dxa"/>
            <w:vAlign w:val="bottom"/>
            <w:gridSpan w:val="2"/>
            <w:shd w:val="clear" w:color="auto" w:fill="EEEEEE"/>
          </w:tcPr>
          <w:p>
            <w:pPr>
              <w:jc w:val="right"/>
              <w:ind w:right="400"/>
              <w:spacing w:after="0"/>
              <w:rPr>
                <w:sz w:val="20"/>
                <w:szCs w:val="20"/>
                <w:color w:val="auto"/>
              </w:rPr>
            </w:pPr>
            <w:r>
              <w:rPr>
                <w:rFonts w:ascii="Times New Roman" w:cs="Times New Roman" w:eastAsia="Times New Roman" w:hAnsi="Times New Roman"/>
                <w:sz w:val="18"/>
                <w:szCs w:val="18"/>
                <w:color w:val="auto"/>
              </w:rPr>
              <w:t>$0.12</w:t>
            </w:r>
          </w:p>
        </w:tc>
        <w:tc>
          <w:tcPr>
            <w:tcW w:w="1800" w:type="dxa"/>
            <w:vAlign w:val="bottom"/>
            <w:gridSpan w:val="2"/>
            <w:shd w:val="clear" w:color="auto" w:fill="EEEEEE"/>
          </w:tcPr>
          <w:p>
            <w:pPr>
              <w:jc w:val="right"/>
              <w:ind w:right="488"/>
              <w:spacing w:after="0"/>
              <w:rPr>
                <w:sz w:val="20"/>
                <w:szCs w:val="20"/>
                <w:color w:val="auto"/>
              </w:rPr>
            </w:pPr>
            <w:r>
              <w:rPr>
                <w:rFonts w:ascii="Times New Roman" w:cs="Times New Roman" w:eastAsia="Times New Roman" w:hAnsi="Times New Roman"/>
                <w:sz w:val="18"/>
                <w:szCs w:val="18"/>
                <w:color w:val="auto"/>
              </w:rPr>
              <w:t>$0.39</w:t>
            </w:r>
          </w:p>
        </w:tc>
        <w:tc>
          <w:tcPr>
            <w:tcW w:w="1860" w:type="dxa"/>
            <w:vAlign w:val="bottom"/>
            <w:gridSpan w:val="2"/>
            <w:shd w:val="clear" w:color="auto" w:fill="EEEEEE"/>
          </w:tcPr>
          <w:p>
            <w:pPr>
              <w:jc w:val="right"/>
              <w:ind w:right="560"/>
              <w:spacing w:after="0"/>
              <w:rPr>
                <w:sz w:val="20"/>
                <w:szCs w:val="20"/>
                <w:color w:val="auto"/>
              </w:rPr>
            </w:pPr>
            <w:r>
              <w:rPr>
                <w:rFonts w:ascii="Times New Roman" w:cs="Times New Roman" w:eastAsia="Times New Roman" w:hAnsi="Times New Roman"/>
                <w:sz w:val="18"/>
                <w:szCs w:val="18"/>
                <w:color w:val="auto"/>
              </w:rPr>
              <w:t>$0.27</w:t>
            </w:r>
          </w:p>
        </w:tc>
      </w:tr>
      <w:tr>
        <w:trPr>
          <w:trHeight w:val="234"/>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 forma</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$0.09</w:t>
            </w: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$0.06</w:t>
            </w:r>
          </w:p>
        </w:tc>
        <w:tc>
          <w:tcPr>
            <w:tcW w:w="1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$0.24</w:t>
            </w: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$0.10</w:t>
            </w:r>
          </w:p>
        </w:tc>
      </w:tr>
    </w:tbl>
    <w:p>
      <w:pPr>
        <w:spacing w:after="0" w:line="15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fair value of options at date of grant was estimated using the Black-Scholes model. There were 12,000 options granted during the three months ended September 30, 2004. The following assumptions were used for the grants during the three months ended September 30, 2004: risk-free interest rate of approximately 3.7%, expected volatility of 62.1%, expected life of five years; and the common stock will pay no dividends. The per-share weighted average grant date fair values of the options granted during the three months ended September 30, 2004 was $14.54. There were no grants during the three months ended September 30, 2003.</w:t>
      </w:r>
    </w:p>
    <w:p>
      <w:pPr>
        <w:spacing w:after="0" w:line="1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assumptions were used for the grants during the nine months ended September 30, 2004: risk-free interest rate of approximately 2.9%, expected volatility of 59.6%, expected life of five years; and the common stock will pay no dividends. The per-share weighted average grant date fair values of the options granted during the nine months ended September 30, 2004 was $12.80. The following assumptions were used for the grants during the nine months ended September 30, 2003: risk-free interest rate of approximately 2.9%, expected volatility of approximately 63.9%, expected life of five years; and the common stock will pay no dividends.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w:t>
      </w:r>
    </w:p>
    <w:p>
      <w:pPr>
        <w:spacing w:after="0" w:line="202" w:lineRule="exact"/>
        <w:rPr>
          <w:sz w:val="20"/>
          <w:szCs w:val="20"/>
          <w:color w:val="auto"/>
        </w:rPr>
      </w:pPr>
    </w:p>
    <w:p>
      <w:pPr>
        <w:ind w:right="900"/>
        <w:spacing w:after="0" w:line="454" w:lineRule="auto"/>
        <w:rPr>
          <w:sz w:val="20"/>
          <w:szCs w:val="20"/>
          <w:color w:val="auto"/>
        </w:rPr>
      </w:pPr>
      <w:r>
        <w:rPr>
          <w:rFonts w:ascii="Times New Roman" w:cs="Times New Roman" w:eastAsia="Times New Roman" w:hAnsi="Times New Roman"/>
          <w:sz w:val="18"/>
          <w:szCs w:val="18"/>
          <w:color w:val="auto"/>
        </w:rPr>
        <w:t xml:space="preserve">The Company has a $2.0 million certificate of deposit with a six-month original maturity. The deposit earns interest at a rate of 1.48% per annum. </w:t>
      </w:r>
      <w:r>
        <w:rPr>
          <w:rFonts w:ascii="Times New Roman" w:cs="Times New Roman" w:eastAsia="Times New Roman" w:hAnsi="Times New Roman"/>
          <w:sz w:val="18"/>
          <w:szCs w:val="18"/>
          <w:b w:val="1"/>
          <w:bCs w:val="1"/>
          <w:color w:val="auto"/>
        </w:rPr>
        <w:t>Accounts Receivable</w:t>
      </w:r>
    </w:p>
    <w:p>
      <w:pPr>
        <w:ind w:right="100"/>
        <w:spacing w:after="0" w:line="313" w:lineRule="auto"/>
        <w:rPr>
          <w:sz w:val="20"/>
          <w:szCs w:val="20"/>
          <w:color w:val="auto"/>
        </w:rPr>
      </w:pPr>
      <w:r>
        <w:rPr>
          <w:rFonts w:ascii="Times New Roman" w:cs="Times New Roman" w:eastAsia="Times New Roman" w:hAnsi="Times New Roman"/>
          <w:sz w:val="17"/>
          <w:szCs w:val="17"/>
          <w:color w:val="auto"/>
        </w:rPr>
        <w:t>Accounts receivable subject the Company to a concentration of credit risk. The risk is mitigated due to the large number of customers comprising the Company’s customer base, the relative size and strength of most of the Company’s customers and the Company’s performance of ongoing credit evaluations.</w:t>
      </w:r>
    </w:p>
    <w:p>
      <w:pPr>
        <w:spacing w:after="0" w:line="1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had one significant customer with sales of $4.6 million and $4.0 million representing 11.4% and 13.2% of net sales for the three months ended September 30, 2004 and 2003, respectively. Accounts receivable with this customer amounted to $2.2 million or 7.1% and $2.7 million or 9.0% of the total accounts receivable at September 30, 2004 and December 31, 2003, respectively. Sales to the same customer were $12.4 million and $14.2 million representing 11.6% and 16.7% of net sales for the nine months ended September 30, 2004 and 2003,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Suppliers</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Most of the components used in the Company’s products are available from multiple sources; however, the Company has elected to purchase integrated circuit components used in its products, principally its wireless control products, and certain other components used in its products, from two main sources, each of which provides in excess of ten percent (10%) of the microprocessors used in the Company’s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Inventories consisting of wireless control devices, including universal remote controls, wireless keyboards, antennas, and related component parts, are valued at the lower of cost or market. Cost is determined using the first-in, first-out method. The Company writes down its inventory for estimated obsolescence or unmarketable inventory equal to the difference between the cost of inventory and the estimated market value based upon assumptions about the future demand and market conditions. Net inventories consist of the following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40" w:type="dxa"/>
            <w:vAlign w:val="bottom"/>
          </w:tcPr>
          <w:p>
            <w:pPr>
              <w:spacing w:after="0"/>
              <w:rPr>
                <w:sz w:val="16"/>
                <w:szCs w:val="16"/>
                <w:color w:val="auto"/>
              </w:rPr>
            </w:pPr>
          </w:p>
        </w:tc>
        <w:tc>
          <w:tcPr>
            <w:tcW w:w="17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5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580" w:type="dxa"/>
            <w:vAlign w:val="bottom"/>
            <w:vMerge w:val="restart"/>
          </w:tcPr>
          <w:p>
            <w:pPr>
              <w:spacing w:after="0"/>
              <w:rPr>
                <w:sz w:val="5"/>
                <w:szCs w:val="5"/>
                <w:color w:val="auto"/>
              </w:rPr>
            </w:pPr>
          </w:p>
        </w:tc>
        <w:tc>
          <w:tcPr>
            <w:tcW w:w="2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Components</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6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62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00" w:type="dxa"/>
            <w:vAlign w:val="bottom"/>
          </w:tcPr>
          <w:p>
            <w:pPr>
              <w:spacing w:after="0"/>
              <w:rPr>
                <w:sz w:val="20"/>
                <w:szCs w:val="20"/>
                <w:color w:val="auto"/>
              </w:rPr>
            </w:pPr>
          </w:p>
        </w:tc>
        <w:tc>
          <w:tcPr>
            <w:tcW w:w="5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16,932</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6"/>
              </w:rPr>
              <w:t>11,793</w:t>
            </w:r>
          </w:p>
        </w:tc>
        <w:tc>
          <w:tcPr>
            <w:tcW w:w="6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6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26,189</w:t>
            </w:r>
          </w:p>
        </w:tc>
        <w:tc>
          <w:tcPr>
            <w:tcW w:w="6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19,386</w:t>
            </w:r>
          </w:p>
        </w:tc>
        <w:tc>
          <w:tcPr>
            <w:tcW w:w="62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5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right w:val="single" w:sz="8" w:color="808080"/>
            </w:tcBorders>
            <w:shd w:val="clear" w:color="auto" w:fill="808080"/>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6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2004 inventory write-downs totaled $0.6 million and $2.8 million, respectively. Inventory write-downs are a normal part of the Company’s business, and result primarily from product life cycle estimation variances.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Included in other assets, as of September 30, 2004 and December 31, 2003, is a cost investment in a private company with a carrying value of $3,000 and $360,000, respectively. The Company accounts for this investment, which does not have a readily determinable fair value, using the cost method, as the Company’s investment is less than 20% and the Company is unable to exercise significant influence over the investee, and the Company is not a primary beneficiary. Under the cost method, investments are carried at cost and adjusted only for other-than-temporary declines in fair value, distributions of earnings or additional investments. The Company performed an impairment review and determined that this asset has realized an other than temporary decline during the third quarter of 2004. Accordingly, the value of the investment was written down to its net realizable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estimated effective tax rate for the year to determine its provision for income taxes. The Company recorded income tax expense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for the three months ended September 30, 2004 compared to $0.9 million for the same period last year. The Company’s estimated effective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was 35.9% and 34.0% during the three months ended September 30, 2004 and 2003, respectively. The Company recorded income tax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million for the nine months ended September 30, 2004 compared to $2.0 million for the same period last year. The Company’s estimated effective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was 34.7% and 34.0% during the nine months ended September 30, 2004 and 2003,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is computed by dividing net income available to common stockholders by the weighted average number of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Diluted earnings per share is computed by dividing net income by the weighted average number of common shares outstanding and dilutive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common shares, which includes the dilutive effect of stock options and restricted stock grants. Dilutive potential common shares for all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are computed utilizing the treasury stock method. In the computation of diluted earnings per common share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2004 and 2003, approximately 554,000 and 1,037,000 stock options, respectively, with exercise prices greater than the average market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common stock were excluded because their inclusion would have been antidilutive. In the computation of diluted earnings per common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2004 and 2003, approximately 993,000 and 1,041,000 stock options, respectively, with exercise prices greater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market price of the underlying common stock were excluded because their inclusion would have been antidilutive.</w:t>
      </w:r>
    </w:p>
    <w:p>
      <w:pPr>
        <w:spacing w:after="0" w:line="1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Earnings per share for the three and nine months ended September 30, 2004 and 2003 are calculated as follows (in thousands, except per-share amounts):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220" w:type="dxa"/>
            <w:vAlign w:val="bottom"/>
          </w:tcPr>
          <w:p>
            <w:pPr>
              <w:spacing w:after="0"/>
              <w:rPr>
                <w:sz w:val="20"/>
                <w:szCs w:val="20"/>
                <w:color w:val="auto"/>
              </w:rPr>
            </w:pPr>
          </w:p>
        </w:tc>
        <w:tc>
          <w:tcPr>
            <w:tcW w:w="17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8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80" w:type="dxa"/>
            <w:vAlign w:val="bottom"/>
            <w:shd w:val="clear" w:color="auto" w:fill="EEEEEE"/>
          </w:tcPr>
          <w:p>
            <w:pPr>
              <w:ind w:left="6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00" w:type="dxa"/>
            <w:vAlign w:val="bottom"/>
            <w:tcBorders>
              <w:bottom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0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13,496</w:t>
            </w:r>
          </w:p>
        </w:tc>
        <w:tc>
          <w:tcPr>
            <w:tcW w:w="8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EEEEEE"/>
            </w:tcBorders>
            <w:shd w:val="clear" w:color="auto" w:fill="EEEEEE"/>
          </w:tcPr>
          <w:p>
            <w:pPr>
              <w:spacing w:after="0"/>
              <w:rPr>
                <w:sz w:val="22"/>
                <w:szCs w:val="22"/>
                <w:color w:val="auto"/>
              </w:rPr>
            </w:pPr>
          </w:p>
        </w:tc>
        <w:tc>
          <w:tcPr>
            <w:tcW w:w="10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13,751</w:t>
            </w:r>
          </w:p>
        </w:tc>
        <w:tc>
          <w:tcPr>
            <w:tcW w:w="280" w:type="dxa"/>
            <w:vAlign w:val="bottom"/>
            <w:tcBorders>
              <w:left w:val="single" w:sz="8" w:color="EEEEEE"/>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60" w:type="dxa"/>
            <w:vAlign w:val="bottom"/>
            <w:tcBorders>
              <w:left w:val="single" w:sz="8" w:color="EEEEEE"/>
              <w:bottom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13,566</w:t>
            </w:r>
          </w:p>
        </w:tc>
        <w:tc>
          <w:tcPr>
            <w:tcW w:w="100" w:type="dxa"/>
            <w:vAlign w:val="bottom"/>
            <w:tcBorders>
              <w:bottom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EEEEEE"/>
              <w:right w:val="single" w:sz="8" w:color="EEEEEE"/>
            </w:tcBorders>
            <w:shd w:val="clear" w:color="auto" w:fill="EEEEEE"/>
          </w:tcPr>
          <w:p>
            <w:pPr>
              <w:spacing w:after="0"/>
              <w:rPr>
                <w:sz w:val="22"/>
                <w:szCs w:val="22"/>
                <w:color w:val="auto"/>
              </w:rPr>
            </w:pPr>
          </w:p>
        </w:tc>
        <w:tc>
          <w:tcPr>
            <w:tcW w:w="16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right w:val="single" w:sz="8" w:color="EEEEEE"/>
            </w:tcBorders>
            <w:shd w:val="clear" w:color="auto" w:fill="EEEEEE"/>
          </w:tcPr>
          <w:p>
            <w:pPr>
              <w:spacing w:after="0"/>
              <w:rPr>
                <w:sz w:val="22"/>
                <w:szCs w:val="22"/>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13,648</w:t>
            </w:r>
          </w:p>
        </w:tc>
        <w:tc>
          <w:tcPr>
            <w:tcW w:w="6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280" w:type="dxa"/>
            <w:vAlign w:val="bottom"/>
            <w:shd w:val="clear" w:color="auto" w:fill="EEEEEE"/>
          </w:tcPr>
          <w:p>
            <w:pPr>
              <w:ind w:left="4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40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13,496</w:t>
            </w:r>
          </w:p>
        </w:tc>
        <w:tc>
          <w:tcPr>
            <w:tcW w:w="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13,751</w:t>
            </w:r>
          </w:p>
        </w:tc>
        <w:tc>
          <w:tcPr>
            <w:tcW w:w="28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tcBorders>
              <w:lef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13,566</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13,648</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400" w:type="dxa"/>
            <w:vAlign w:val="bottom"/>
          </w:tcPr>
          <w:p>
            <w:pPr>
              <w:spacing w:after="0"/>
              <w:rPr>
                <w:sz w:val="18"/>
                <w:szCs w:val="18"/>
                <w:color w:val="auto"/>
              </w:rPr>
            </w:pPr>
          </w:p>
        </w:tc>
        <w:tc>
          <w:tcPr>
            <w:tcW w:w="500" w:type="dxa"/>
            <w:vAlign w:val="bottom"/>
            <w:tcBorders>
              <w:bottom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bottom w:val="single" w:sz="8" w:color="808080"/>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on a diluted</w:t>
            </w:r>
          </w:p>
        </w:tc>
        <w:tc>
          <w:tcPr>
            <w:tcW w:w="4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0" w:type="dxa"/>
            <w:vAlign w:val="bottom"/>
            <w:tcBorders>
              <w:lef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700" w:type="dxa"/>
            <w:vAlign w:val="bottom"/>
            <w:tcBorders>
              <w:bottom w:val="single" w:sz="8" w:color="EEEEEE"/>
            </w:tcBorders>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basis</w:t>
            </w:r>
          </w:p>
        </w:tc>
        <w:tc>
          <w:tcPr>
            <w:tcW w:w="400" w:type="dxa"/>
            <w:vAlign w:val="bottom"/>
            <w:tcBorders>
              <w:bottom w:val="single" w:sz="8" w:color="EEEEEE"/>
            </w:tcBorders>
            <w:shd w:val="clear" w:color="auto" w:fill="EEEEEE"/>
          </w:tcPr>
          <w:p>
            <w:pPr>
              <w:spacing w:after="0"/>
              <w:rPr>
                <w:sz w:val="23"/>
                <w:szCs w:val="23"/>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14,029</w:t>
            </w:r>
          </w:p>
        </w:tc>
        <w:tc>
          <w:tcPr>
            <w:tcW w:w="80" w:type="dxa"/>
            <w:vAlign w:val="bottom"/>
            <w:tcBorders>
              <w:bottom w:val="single" w:sz="8" w:color="EEEEEE"/>
            </w:tcBorders>
            <w:shd w:val="clear" w:color="auto" w:fill="EEEEEE"/>
          </w:tcPr>
          <w:p>
            <w:pPr>
              <w:spacing w:after="0"/>
              <w:rPr>
                <w:sz w:val="23"/>
                <w:szCs w:val="23"/>
                <w:color w:val="auto"/>
              </w:rPr>
            </w:pPr>
          </w:p>
        </w:tc>
        <w:tc>
          <w:tcPr>
            <w:tcW w:w="400" w:type="dxa"/>
            <w:vAlign w:val="bottom"/>
            <w:tcBorders>
              <w:bottom w:val="single" w:sz="8" w:color="EEEEEE"/>
            </w:tcBorders>
            <w:shd w:val="clear" w:color="auto" w:fill="EEEEEE"/>
          </w:tcPr>
          <w:p>
            <w:pPr>
              <w:spacing w:after="0"/>
              <w:rPr>
                <w:sz w:val="23"/>
                <w:szCs w:val="23"/>
                <w:color w:val="auto"/>
              </w:rPr>
            </w:pPr>
          </w:p>
        </w:tc>
        <w:tc>
          <w:tcPr>
            <w:tcW w:w="140" w:type="dxa"/>
            <w:vAlign w:val="bottom"/>
            <w:tcBorders>
              <w:bottom w:val="single" w:sz="8" w:color="EEEEEE"/>
            </w:tcBorders>
            <w:shd w:val="clear" w:color="auto" w:fill="EEEEEE"/>
          </w:tcPr>
          <w:p>
            <w:pPr>
              <w:spacing w:after="0"/>
              <w:rPr>
                <w:sz w:val="23"/>
                <w:szCs w:val="23"/>
                <w:color w:val="auto"/>
              </w:rPr>
            </w:pPr>
          </w:p>
        </w:tc>
        <w:tc>
          <w:tcPr>
            <w:tcW w:w="100" w:type="dxa"/>
            <w:vAlign w:val="bottom"/>
            <w:tcBorders>
              <w:bottom w:val="single" w:sz="8" w:color="EEEEEE"/>
            </w:tcBorders>
            <w:shd w:val="clear" w:color="auto" w:fill="EEEEEE"/>
          </w:tcPr>
          <w:p>
            <w:pPr>
              <w:spacing w:after="0"/>
              <w:rPr>
                <w:sz w:val="23"/>
                <w:szCs w:val="23"/>
                <w:color w:val="auto"/>
              </w:rPr>
            </w:pPr>
          </w:p>
        </w:tc>
        <w:tc>
          <w:tcPr>
            <w:tcW w:w="120" w:type="dxa"/>
            <w:vAlign w:val="bottom"/>
            <w:tcBorders>
              <w:bottom w:val="single" w:sz="8" w:color="EEEEEE"/>
            </w:tcBorders>
            <w:shd w:val="clear" w:color="auto" w:fill="EEEEEE"/>
          </w:tcPr>
          <w:p>
            <w:pPr>
              <w:spacing w:after="0"/>
              <w:rPr>
                <w:sz w:val="23"/>
                <w:szCs w:val="23"/>
                <w:color w:val="auto"/>
              </w:rPr>
            </w:pPr>
          </w:p>
        </w:tc>
        <w:tc>
          <w:tcPr>
            <w:tcW w:w="280" w:type="dxa"/>
            <w:vAlign w:val="bottom"/>
            <w:tcBorders>
              <w:bottom w:val="single" w:sz="8" w:color="EEEEEE"/>
            </w:tcBorders>
            <w:shd w:val="clear" w:color="auto" w:fill="EEEEEE"/>
          </w:tcPr>
          <w:p>
            <w:pPr>
              <w:spacing w:after="0"/>
              <w:rPr>
                <w:sz w:val="23"/>
                <w:szCs w:val="23"/>
                <w:color w:val="auto"/>
              </w:rPr>
            </w:pPr>
          </w:p>
        </w:tc>
        <w:tc>
          <w:tcPr>
            <w:tcW w:w="120" w:type="dxa"/>
            <w:vAlign w:val="bottom"/>
            <w:tcBorders>
              <w:bottom w:val="single" w:sz="8" w:color="EEEEEE"/>
            </w:tcBorders>
            <w:shd w:val="clear" w:color="auto" w:fill="EEEEEE"/>
          </w:tcPr>
          <w:p>
            <w:pPr>
              <w:spacing w:after="0"/>
              <w:rPr>
                <w:sz w:val="23"/>
                <w:szCs w:val="23"/>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14,145</w:t>
            </w:r>
          </w:p>
        </w:tc>
        <w:tc>
          <w:tcPr>
            <w:tcW w:w="280" w:type="dxa"/>
            <w:vAlign w:val="bottom"/>
            <w:tcBorders>
              <w:left w:val="single" w:sz="8" w:color="EEEEEE"/>
              <w:bottom w:val="single" w:sz="8" w:color="EEEEEE"/>
            </w:tcBorders>
            <w:shd w:val="clear" w:color="auto" w:fill="EEEEEE"/>
          </w:tcPr>
          <w:p>
            <w:pPr>
              <w:spacing w:after="0"/>
              <w:rPr>
                <w:sz w:val="23"/>
                <w:szCs w:val="23"/>
                <w:color w:val="auto"/>
              </w:rPr>
            </w:pPr>
          </w:p>
        </w:tc>
        <w:tc>
          <w:tcPr>
            <w:tcW w:w="320" w:type="dxa"/>
            <w:vAlign w:val="bottom"/>
            <w:tcBorders>
              <w:bottom w:val="single" w:sz="8" w:color="EEEEEE"/>
            </w:tcBorders>
            <w:shd w:val="clear" w:color="auto" w:fill="EEEEEE"/>
          </w:tcPr>
          <w:p>
            <w:pPr>
              <w:spacing w:after="0"/>
              <w:rPr>
                <w:sz w:val="23"/>
                <w:szCs w:val="23"/>
                <w:color w:val="auto"/>
              </w:rPr>
            </w:pPr>
          </w:p>
        </w:tc>
        <w:tc>
          <w:tcPr>
            <w:tcW w:w="220" w:type="dxa"/>
            <w:vAlign w:val="bottom"/>
            <w:tcBorders>
              <w:bottom w:val="single" w:sz="8" w:color="EEEEEE"/>
              <w:right w:val="single" w:sz="8" w:color="EEEEEE"/>
            </w:tcBorders>
            <w:shd w:val="clear" w:color="auto" w:fill="EEEEEE"/>
          </w:tcPr>
          <w:p>
            <w:pPr>
              <w:spacing w:after="0"/>
              <w:rPr>
                <w:sz w:val="23"/>
                <w:szCs w:val="23"/>
                <w:color w:val="auto"/>
              </w:rPr>
            </w:pPr>
          </w:p>
        </w:tc>
        <w:tc>
          <w:tcPr>
            <w:tcW w:w="340" w:type="dxa"/>
            <w:vAlign w:val="bottom"/>
            <w:tcBorders>
              <w:bottom w:val="single" w:sz="8" w:color="EEEEEE"/>
            </w:tcBorders>
            <w:shd w:val="clear" w:color="auto" w:fill="EEEEEE"/>
          </w:tcPr>
          <w:p>
            <w:pPr>
              <w:spacing w:after="0"/>
              <w:rPr>
                <w:sz w:val="23"/>
                <w:szCs w:val="23"/>
                <w:color w:val="auto"/>
              </w:rPr>
            </w:pPr>
          </w:p>
        </w:tc>
        <w:tc>
          <w:tcPr>
            <w:tcW w:w="60" w:type="dxa"/>
            <w:vAlign w:val="bottom"/>
            <w:tcBorders>
              <w:left w:val="single" w:sz="8" w:color="EEEEEE"/>
              <w:bottom w:val="single" w:sz="8" w:color="EEEEEE"/>
            </w:tcBorders>
            <w:shd w:val="clear" w:color="auto" w:fill="EEEEEE"/>
          </w:tcPr>
          <w:p>
            <w:pPr>
              <w:spacing w:after="0"/>
              <w:rPr>
                <w:sz w:val="23"/>
                <w:szCs w:val="23"/>
                <w:color w:val="auto"/>
              </w:rPr>
            </w:pPr>
          </w:p>
        </w:tc>
        <w:tc>
          <w:tcPr>
            <w:tcW w:w="50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14,002</w:t>
            </w:r>
          </w:p>
        </w:tc>
        <w:tc>
          <w:tcPr>
            <w:tcW w:w="100" w:type="dxa"/>
            <w:vAlign w:val="bottom"/>
            <w:tcBorders>
              <w:bottom w:val="single" w:sz="8" w:color="EEEEEE"/>
            </w:tcBorders>
            <w:shd w:val="clear" w:color="auto" w:fill="EEEEEE"/>
          </w:tcPr>
          <w:p>
            <w:pPr>
              <w:spacing w:after="0"/>
              <w:rPr>
                <w:sz w:val="23"/>
                <w:szCs w:val="23"/>
                <w:color w:val="auto"/>
              </w:rPr>
            </w:pPr>
          </w:p>
        </w:tc>
        <w:tc>
          <w:tcPr>
            <w:tcW w:w="160" w:type="dxa"/>
            <w:vAlign w:val="bottom"/>
            <w:tcBorders>
              <w:bottom w:val="single" w:sz="8" w:color="EEEEEE"/>
            </w:tcBorders>
            <w:shd w:val="clear" w:color="auto" w:fill="EEEEEE"/>
          </w:tcPr>
          <w:p>
            <w:pPr>
              <w:spacing w:after="0"/>
              <w:rPr>
                <w:sz w:val="23"/>
                <w:szCs w:val="23"/>
                <w:color w:val="auto"/>
              </w:rPr>
            </w:pPr>
          </w:p>
        </w:tc>
        <w:tc>
          <w:tcPr>
            <w:tcW w:w="400" w:type="dxa"/>
            <w:vAlign w:val="bottom"/>
            <w:tcBorders>
              <w:bottom w:val="single" w:sz="8" w:color="EEEEEE"/>
              <w:right w:val="single" w:sz="8" w:color="EEEEEE"/>
            </w:tcBorders>
            <w:shd w:val="clear" w:color="auto" w:fill="EEEEEE"/>
          </w:tcPr>
          <w:p>
            <w:pPr>
              <w:spacing w:after="0"/>
              <w:rPr>
                <w:sz w:val="23"/>
                <w:szCs w:val="23"/>
                <w:color w:val="auto"/>
              </w:rPr>
            </w:pPr>
          </w:p>
        </w:tc>
        <w:tc>
          <w:tcPr>
            <w:tcW w:w="160" w:type="dxa"/>
            <w:vAlign w:val="bottom"/>
            <w:tcBorders>
              <w:bottom w:val="single" w:sz="8" w:color="EEEEEE"/>
            </w:tcBorders>
            <w:shd w:val="clear" w:color="auto" w:fill="EEEEEE"/>
          </w:tcPr>
          <w:p>
            <w:pPr>
              <w:spacing w:after="0"/>
              <w:rPr>
                <w:sz w:val="23"/>
                <w:szCs w:val="23"/>
                <w:color w:val="auto"/>
              </w:rPr>
            </w:pPr>
          </w:p>
        </w:tc>
        <w:tc>
          <w:tcPr>
            <w:tcW w:w="80" w:type="dxa"/>
            <w:vAlign w:val="bottom"/>
            <w:tcBorders>
              <w:bottom w:val="single" w:sz="8" w:color="EEEEEE"/>
            </w:tcBorders>
            <w:shd w:val="clear" w:color="auto" w:fill="EEEEEE"/>
          </w:tcPr>
          <w:p>
            <w:pPr>
              <w:spacing w:after="0"/>
              <w:rPr>
                <w:sz w:val="23"/>
                <w:szCs w:val="23"/>
                <w:color w:val="auto"/>
              </w:rPr>
            </w:pPr>
          </w:p>
        </w:tc>
        <w:tc>
          <w:tcPr>
            <w:tcW w:w="340" w:type="dxa"/>
            <w:vAlign w:val="bottom"/>
            <w:tcBorders>
              <w:bottom w:val="single" w:sz="8" w:color="EEEEEE"/>
              <w:right w:val="single" w:sz="8" w:color="EEEEEE"/>
            </w:tcBorders>
            <w:shd w:val="clear" w:color="auto" w:fill="EEEEEE"/>
          </w:tcPr>
          <w:p>
            <w:pPr>
              <w:spacing w:after="0"/>
              <w:rPr>
                <w:sz w:val="23"/>
                <w:szCs w:val="23"/>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13,937</w:t>
            </w:r>
          </w:p>
        </w:tc>
        <w:tc>
          <w:tcPr>
            <w:tcW w:w="600" w:type="dxa"/>
            <w:vAlign w:val="bottom"/>
            <w:tcBorders>
              <w:bottom w:val="single" w:sz="8" w:color="EEEEEE"/>
            </w:tcBorders>
            <w:shd w:val="clear" w:color="auto" w:fill="EEEEEE"/>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47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components of comprehensive income are listed below (in thousands):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10"/>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4"/>
                <w:szCs w:val="24"/>
                <w:color w:val="auto"/>
              </w:rPr>
            </w:pPr>
          </w:p>
        </w:tc>
        <w:tc>
          <w:tcPr>
            <w:tcW w:w="172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gridSpan w:val="9"/>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Borders>
              <w:bottom w:val="single" w:sz="8" w:color="808080"/>
            </w:tcBorders>
            <w:gridSpan w:val="2"/>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Borders>
              <w:bottom w:val="single" w:sz="8" w:color="808080"/>
            </w:tcBorders>
            <w:gridSpan w:val="2"/>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EEEEEE"/>
          </w:tcPr>
          <w:p>
            <w:pPr>
              <w:spacing w:after="0"/>
              <w:rPr>
                <w:sz w:val="18"/>
                <w:szCs w:val="18"/>
                <w:color w:val="auto"/>
              </w:rPr>
            </w:pPr>
          </w:p>
        </w:tc>
        <w:tc>
          <w:tcPr>
            <w:tcW w:w="9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8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60" w:type="dxa"/>
            <w:vAlign w:val="bottom"/>
            <w:tcBorders>
              <w:lef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8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400" w:type="dxa"/>
            <w:vAlign w:val="bottom"/>
            <w:shd w:val="clear" w:color="auto" w:fill="EEEEEE"/>
          </w:tcPr>
          <w:p>
            <w:pPr>
              <w:spacing w:after="0"/>
              <w:rPr>
                <w:sz w:val="18"/>
                <w:szCs w:val="18"/>
                <w:color w:val="auto"/>
              </w:rPr>
            </w:pPr>
          </w:p>
        </w:tc>
        <w:tc>
          <w:tcPr>
            <w:tcW w:w="580" w:type="dxa"/>
            <w:vAlign w:val="bottom"/>
            <w:gridSpan w:val="3"/>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(448)</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808080"/>
          </w:tcPr>
          <w:p>
            <w:pPr>
              <w:spacing w:after="0" w:line="20" w:lineRule="exact"/>
              <w:rPr>
                <w:sz w:val="1"/>
                <w:szCs w:val="1"/>
                <w:color w:val="auto"/>
              </w:rPr>
            </w:pPr>
          </w:p>
        </w:tc>
        <w:tc>
          <w:tcPr>
            <w:tcW w:w="280" w:type="dxa"/>
            <w:vAlign w:val="bottom"/>
            <w:tcBorders>
              <w:left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808080"/>
            </w:tcBorders>
          </w:tcPr>
          <w:p>
            <w:pPr>
              <w:spacing w:after="0" w:line="20" w:lineRule="exact"/>
              <w:rPr>
                <w:sz w:val="1"/>
                <w:szCs w:val="1"/>
                <w:color w:val="auto"/>
              </w:rPr>
            </w:pPr>
          </w:p>
        </w:tc>
        <w:tc>
          <w:tcPr>
            <w:tcW w:w="34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Borders>
              <w:right w:val="single" w:sz="8" w:color="808080"/>
            </w:tcBorders>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Pr>
          <w:p>
            <w:pPr>
              <w:spacing w:after="0"/>
              <w:rPr>
                <w:sz w:val="20"/>
                <w:szCs w:val="20"/>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 w:type="dxa"/>
            <w:vAlign w:val="bottom"/>
            <w:tcBorders>
              <w:left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purchased 445,807 shares of its common stock at a cost of $5.9 million during the nine months ended September 30, 2004. During the nine months ended September 30, 2003, the Company purchased 38,701 shares of its common stock at a cost of $372,000. The Company holds shares purchased from the open market as treasury stock which are available for reissue by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2002, the FASB issued Emerging Issues Task Force (“EITF”) Issue No. 00-21, “Revenue Arrangements with Multiple Deliverables.” EITF Issue No. 00-21 addresses certain aspects of the accounting by a company for arrangements under which it will perform multiple revenue-generating activities. EITF Issue No. 00-21 addresses when and how an arrangement involving multiple deliverables should be divided into separate units of accounting. EITF Issue No. 00-21 provides guidance with respect to the effect of certain customer rights due to company nonperformance on the recognition of revenue allocated to delivered units of accounting. EITF Issue No. 00-21 also addresses the impact on the measurement and/or allocation of arrangement consideration of customer cancellation provisions and consideration that varies as a result of future actions of the customer or the company. Finally, EITF Issue No. 00-21 provides guidance with respect to the recognition of the cost of certain deliverables that are excluded from the revenue accounting for an arrangement. The provisions of EITF Issue No. 00-21 apply to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arrangements entered into in fiscal periods beginning after June 15, 2003. The adoption of EITF Issue No. 00-21 did not have a material effect on our financial position, results of operations, or cash flows.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January 2003, the FASB issued FIN 46, “Consolidation of Variable Interest Entities,” an Interpretation of Accounting Research Bulletin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The adoption of FIN 46 did not have a material impact on our consolidated financial position, results of operations or cash flows.</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2003, the FASB issued FIN 46R with respect to variable interest entities created before January 31, 2003, which among other things, revised the implementation date to the first fiscal year or interim period ending after March 15, 2004, with the exception of Special Purpose Entities (“SPE”). The consolidation requirements apply to all SPE’s in the first fiscal year or interim period ending after December 15, 2003. The adoption of FIN 46R with respect to SPEs did not have a material effect on our financial position or results of operations, and the adoption of the provisions for non-SPEs did not have a material impact on our financial position, results of operations or cash flows.</w:t>
      </w:r>
    </w:p>
    <w:p>
      <w:pPr>
        <w:spacing w:after="0" w:line="15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May 2003, the FASB issued SFAS No. 150, “Accounting for Certain Financial Instruments with Characteristics of both Liabilities and Equity.” SFAS 150 establishes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September 15, 2003, except for certain mandatorily redeemable non-controlling interests. The adoption of SFAS 150 did not have a material effect on our financial position, results of operations, or cash flows.</w:t>
      </w:r>
    </w:p>
    <w:p>
      <w:pPr>
        <w:spacing w:after="0" w:line="143"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December 2003, the Securities and Exchange Commission issued Staff Accounting Bulletin (SAB) No. 104, “Revenue Recognition,” which revises or rescinds portions of its previously existing revenue recognition guidance in order to make it consistent with current authoritative accounting and auditing guidance and Securities and Exchange Commission rules and regulations. The adoption of SAB No. 104 did not have a material effect on our financial position, results of operations or cash flows.</w:t>
      </w:r>
    </w:p>
    <w:p>
      <w:pPr>
        <w:spacing w:after="0" w:line="1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March 2004, the EITF reached a consensus on EITF 03-01. “The Meaning of Other-Than-Temporary Impairment and its Application to Certain Investments” (EITF 03-01). EITF 03-01 provides guidance to determine when an investment is considered to be impaired, whether that impairment is other-than-temporary, and the measurement of an impairment loss. It also requires disclosure related to unrealized losses that have not been recognized as other-than-temporary impairments. The recognition and measurement guidance was effective for other-than-temporary impairment evaluations in the third quarter of 2004. The Company considered this guidance in its evaluation of its cost investment in a private company. During the third quarter of 2004, the Company recorded a $357,000 other-than-temporary impairment in its investment. The other provisions of EITF 03-01, which principally consist of disclosure requirements, are not expected to have a material impact to the Company's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in a single industry segment. The Company separately monitors the financial performance of its domestic and international operations. Further, each of these operations generally serves a distinct customer base. Based upon these facts, the Company considers the domestic and international operations its reporting units for the assignment of goodwill. Goodwill for the domestic operations was generated from the acquisition of a remote control company in 1998. Goodwill for international operations resulted from the acquisition of remote control distributors in the UK in 1998, Spain in 1999 and France in 2000. The change in international goodwill is due to currency translation adjustments.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information for each reporting unit is as follows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5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60" w:type="dxa"/>
            <w:vAlign w:val="bottom"/>
          </w:tcPr>
          <w:p>
            <w:pPr>
              <w:spacing w:after="0"/>
              <w:rPr>
                <w:sz w:val="16"/>
                <w:szCs w:val="16"/>
                <w:color w:val="auto"/>
              </w:rPr>
            </w:pP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5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580" w:type="dxa"/>
            <w:vAlign w:val="bottom"/>
            <w:vMerge w:val="restart"/>
          </w:tcPr>
          <w:p>
            <w:pPr>
              <w:spacing w:after="0"/>
              <w:rPr>
                <w:sz w:val="6"/>
                <w:szCs w:val="6"/>
                <w:color w:val="auto"/>
              </w:rPr>
            </w:pPr>
          </w:p>
        </w:tc>
        <w:tc>
          <w:tcPr>
            <w:tcW w:w="2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5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56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5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vMerge w:val="restart"/>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580" w:type="dxa"/>
            <w:vAlign w:val="bottom"/>
            <w:vMerge w:val="continue"/>
          </w:tcPr>
          <w:p>
            <w:pPr>
              <w:spacing w:after="0"/>
              <w:rPr>
                <w:sz w:val="22"/>
                <w:szCs w:val="22"/>
                <w:color w:val="auto"/>
              </w:rPr>
            </w:pPr>
          </w:p>
        </w:tc>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Goodwill</w:t>
            </w: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560" w:type="dxa"/>
            <w:vAlign w:val="bottom"/>
            <w:shd w:val="clear" w:color="auto" w:fill="EEEEEE"/>
          </w:tcPr>
          <w:p>
            <w:pPr>
              <w:spacing w:after="0"/>
              <w:rPr>
                <w:sz w:val="22"/>
                <w:szCs w:val="22"/>
                <w:color w:val="auto"/>
              </w:rPr>
            </w:pPr>
          </w:p>
        </w:tc>
        <w:tc>
          <w:tcPr>
            <w:tcW w:w="12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560" w:type="dxa"/>
            <w:vAlign w:val="bottom"/>
            <w:shd w:val="clear" w:color="auto" w:fill="EEEEEE"/>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580" w:type="dxa"/>
            <w:vAlign w:val="bottom"/>
          </w:tcPr>
          <w:p>
            <w:pPr>
              <w:spacing w:after="0"/>
              <w:rPr>
                <w:sz w:val="24"/>
                <w:szCs w:val="24"/>
                <w:color w:val="auto"/>
              </w:rPr>
            </w:pPr>
          </w:p>
        </w:tc>
        <w:tc>
          <w:tcPr>
            <w:tcW w:w="2960" w:type="dxa"/>
            <w:vAlign w:val="bottom"/>
            <w:tcBorders>
              <w:top w:val="single" w:sz="8" w:color="EEEEEE"/>
            </w:tcBorders>
          </w:tcPr>
          <w:p>
            <w:pPr>
              <w:spacing w:after="0"/>
              <w:rPr>
                <w:sz w:val="24"/>
                <w:szCs w:val="24"/>
                <w:color w:val="auto"/>
              </w:rPr>
            </w:pPr>
          </w:p>
        </w:tc>
        <w:tc>
          <w:tcPr>
            <w:tcW w:w="560" w:type="dxa"/>
            <w:vAlign w:val="bottom"/>
            <w:tcBorders>
              <w:top w:val="single" w:sz="8" w:color="EEEEEE"/>
            </w:tcBorders>
          </w:tcPr>
          <w:p>
            <w:pPr>
              <w:jc w:val="right"/>
              <w:ind w:right="214"/>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808080"/>
            </w:tcBorders>
          </w:tcPr>
          <w:p>
            <w:pPr>
              <w:spacing w:after="0"/>
              <w:rPr>
                <w:sz w:val="24"/>
                <w:szCs w:val="24"/>
                <w:color w:val="auto"/>
              </w:rPr>
            </w:pPr>
          </w:p>
        </w:tc>
        <w:tc>
          <w:tcPr>
            <w:tcW w:w="400" w:type="dxa"/>
            <w:vAlign w:val="bottom"/>
            <w:tcBorders>
              <w:top w:val="single" w:sz="8" w:color="808080"/>
            </w:tcBorders>
          </w:tcPr>
          <w:p>
            <w:pPr>
              <w:spacing w:after="0"/>
              <w:rPr>
                <w:sz w:val="24"/>
                <w:szCs w:val="24"/>
                <w:color w:val="auto"/>
              </w:rPr>
            </w:pPr>
          </w:p>
        </w:tc>
        <w:tc>
          <w:tcPr>
            <w:tcW w:w="560" w:type="dxa"/>
            <w:vAlign w:val="bottom"/>
            <w:tcBorders>
              <w:top w:val="single" w:sz="8" w:color="EEEEEE"/>
            </w:tcBorders>
          </w:tcPr>
          <w:p>
            <w:pPr>
              <w:spacing w:after="0"/>
              <w:rPr>
                <w:sz w:val="24"/>
                <w:szCs w:val="24"/>
                <w:color w:val="auto"/>
              </w:rPr>
            </w:pPr>
          </w:p>
        </w:tc>
        <w:tc>
          <w:tcPr>
            <w:tcW w:w="260" w:type="dxa"/>
            <w:vAlign w:val="bottom"/>
            <w:tcBorders>
              <w:top w:val="single" w:sz="8" w:color="EEEEEE"/>
            </w:tcBorders>
          </w:tcPr>
          <w:p>
            <w:pPr>
              <w:spacing w:after="0"/>
              <w:rPr>
                <w:sz w:val="24"/>
                <w:szCs w:val="24"/>
                <w:color w:val="auto"/>
              </w:rPr>
            </w:pPr>
          </w:p>
        </w:tc>
        <w:tc>
          <w:tcPr>
            <w:tcW w:w="560" w:type="dxa"/>
            <w:vAlign w:val="bottom"/>
            <w:tcBorders>
              <w:top w:val="single" w:sz="8" w:color="EEEEEE"/>
            </w:tcBorders>
          </w:tcPr>
          <w:p>
            <w:pPr>
              <w:spacing w:after="0"/>
              <w:rPr>
                <w:sz w:val="24"/>
                <w:szCs w:val="24"/>
                <w:color w:val="auto"/>
              </w:rPr>
            </w:pPr>
          </w:p>
        </w:tc>
        <w:tc>
          <w:tcPr>
            <w:tcW w:w="400" w:type="dxa"/>
            <w:vAlign w:val="bottom"/>
            <w:tcBorders>
              <w:top w:val="single" w:sz="8" w:color="808080"/>
            </w:tcBorders>
          </w:tcPr>
          <w:p>
            <w:pPr>
              <w:spacing w:after="0"/>
              <w:rPr>
                <w:sz w:val="24"/>
                <w:szCs w:val="24"/>
                <w:color w:val="auto"/>
              </w:rPr>
            </w:pPr>
          </w:p>
        </w:tc>
        <w:tc>
          <w:tcPr>
            <w:tcW w:w="560" w:type="dxa"/>
            <w:vAlign w:val="bottom"/>
            <w:tcBorders>
              <w:top w:val="single" w:sz="8" w:color="EEEEEE"/>
            </w:tcBorders>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five to ten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other intangible assets is as follows (in thousands):</w:t>
      </w:r>
    </w:p>
    <w:p>
      <w:pPr>
        <w:spacing w:after="0" w:line="394" w:lineRule="exact"/>
        <w:rPr>
          <w:sz w:val="20"/>
          <w:szCs w:val="20"/>
          <w:color w:val="auto"/>
        </w:rPr>
      </w:pPr>
    </w:p>
    <w:tbl>
      <w:tblPr>
        <w:tblLayout w:type="fixed"/>
        <w:tblInd w:w="25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00" w:type="dxa"/>
            <w:vAlign w:val="bottom"/>
          </w:tcPr>
          <w:p>
            <w:pPr>
              <w:spacing w:after="0"/>
              <w:rPr>
                <w:sz w:val="16"/>
                <w:szCs w:val="16"/>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rights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2,938</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2,597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3,736</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3,294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Software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1,049</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1,049</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Gross carrying amount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9,400</w:t>
            </w:r>
          </w:p>
        </w:tc>
        <w:tc>
          <w:tcPr>
            <w:tcW w:w="6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8,762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5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rights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2,616</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2,562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1,412</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1,228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Software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1,036</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1,025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3"/>
              </w:rPr>
              <w:t>5,714</w:t>
            </w:r>
          </w:p>
        </w:tc>
        <w:tc>
          <w:tcPr>
            <w:tcW w:w="6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5,331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5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80" w:type="dxa"/>
            <w:vAlign w:val="bottom"/>
            <w:tcBorders>
              <w:right w:val="single" w:sz="8" w:color="EEEEEE"/>
            </w:tcBorders>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 rights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3"/>
              </w:rPr>
              <w:t>2,324</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2,066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Software</w:t>
            </w: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net carrying amount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3"/>
              </w:rPr>
              <w:t>3,686</w:t>
            </w:r>
          </w:p>
        </w:tc>
        <w:tc>
          <w:tcPr>
            <w:tcW w:w="6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3,431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2004 was approximately $0.2 million and $0.4 million, respectively. Amortization expense for the three and nine months ended September 30, 2003 was approximately $0.3 and $0.8 million, respectively. Estimated amortization expense for existing intangible assets for each of the five succeeding years ending December 31 will be as follows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2004 (remaining three months)</w:t>
            </w:r>
          </w:p>
        </w:tc>
        <w:tc>
          <w:tcPr>
            <w:tcW w:w="364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$159</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3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627</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2006</w:t>
            </w:r>
          </w:p>
        </w:tc>
        <w:tc>
          <w:tcPr>
            <w:tcW w:w="364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621</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504</w:t>
            </w:r>
          </w:p>
        </w:tc>
        <w:tc>
          <w:tcPr>
            <w:tcW w:w="256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2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2008</w:t>
            </w:r>
          </w:p>
        </w:tc>
        <w:tc>
          <w:tcPr>
            <w:tcW w:w="364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465</w:t>
            </w:r>
          </w:p>
        </w:tc>
        <w:tc>
          <w:tcPr>
            <w:tcW w:w="256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465</w:t>
            </w:r>
          </w:p>
        </w:tc>
        <w:tc>
          <w:tcPr>
            <w:tcW w:w="2560" w:type="dxa"/>
            <w:vAlign w:val="bottom"/>
          </w:tcPr>
          <w:p>
            <w:pPr>
              <w:spacing w:after="0"/>
              <w:rPr>
                <w:sz w:val="20"/>
                <w:szCs w:val="20"/>
                <w:color w:val="auto"/>
              </w:rPr>
            </w:pPr>
          </w:p>
        </w:tc>
      </w:tr>
      <w:tr>
        <w:trPr>
          <w:trHeight w:val="373"/>
        </w:trPr>
        <w:tc>
          <w:tcPr>
            <w:tcW w:w="2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4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11</w:t>
            </w:r>
          </w:p>
        </w:tc>
        <w:tc>
          <w:tcPr>
            <w:tcW w:w="2560" w:type="dxa"/>
            <w:vAlign w:val="bottom"/>
          </w:tcPr>
          <w:p>
            <w:pPr>
              <w:spacing w:after="0"/>
              <w:rPr>
                <w:sz w:val="24"/>
                <w:szCs w:val="24"/>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Policy for Derivatives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Depending on the predictability of the cash flows of each operating currency, the Company periodically enters into foreign currency exchange contracts with contract terms normally lasting less than six months, to protect against the adverse effects that exchange-rate fluctuations may have on foreign-currency-denominated trade receivables and other assets and liabilities. The gains and losses on both the derivatives and the foreign-currency-denominated trade receivables are recorded as transaction adjustments in other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currency exposures are primarily concentrated in the Euro and British Pound. The Company does not enter into financial instruments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speculation or trading purposes. At September 30, 2004, the Company had one outstanding foreign currency exchange contract with a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million, and an unrealized gain of approximately $30,000 which was recorded in other income. There were no outstanding foreign currency contracts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2003.</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2003 the Company periodically invested in 30 day Dual Currency Deposits which required the Company to convert the invested amount to another currency at the end of the contract period in the event certain changes occurred in foreign currency exchange rates. No such investments were made in 2004 and none were outstanding as of September 30, 2004 and December 31, 2003.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 and Foreign Operations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industry segment and is engaged in the development and marketing of pre-programmed wireless control devices and related products principally for video and audio entertainment equipment. The Company’s customers consist primarily of international retailers, distributors, private label customers, original equipment manufacturers, subscription broadcasting operators and companies in the computing industry.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sales to external customers and long-lived tangible assets by geographic area are presented below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540" w:type="dxa"/>
            <w:vAlign w:val="bottom"/>
          </w:tcPr>
          <w:p>
            <w:pPr>
              <w:spacing w:after="0"/>
              <w:rPr>
                <w:sz w:val="20"/>
                <w:szCs w:val="20"/>
                <w:color w:val="auto"/>
              </w:rPr>
            </w:pPr>
          </w:p>
        </w:tc>
        <w:tc>
          <w:tcPr>
            <w:tcW w:w="146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$18,473</w:t>
            </w:r>
          </w:p>
        </w:tc>
        <w:tc>
          <w:tcPr>
            <w:tcW w:w="540" w:type="dxa"/>
            <w:vAlign w:val="bottom"/>
          </w:tcPr>
          <w:p>
            <w:pPr>
              <w:spacing w:after="0"/>
              <w:rPr>
                <w:sz w:val="18"/>
                <w:szCs w:val="18"/>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$17,702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$ 53,927</w:t>
            </w:r>
          </w:p>
        </w:tc>
        <w:tc>
          <w:tcPr>
            <w:tcW w:w="6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$51,021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5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lef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540" w:type="dxa"/>
            <w:vAlign w:val="bottom"/>
          </w:tcPr>
          <w:p>
            <w:pPr>
              <w:spacing w:after="0"/>
              <w:rPr>
                <w:sz w:val="18"/>
                <w:szCs w:val="18"/>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6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c>
          <w:tcPr>
            <w:tcW w:w="2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540" w:type="dxa"/>
            <w:vAlign w:val="bottom"/>
            <w:shd w:val="clear" w:color="auto" w:fill="EEEEEE"/>
          </w:tcPr>
          <w:p>
            <w:pPr>
              <w:spacing w:after="0"/>
              <w:rPr>
                <w:sz w:val="18"/>
                <w:szCs w:val="18"/>
                <w:color w:val="auto"/>
              </w:rPr>
            </w:pPr>
          </w:p>
        </w:tc>
        <w:tc>
          <w:tcPr>
            <w:tcW w:w="146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60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France</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540" w:type="dxa"/>
            <w:vAlign w:val="bottom"/>
          </w:tcPr>
          <w:p>
            <w:pPr>
              <w:spacing w:after="0"/>
              <w:rPr>
                <w:sz w:val="18"/>
                <w:szCs w:val="18"/>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6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540" w:type="dxa"/>
            <w:vAlign w:val="bottom"/>
            <w:shd w:val="clear" w:color="auto" w:fill="EEEEEE"/>
          </w:tcPr>
          <w:p>
            <w:pPr>
              <w:spacing w:after="0"/>
              <w:rPr>
                <w:sz w:val="18"/>
                <w:szCs w:val="18"/>
                <w:color w:val="auto"/>
              </w:rPr>
            </w:pPr>
          </w:p>
        </w:tc>
        <w:tc>
          <w:tcPr>
            <w:tcW w:w="146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60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 Other</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540" w:type="dxa"/>
            <w:vAlign w:val="bottom"/>
          </w:tcPr>
          <w:p>
            <w:pPr>
              <w:spacing w:after="0"/>
              <w:rPr>
                <w:sz w:val="18"/>
                <w:szCs w:val="18"/>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6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Total International</w:t>
            </w:r>
          </w:p>
        </w:tc>
        <w:tc>
          <w:tcPr>
            <w:tcW w:w="27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540" w:type="dxa"/>
            <w:vAlign w:val="bottom"/>
            <w:shd w:val="clear" w:color="auto" w:fill="EEEEEE"/>
          </w:tcPr>
          <w:p>
            <w:pPr>
              <w:spacing w:after="0"/>
              <w:rPr>
                <w:sz w:val="18"/>
                <w:szCs w:val="18"/>
                <w:color w:val="auto"/>
              </w:rPr>
            </w:pPr>
          </w:p>
        </w:tc>
        <w:tc>
          <w:tcPr>
            <w:tcW w:w="146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tcBorders>
              <w:right w:val="single" w:sz="8" w:color="EEEEEE"/>
            </w:tcBorders>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52,742</w:t>
            </w:r>
          </w:p>
        </w:tc>
        <w:tc>
          <w:tcPr>
            <w:tcW w:w="60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$40,047</w:t>
            </w:r>
          </w:p>
        </w:tc>
        <w:tc>
          <w:tcPr>
            <w:tcW w:w="540" w:type="dxa"/>
            <w:vAlign w:val="bottom"/>
          </w:tcPr>
          <w:p>
            <w:pPr>
              <w:spacing w:after="0"/>
              <w:rPr>
                <w:sz w:val="24"/>
                <w:szCs w:val="24"/>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$106,669</w:t>
            </w:r>
          </w:p>
        </w:tc>
        <w:tc>
          <w:tcPr>
            <w:tcW w:w="6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100" w:type="dxa"/>
            <w:vAlign w:val="bottom"/>
          </w:tcPr>
          <w:p>
            <w:pPr>
              <w:spacing w:after="0"/>
              <w:rPr>
                <w:sz w:val="24"/>
                <w:szCs w:val="24"/>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700" w:type="dxa"/>
            <w:vAlign w:val="bottom"/>
            <w:gridSpan w:val="4"/>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540" w:type="dxa"/>
            <w:vAlign w:val="bottom"/>
            <w:vMerge w:val="restart"/>
          </w:tcPr>
          <w:p>
            <w:pPr>
              <w:spacing w:after="0"/>
              <w:rPr>
                <w:sz w:val="6"/>
                <w:szCs w:val="6"/>
                <w:color w:val="auto"/>
              </w:rPr>
            </w:pPr>
          </w:p>
        </w:tc>
        <w:tc>
          <w:tcPr>
            <w:tcW w:w="1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7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Long-lived Tangible Assets</w:t>
            </w:r>
          </w:p>
        </w:tc>
        <w:tc>
          <w:tcPr>
            <w:tcW w:w="3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left w:val="single" w:sz="8" w:color="EEEEEE"/>
            </w:tcBorders>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$3,002</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00" w:type="dxa"/>
            <w:vAlign w:val="bottom"/>
            <w:gridSpan w:val="4"/>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28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tcBorders>
              <w:right w:val="single" w:sz="8" w:color="EEEEEE"/>
            </w:tcBorders>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1,918</w:t>
            </w:r>
          </w:p>
        </w:tc>
        <w:tc>
          <w:tcPr>
            <w:tcW w:w="56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left w:val="single" w:sz="8" w:color="EEEEEE"/>
            </w:tcBorders>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Borders>
              <w:right w:val="single" w:sz="8" w:color="808080"/>
            </w:tcBorders>
            <w:shd w:val="clear" w:color="auto" w:fill="80808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$4,920</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customer location was the basis used for attributing revenues from external customers to individual countries.</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Foreign currency transaction losses of $181,000 and gains of $73,000 were included in other income for the three months ended September, 2004 and 2003, respectively. Foreign currency transaction gains of $309,000 and $199,000 were included in other income for the nine months ended September, 2004 and 2003,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Product Warranties</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general the Company warrants its products against defects in material and workmanship during normal use and service, and service warranty claims either directly through its customer service department, or through contracted third-party warranty repair facilities. The Company offers warranties of up to three years. The Company provides for estimated product warranty expenses when it sells the related products. Because warranty estimates are forecasts that are based on the best available information, mostly historical claims experience, claims costs may differ from amounts provided. An analysis of changes in the liability for product warranties follows:</w:t>
      </w:r>
    </w:p>
    <w:p>
      <w:pPr>
        <w:spacing w:after="0" w:line="3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Accruals for</w:t>
            </w:r>
          </w:p>
        </w:tc>
        <w:tc>
          <w:tcPr>
            <w:tcW w:w="220" w:type="dxa"/>
            <w:vAlign w:val="bottom"/>
          </w:tcPr>
          <w:p>
            <w:pPr>
              <w:spacing w:after="0"/>
              <w:rPr>
                <w:sz w:val="13"/>
                <w:szCs w:val="13"/>
                <w:color w:val="auto"/>
              </w:rPr>
            </w:pPr>
          </w:p>
        </w:tc>
        <w:tc>
          <w:tcPr>
            <w:tcW w:w="166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220" w:type="dxa"/>
            <w:vAlign w:val="bottom"/>
          </w:tcPr>
          <w:p>
            <w:pPr>
              <w:spacing w:after="0"/>
              <w:rPr>
                <w:sz w:val="13"/>
                <w:szCs w:val="13"/>
                <w:color w:val="auto"/>
              </w:rPr>
            </w:pPr>
          </w:p>
        </w:tc>
        <w:tc>
          <w:tcPr>
            <w:tcW w:w="114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Warranties</w:t>
            </w:r>
          </w:p>
        </w:tc>
        <w:tc>
          <w:tcPr>
            <w:tcW w:w="220" w:type="dxa"/>
            <w:vAlign w:val="bottom"/>
          </w:tcPr>
          <w:p>
            <w:pPr>
              <w:spacing w:after="0"/>
              <w:rPr>
                <w:sz w:val="12"/>
                <w:szCs w:val="12"/>
                <w:color w:val="auto"/>
              </w:rPr>
            </w:pPr>
          </w:p>
        </w:tc>
        <w:tc>
          <w:tcPr>
            <w:tcW w:w="1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(in Cash or in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1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During</w:t>
            </w:r>
          </w:p>
        </w:tc>
        <w:tc>
          <w:tcPr>
            <w:tcW w:w="220" w:type="dxa"/>
            <w:vAlign w:val="bottom"/>
          </w:tcPr>
          <w:p>
            <w:pPr>
              <w:spacing w:after="0"/>
              <w:rPr>
                <w:sz w:val="12"/>
                <w:szCs w:val="12"/>
                <w:color w:val="auto"/>
              </w:rPr>
            </w:pPr>
          </w:p>
        </w:tc>
        <w:tc>
          <w:tcPr>
            <w:tcW w:w="16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Kind) During</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64"/>
        </w:trPr>
        <w:tc>
          <w:tcPr>
            <w:tcW w:w="35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2004</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$95,005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5"/>
              </w:rPr>
              <w:t>232,321</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96"/>
              </w:rPr>
              <w:t>(137,453)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99"/>
              </w:rPr>
              <w:t>189,873</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2003</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$95,005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94,243</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(94,243)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95,005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2004 there were several distinct warranty issues that came about during the normal course of business. All but one of the issues have been resolved, and the Company does not believe there is any remaining exposure relating to the other warranty issues. The increase in the warranty accrual at September 30, 2004 is due to the one remaining warranty issue, as well as increased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parties to lawsuits and claims arising in the normal course of its business. At the present time, there are two patent infringement lawsuits pending brought by the Company against third parties. In these actions, the Company is seeking money damages and injunctive relief. In one of these actions, the third party has filed suit against the Company seeking a declaration that certain of the Company’s patents are invalid and unenforceable. It is the opinion of management that such patents are valid and enforceable and the Company intends to defend against such suit vigorously. In addition, there is one action pending against the Company in which a trustee for the bankruptcy estate of a former service provider has alleged that the Company received preferential treatment in connection with certain payments made on its behalf by the service provider. The Company disagrees with these allegations and intends to vigorously defend itself against these allegations.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one of the Company’s subsidiaries filed a lawsuit against a former distributor of the subsidiary’s products seeking a recovery of monies wrongfully retained by the distributor. At September 30, 2004, these monies are primarily included in accounts receivable. The distributor filed a counterclaim against the subsidiary seeking payment for amounts allegedly owed for administrative and other services rendered by the distributor for the subsidiary. The subsidiary has disagreed with these allegations and has vigorously defended itself against this counterclaim. In addition, this same distributor brought an action against another</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subsidiary of the Company seeking damages for wrongful termination of agency agreements. The subsidiary has disagreed with these allegations and has vigorously defended itself against this lawsuit.</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Finally, an ex-employee of one of the Company’s subsidiaries brought an action against the subsidiary seeking damages for wrongful termination. The subsidiary has disagreed with these allegations and has vigorously defended itself against this claim.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does not believe that at this time it is probable that there will be an unfavorable outcome of any of the pending actions to which the Company or its subsidiaries are parties; accordingly, no reserve against receivables due the Company or its subsidiary and no amount for any potential loss contingency have been recorded in the consolidated financial statements. While it is the opinion of management that the Company’s products do not infringe any third party’s patent or other intellectual property rights, that the claims made against third parties have merit, and that the claims made against the Company or its subsidiaries are without merit, the costs associated with defending or pursuing any such claims or litigation could be substantial and amounts awarded against the Company as final judgments, if any, or amounts claimed by the Company or its subsidiaries being rejected by a court in any such potential or pending litigation, could have a significant and material adverse effect on the Company’s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 2004, the Company acquired SimpleDevices Inc. for approximately $12.5 million in cash, plus a performance-based payment of the Company’s unregistered common stock, tied to achieving certain future financial objectives. SimpleDevices, a privately held company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developed a broad line of easy-to-use, pre-programmed universal wireless control products and audio-video accessories that are marketed to enhance home entertainment systems. Our channels of distribution include international retail, U.S. retail, private label, OEMs, and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devices worldwide.</w:t>
      </w:r>
    </w:p>
    <w:p>
      <w:pPr>
        <w:spacing w:after="0" w:line="1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Beginning in 2002, we began selling our Nevo software to a third-party supplier of personal digital assistants (PDAs). The current version being sold includes digital media management functionality. We will continue to invest in this software platform. Future application of this software can be embedded into third-party hardware or our own hardware.</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Beginning in 1986 and continuing today, we have compiled an extensive library of over 190,000 IR codes that cover over 2,300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Our proprietary software and know-how permit IR codes to be compressed before being loaded into our products. This provides significant cost and space efficiencies that enable us to include more useful codes and features in the memory space of the wireless control device than are included in the products of our competitors. We have developed a patented technology that provides the capability to easily upgrade the memory of the wireless control device by adding IR codes from the library that were not originally included.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October 1, 2004 we acquired SimpleDevices Inc. for approximately $12.5 million in cash, plus a performance-based payment of our unrestricted common stock, tied to achieving certain future financial objectives. The acquisition of SimpleDevices further builds our strategic vision for delivering seemless digital media connectivity. In addition, the acquisition enables us to further extend our wireless control and network technology portfolio.</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matters discussed in this Quarterly Report on Form 10-Q should be read in conjunction with the consolidated financial statements provided in Part I, Item 1 of this Quarterly Report. Certain statements contained herein may constitute forward-looking statements within the meaning of the Private Securities Litigation Reform Act of 1995. These statements involve a number of risks, uncertainties and other factors that could cause actual results to differ materially. In addition, more information about risk factors that could affect our business and financial results is included in the section entitled “Factors That May Affect Financial Condition And Future Results”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a percentage of net sales for the three and nine months ended September 30:</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6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40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40" w:type="dxa"/>
            <w:vAlign w:val="bottom"/>
          </w:tcPr>
          <w:p>
            <w:pPr>
              <w:spacing w:after="0"/>
              <w:rPr>
                <w:sz w:val="16"/>
                <w:szCs w:val="16"/>
                <w:color w:val="auto"/>
              </w:rPr>
            </w:pPr>
          </w:p>
        </w:tc>
      </w:tr>
      <w:tr>
        <w:trPr>
          <w:trHeight w:val="51"/>
        </w:trPr>
        <w:tc>
          <w:tcPr>
            <w:tcW w:w="14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r>
      <w:tr>
        <w:trPr>
          <w:trHeight w:val="240"/>
        </w:trPr>
        <w:tc>
          <w:tcPr>
            <w:tcW w:w="14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80" w:type="dxa"/>
            <w:vAlign w:val="bottom"/>
          </w:tcPr>
          <w:p>
            <w:pPr>
              <w:spacing w:after="0"/>
              <w:rPr>
                <w:sz w:val="20"/>
                <w:szCs w:val="20"/>
                <w:color w:val="auto"/>
              </w:rPr>
            </w:pP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
        </w:trPr>
        <w:tc>
          <w:tcPr>
            <w:tcW w:w="14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r>
      <w:tr>
        <w:trPr>
          <w:trHeight w:val="75"/>
        </w:trPr>
        <w:tc>
          <w:tcPr>
            <w:tcW w:w="144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16"/>
        </w:trPr>
        <w:tc>
          <w:tcPr>
            <w:tcW w:w="144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780" w:type="dxa"/>
            <w:vAlign w:val="bottom"/>
            <w:gridSpan w:val="5"/>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4"/>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60.6</w:t>
            </w:r>
          </w:p>
        </w:tc>
        <w:tc>
          <w:tcPr>
            <w:tcW w:w="17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60.9</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61.2</w:t>
            </w:r>
          </w:p>
        </w:tc>
        <w:tc>
          <w:tcPr>
            <w:tcW w:w="15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61.4</w:t>
            </w: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gridSpan w:val="3"/>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178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39.1</w:t>
            </w:r>
          </w:p>
        </w:tc>
        <w:tc>
          <w:tcPr>
            <w:tcW w:w="106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38.8</w:t>
            </w:r>
          </w:p>
        </w:tc>
        <w:tc>
          <w:tcPr>
            <w:tcW w:w="156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7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3.9</w:t>
            </w:r>
          </w:p>
        </w:tc>
        <w:tc>
          <w:tcPr>
            <w:tcW w:w="15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26.6</w:t>
            </w:r>
          </w:p>
        </w:tc>
        <w:tc>
          <w:tcPr>
            <w:tcW w:w="1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27.3</w:t>
            </w:r>
          </w:p>
        </w:tc>
        <w:tc>
          <w:tcPr>
            <w:tcW w:w="1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spacing w:after="0"/>
              <w:rPr>
                <w:sz w:val="18"/>
                <w:szCs w:val="18"/>
                <w:color w:val="auto"/>
              </w:rPr>
            </w:pPr>
          </w:p>
        </w:tc>
        <w:tc>
          <w:tcPr>
            <w:tcW w:w="3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spacing w:after="0"/>
              <w:rPr>
                <w:sz w:val="18"/>
                <w:szCs w:val="18"/>
                <w:color w:val="auto"/>
              </w:rPr>
            </w:pPr>
          </w:p>
        </w:tc>
        <w:tc>
          <w:tcPr>
            <w:tcW w:w="3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17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31.5</w:t>
            </w:r>
          </w:p>
        </w:tc>
        <w:tc>
          <w:tcPr>
            <w:tcW w:w="15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440" w:type="dxa"/>
            <w:vAlign w:val="bottom"/>
          </w:tcPr>
          <w:p>
            <w:pPr>
              <w:spacing w:after="0"/>
              <w:rPr>
                <w:sz w:val="20"/>
                <w:szCs w:val="20"/>
                <w:color w:val="auto"/>
              </w:rPr>
            </w:pPr>
          </w:p>
        </w:tc>
      </w:tr>
      <w:tr>
        <w:trPr>
          <w:trHeight w:val="21"/>
        </w:trPr>
        <w:tc>
          <w:tcPr>
            <w:tcW w:w="1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EEEEEE"/>
          </w:tcPr>
          <w:p>
            <w:pPr>
              <w:spacing w:after="0"/>
              <w:rPr>
                <w:sz w:val="18"/>
                <w:szCs w:val="18"/>
                <w:color w:val="auto"/>
              </w:rPr>
            </w:pPr>
          </w:p>
        </w:tc>
        <w:tc>
          <w:tcPr>
            <w:tcW w:w="178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060" w:type="dxa"/>
            <w:vAlign w:val="bottom"/>
            <w:gridSpan w:val="4"/>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156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7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5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68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780" w:type="dxa"/>
            <w:vAlign w:val="bottom"/>
            <w:gridSpan w:val="5"/>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17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spacing w:after="0"/>
              <w:rPr>
                <w:sz w:val="18"/>
                <w:szCs w:val="18"/>
                <w:color w:val="auto"/>
              </w:rPr>
            </w:pPr>
          </w:p>
        </w:tc>
        <w:tc>
          <w:tcPr>
            <w:tcW w:w="3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spacing w:after="0"/>
              <w:rPr>
                <w:sz w:val="18"/>
                <w:szCs w:val="18"/>
                <w:color w:val="auto"/>
              </w:rPr>
            </w:pPr>
          </w:p>
        </w:tc>
        <w:tc>
          <w:tcPr>
            <w:tcW w:w="34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7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10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tcPr>
          <w:p>
            <w:pPr>
              <w:spacing w:after="0"/>
              <w:rPr>
                <w:sz w:val="20"/>
                <w:szCs w:val="20"/>
                <w:color w:val="auto"/>
              </w:rPr>
            </w:pPr>
          </w:p>
        </w:tc>
      </w:tr>
      <w:tr>
        <w:trPr>
          <w:trHeight w:val="392"/>
        </w:trPr>
        <w:tc>
          <w:tcPr>
            <w:tcW w:w="14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2004 versus Third Quarter 2003</w:t>
      </w:r>
    </w:p>
    <w:p>
      <w:pPr>
        <w:spacing w:after="0" w:line="200" w:lineRule="exact"/>
        <w:rPr>
          <w:sz w:val="20"/>
          <w:szCs w:val="20"/>
          <w:color w:val="auto"/>
        </w:rPr>
      </w:pPr>
    </w:p>
    <w:p>
      <w:pPr>
        <w:spacing w:after="0" w:line="210"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8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00" w:type="dxa"/>
            <w:vAlign w:val="bottom"/>
          </w:tcPr>
          <w:p>
            <w:pPr>
              <w:spacing w:after="0"/>
              <w:rPr>
                <w:sz w:val="20"/>
                <w:szCs w:val="20"/>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3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68.7%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12.5</w:t>
            </w:r>
          </w:p>
        </w:tc>
        <w:tc>
          <w:tcPr>
            <w:tcW w:w="2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Pr>
          <w:p>
            <w:pPr>
              <w:spacing w:after="0"/>
              <w:rPr>
                <w:sz w:val="20"/>
                <w:szCs w:val="20"/>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20"/>
                <w:szCs w:val="20"/>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sales for the 2004 third quarter were $40.0 million, an increase of 32.2% compared to $30.3 million for the same quarter last year. This increase relates to an increase in subscription broadcasting sales and European retail sales and the appreciation of the Euro relative to the US Dollar.</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Net sales in our technology lines (subscription broadcasting, OEM, private label and computing companies) were approximately 68.7% of net sales for the third quarter of 2004 compared to 63.7% for the third quarter of 2003. Net sales in our technology lines for the third quarter of 2004 increased by 42.5% to $27.5 million from $19.3 million for the same period last year. The increase in technology sales was principally due to growth in subscription broadcasting and our global OEM business, which resulted from an increase in volume of remote control sales. The increase in volume was attributable to the continued deployment of advanced function set-top boxes by the service operators. These advanced functions include personal video recording (PVR), video-on-demand (VOD), and high definition (HD) television. This volume increase was partially offset by lower prices.</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7"/>
          <w:szCs w:val="17"/>
          <w:color w:val="auto"/>
        </w:rPr>
        <w:t>Net sales in our retail lines (</w:t>
      </w:r>
      <w:r>
        <w:rPr>
          <w:rFonts w:ascii="Times New Roman" w:cs="Times New Roman" w:eastAsia="Times New Roman" w:hAnsi="Times New Roman"/>
          <w:sz w:val="17"/>
          <w:szCs w:val="17"/>
          <w:i w:val="1"/>
          <w:iCs w:val="1"/>
          <w:color w:val="auto"/>
        </w:rPr>
        <w:t>One For All®</w:t>
      </w:r>
      <w:r>
        <w:rPr>
          <w:rFonts w:ascii="Times New Roman" w:cs="Times New Roman" w:eastAsia="Times New Roman" w:hAnsi="Times New Roman"/>
          <w:sz w:val="17"/>
          <w:szCs w:val="17"/>
          <w:color w:val="auto"/>
        </w:rPr>
        <w:t xml:space="preserve"> international and direct import) accounted for approximately 31.3% of total third quarter 2004 net sales compared to 36.3% for the corresponding period in 2003. Our net sales for the 2004 third quarter from our retail customers were $12.5 million, an increase of 14.1% from net sales of $11.0 million for the same quarter last year. The improvement in retail sales was due to an increase in sales of our Sky-branded digital accessories, </w:t>
      </w:r>
      <w:r>
        <w:rPr>
          <w:rFonts w:ascii="Times New Roman" w:cs="Times New Roman" w:eastAsia="Times New Roman" w:hAnsi="Times New Roman"/>
          <w:sz w:val="17"/>
          <w:szCs w:val="17"/>
          <w:i w:val="1"/>
          <w:iCs w:val="1"/>
          <w:color w:val="auto"/>
        </w:rPr>
        <w:t>One For All®</w:t>
      </w:r>
      <w:r>
        <w:rPr>
          <w:rFonts w:ascii="Times New Roman" w:cs="Times New Roman" w:eastAsia="Times New Roman" w:hAnsi="Times New Roman"/>
          <w:sz w:val="17"/>
          <w:szCs w:val="17"/>
          <w:color w:val="auto"/>
        </w:rPr>
        <w:t xml:space="preserve"> remote controls, audio-video accessories as well as the strengthening of the Euro and British Pound compared to the U.S. Dollar.</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profit for the third quarter of 2004 was $15.8 million compared to $11.8 million for the third quarter of 2003. Gross profit as a percent of sales for the third quarter of 2004 was 39.4% compared to 39.1% for the same period last year. The increase is primarily attributable to the strengthening of the Euro and British Pound compared to the U.S. Dollar, which resulted in an increase of approximately $1.0 million of gross profit and added 1.4% to the gross profit rate. This item was partially offset due to retail sales, which generally have a somewhat higher gross profit rate, being a smaller percentage of our total business.</w:t>
      </w:r>
    </w:p>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53.3% from $1.2 million in the third quarter of 2003 to $1.8 million for the same period in 2004. Reasons for the increase include continued expansion of the Nevo platform and development of audio-video accessories for sale in our retail channel.</w:t>
      </w:r>
    </w:p>
    <w:p>
      <w:pPr>
        <w:spacing w:after="0" w:line="13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29.3% from $8.2 million in the third quarter of 2003 to $10.7 million for the same period in 2004. Approximately $0.8 million of the increase was attributable to performance-based employee bonuses, $0.7 million to Sarbanes-Oxley compliance efforts, $0.4 million to appreciation of the Euro relative to the U.S. Dollar, and $0.3 million to payroll and benefits.</w:t>
      </w:r>
    </w:p>
    <w:p>
      <w:pPr>
        <w:spacing w:after="0" w:line="13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the third quarter of 2004, we recorded $261,000 of interest income compared to $106,000 for the same period last year. This increase is due to higher money market rates in Europe, an investment in a certificate of deposit and a higher average cash balance.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third quarter of 2004, other expense was $551,000 as compared to $29,000 of other income for the same period last year. Approximately $357,000 of expense was the result of our write-down of an investment in a private company, and $182,000 of expense resulted from foreign currency exchange losses.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$1.1 million for the third quarter of 2004 compared to $0.9 million for the same period last year. Our estimated effective tax rate was 35.9% during the three months ended September 30, 2004 and 34.0% during the three months ended September 30, 2003. The increased rate included the impact of the expiration of the federal R&amp;D income tax credit on June 30, 2004. Recent legislation re-instated the R&amp;D tax credit into law, retroactively, on October 4, 2004. As a result, our tax expense included a charge of approximately $38,000 in the third quarter of 2004 and we will recognize a credit for the same amount in the fourth quarter of 2004 when the benefit of the R&amp;D income tax credit is recorded. Consequently, this issue will not effect our effective tax rate for the year.</w:t>
      </w:r>
    </w:p>
    <w:p>
      <w:pPr>
        <w:spacing w:after="0" w:line="14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2004 was $1.9 million or $0.14 per share (basic and diluted) compared to $1.7 million or $0.12 per share (basic and diluted) for the third quarter of 2003.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2004 versus Nine Months ended September 30, 2003</w:t>
      </w:r>
    </w:p>
    <w:p>
      <w:pPr>
        <w:spacing w:after="0" w:line="200" w:lineRule="exact"/>
        <w:rPr>
          <w:sz w:val="20"/>
          <w:szCs w:val="20"/>
          <w:color w:val="auto"/>
        </w:rPr>
      </w:pPr>
    </w:p>
    <w:p>
      <w:pPr>
        <w:spacing w:after="0" w:line="210" w:lineRule="exact"/>
        <w:rPr>
          <w:sz w:val="20"/>
          <w:szCs w:val="20"/>
          <w:color w:val="auto"/>
        </w:rPr>
      </w:pPr>
    </w:p>
    <w:tbl>
      <w:tblPr>
        <w:tblLayout w:type="fixed"/>
        <w:tblInd w:w="20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00" w:type="dxa"/>
            <w:vAlign w:val="bottom"/>
          </w:tcPr>
          <w:p>
            <w:pPr>
              <w:spacing w:after="0"/>
              <w:rPr>
                <w:sz w:val="20"/>
                <w:szCs w:val="20"/>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8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9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EEEEEE"/>
          </w:tcPr>
          <w:p>
            <w:pPr>
              <w:spacing w:after="0"/>
              <w:rPr>
                <w:sz w:val="18"/>
                <w:szCs w:val="18"/>
                <w:color w:val="auto"/>
              </w:rPr>
            </w:pPr>
          </w:p>
        </w:tc>
        <w:tc>
          <w:tcPr>
            <w:tcW w:w="1340" w:type="dxa"/>
            <w:vAlign w:val="bottom"/>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106.7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tcPr>
          <w:p>
            <w:pPr>
              <w:spacing w:after="0"/>
              <w:rPr>
                <w:sz w:val="20"/>
                <w:szCs w:val="20"/>
                <w:color w:val="auto"/>
              </w:rPr>
            </w:pPr>
          </w:p>
        </w:tc>
        <w:tc>
          <w:tcPr>
            <w:tcW w:w="13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nine months ended September 30, 2004 were $106.7 million, an increase of 25.6% compared to $84.9 million for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relates to an increase in subscription broadcasting sales and European retail sales and the appreciation of the Euro relative to the US dollar.</w:t>
      </w:r>
    </w:p>
    <w:p>
      <w:pPr>
        <w:spacing w:after="0" w:line="16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Net sales in our technology lines (subscription broadcasting, OEM, private label and computing companies) were approximately 67.4% of net sales for the nine months ended September 30, 2004 compared to 68.9% for the same period of 2003. Net sales in our technology lines for the nine months ended September 30, 2004 increased by 23.0% to $71.9 million from $58.5 million for the same period last year. The increase in technology sales was principally due to growth in subscription broadcasting as well as our global OEM business, which resulted from an increase in volume of remote control sales. The increase in volume was attributable to the continued deployment of advanced function set-top boxes by the service operators. These advanced functions include personal video recording (PVR), video-on-demand (VOD), and high definition (HD) television. This volume increase was partially offset by lower prices.</w:t>
      </w:r>
    </w:p>
    <w:p>
      <w:pPr>
        <w:spacing w:after="0" w:line="16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Net sales in our retail lines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18"/>
          <w:szCs w:val="18"/>
          <w:color w:val="auto"/>
        </w:rPr>
        <w:t xml:space="preserve"> international and direct import) accounted for approximately 32.6% of total net sales for the nine months ended September 30, 2004, compared to 31.1% for the corresponding period in 2003. Our net sales for the nine months ended September 30, 2004 from our retail customers were $34.8 million, an increase of 31.4% from net sales of $26.4 million for the same period last year. The improvement in retail sales was due to an increase in sales of our Sky-branded digital accessories, audio-video accessories,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18"/>
          <w:szCs w:val="18"/>
          <w:color w:val="auto"/>
        </w:rPr>
        <w:t xml:space="preserve"> remote controls as well as the strengthening of the Euro and British Pound relative to the U.S. Dollar.</w:t>
      </w:r>
    </w:p>
    <w:p>
      <w:pPr>
        <w:spacing w:after="0" w:line="1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retail revenue to be a greater percentage of total revenue in the fourth quarter of 2004 as compared to the third quarter of 2004 primarily due to the cyclic nature of the retail business and the expansion of our European retail distribution channel.</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Gross profit for the nine months ended September 30, 2004 was $41.3 million compared to $32.8 million for the same period of 2003. Gross profit as a percent of sales for the nine months ended September 30, 2004 was 38.8%</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compared to 38.6% for the same period last year. The increase is primarily attributable to the strengthening of the Euro and British Pound compared to the U.S. Dollar, which resulted in an increase of approximately $2.9 million of gross profit and added 1.6% to the gross profit rate. This item was partially offset by increased inventory write-downs of $1.1 million. Inventory write-downs are a normal part of our business and result primarily from product life cycle estimation variances.</w:t>
      </w:r>
    </w:p>
    <w:p>
      <w:pPr>
        <w:spacing w:after="0" w:line="153"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15.6% from $3.5 million in the nine months ended September 30, 2003 to $4.1 million for the same period in 2004. Reasons for the increase include continued expansion of the Nevo platform and development of audio-video accessories for sale in our retail channel.</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22.7% from $24.0 million in the nine months ended September 30, 2003 to $29.5 million for the same period in 2004. Approximately $1.4 million of the increase was attributable to performance-based employee bonuses, $1.2 million to appreciation of the Euro relative to the U.S. Dollar, $1.1 million to Sarbanes-Oxley compliance efforts, $0.5 million to outside legal fees related to patent infringement suits, $0.4 million to delivery and freight related to higher volume, $0.4 million to payroll and benefits, and $0.3 million to recruiting and training costs.</w:t>
      </w:r>
    </w:p>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2004, we recorded $0.5 million of interest income, compared to $0.4 million for the same period last year. This increase is due to higher money market rates in Europe, an investment in a certificate of deposit and a higher average cash balance in 2004.</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2004, other expense amounted to $57,000 as compared to $95,000 of other income for the same period last year. Approximately $357,000 of expense was the result of our write-down of an investment in a private company. This was offset by $309,000 of income that resulted from foreign currency exchange gains.</w:t>
      </w:r>
    </w:p>
    <w:p>
      <w:pPr>
        <w:spacing w:after="0" w:line="1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recorded income tax expense of $2.9 million for the nine months ended September 30, 2004 compared to $2.0 million for the same period last year. Our estimated effective tax rate was 34.7% during the nine months ended September 30, 2004 and 34.0% during the nine months ended September 30, 2003. The increased rate included the impact of the expiration of the federal R&amp;D income tax credit on June 30, 2004. Recent legislation re-instated the R&amp;D tax credit into law, retroactively, on October 4, 2004. As a result, our tax expense included a charge of approximately $38,000 in the third quarter of 2004 and we will recognize a credit for the same amount in the fourth quarter of 2004 when the benefit of the R&amp;D income tax credit is recorded. Consequently, this issue will not effect our effective tax rate for the year.</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nine months ended September 30, 2004 was $5.4 million or $0.40 per share (basic) and $0.39 per share (diluted) compared to $3.8 million, or $0.28 per share (basic) and $0.27 per share (diluted) for the same period last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0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2000" w:type="dxa"/>
            <w:vAlign w:val="bottom"/>
          </w:tcPr>
          <w:p>
            <w:pPr>
              <w:spacing w:after="0"/>
              <w:rPr>
                <w:sz w:val="16"/>
                <w:szCs w:val="16"/>
                <w:color w:val="auto"/>
              </w:rPr>
            </w:pPr>
          </w:p>
        </w:tc>
      </w:tr>
      <w:tr>
        <w:trPr>
          <w:trHeight w:val="64"/>
        </w:trPr>
        <w:tc>
          <w:tcPr>
            <w:tcW w:w="4340" w:type="dxa"/>
            <w:vAlign w:val="bottom"/>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r>
      <w:tr>
        <w:trPr>
          <w:trHeight w:val="259"/>
        </w:trPr>
        <w:tc>
          <w:tcPr>
            <w:tcW w:w="43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$53,960</w:t>
            </w:r>
          </w:p>
        </w:tc>
        <w:tc>
          <w:tcPr>
            <w:tcW w:w="174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$(4,521)</w:t>
            </w:r>
          </w:p>
        </w:tc>
        <w:tc>
          <w:tcPr>
            <w:tcW w:w="17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$58,481</w:t>
            </w:r>
          </w:p>
        </w:tc>
        <w:tc>
          <w:tcPr>
            <w:tcW w:w="2000" w:type="dxa"/>
            <w:vAlign w:val="bottom"/>
          </w:tcPr>
          <w:p>
            <w:pPr>
              <w:spacing w:after="0"/>
              <w:rPr>
                <w:sz w:val="22"/>
                <w:szCs w:val="22"/>
                <w:color w:val="auto"/>
              </w:rPr>
            </w:pPr>
          </w:p>
        </w:tc>
      </w:tr>
      <w:tr>
        <w:trPr>
          <w:trHeight w:val="234"/>
        </w:trPr>
        <w:tc>
          <w:tcPr>
            <w:tcW w:w="43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Working capital</w:t>
            </w: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83,618</w:t>
            </w:r>
          </w:p>
        </w:tc>
        <w:tc>
          <w:tcPr>
            <w:tcW w:w="17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1,427</w:t>
            </w:r>
          </w:p>
        </w:tc>
        <w:tc>
          <w:tcPr>
            <w:tcW w:w="176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82,191</w:t>
            </w:r>
          </w:p>
        </w:tc>
        <w:tc>
          <w:tcPr>
            <w:tcW w:w="2000" w:type="dxa"/>
            <w:vAlign w:val="bottom"/>
          </w:tcPr>
          <w:p>
            <w:pPr>
              <w:spacing w:after="0"/>
              <w:rPr>
                <w:sz w:val="20"/>
                <w:szCs w:val="20"/>
                <w:color w:val="auto"/>
              </w:rPr>
            </w:pPr>
          </w:p>
        </w:tc>
      </w:tr>
      <w:tr>
        <w:trPr>
          <w:trHeight w:val="405"/>
        </w:trPr>
        <w:tc>
          <w:tcPr>
            <w:tcW w:w="4340" w:type="dxa"/>
            <w:vAlign w:val="bottom"/>
          </w:tcPr>
          <w:p>
            <w:pPr>
              <w:spacing w:after="0"/>
              <w:rPr>
                <w:sz w:val="24"/>
                <w:szCs w:val="24"/>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6"/>
        </w:trPr>
        <w:tc>
          <w:tcPr>
            <w:tcW w:w="43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20" w:type="dxa"/>
            <w:vAlign w:val="bottom"/>
          </w:tcPr>
          <w:p>
            <w:pPr>
              <w:spacing w:after="0"/>
              <w:rPr>
                <w:sz w:val="13"/>
                <w:szCs w:val="13"/>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2004</w:t>
            </w:r>
          </w:p>
        </w:tc>
        <w:tc>
          <w:tcPr>
            <w:tcW w:w="2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 2003</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56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5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560" w:type="dxa"/>
            <w:vAlign w:val="bottom"/>
            <w:shd w:val="clear" w:color="auto" w:fill="EEEEEE"/>
          </w:tcPr>
          <w:p>
            <w:pPr>
              <w:jc w:val="right"/>
              <w:ind w:right="476"/>
              <w:spacing w:after="0"/>
              <w:rPr>
                <w:sz w:val="20"/>
                <w:szCs w:val="20"/>
                <w:color w:val="auto"/>
              </w:rPr>
            </w:pPr>
            <w:r>
              <w:rPr>
                <w:rFonts w:ascii="Times New Roman" w:cs="Times New Roman" w:eastAsia="Times New Roman" w:hAnsi="Times New Roman"/>
                <w:sz w:val="18"/>
                <w:szCs w:val="18"/>
                <w:color w:val="auto"/>
              </w:rPr>
              <w:t>$ 4,916</w:t>
            </w:r>
          </w:p>
        </w:tc>
        <w:tc>
          <w:tcPr>
            <w:tcW w:w="1800" w:type="dxa"/>
            <w:vAlign w:val="bottom"/>
            <w:gridSpan w:val="2"/>
            <w:shd w:val="clear" w:color="auto" w:fill="EEEEEE"/>
          </w:tcPr>
          <w:p>
            <w:pPr>
              <w:jc w:val="right"/>
              <w:ind w:right="388"/>
              <w:spacing w:after="0"/>
              <w:rPr>
                <w:sz w:val="20"/>
                <w:szCs w:val="20"/>
                <w:color w:val="auto"/>
              </w:rPr>
            </w:pPr>
            <w:r>
              <w:rPr>
                <w:rFonts w:ascii="Times New Roman" w:cs="Times New Roman" w:eastAsia="Times New Roman" w:hAnsi="Times New Roman"/>
                <w:sz w:val="18"/>
                <w:szCs w:val="18"/>
                <w:color w:val="auto"/>
              </w:rPr>
              <w:t>$ (6,824)</w:t>
            </w:r>
          </w:p>
        </w:tc>
        <w:tc>
          <w:tcPr>
            <w:tcW w:w="1760" w:type="dxa"/>
            <w:vAlign w:val="bottom"/>
            <w:gridSpan w:val="2"/>
            <w:shd w:val="clear" w:color="auto" w:fill="EEEEEE"/>
          </w:tcPr>
          <w:p>
            <w:pPr>
              <w:jc w:val="right"/>
              <w:ind w:right="528"/>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(used for) provided by investing activities</w:t>
            </w: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(4,697)</w:t>
            </w:r>
          </w:p>
        </w:tc>
        <w:tc>
          <w:tcPr>
            <w:tcW w:w="18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(24,784)</w:t>
            </w:r>
          </w:p>
        </w:tc>
        <w:tc>
          <w:tcPr>
            <w:tcW w:w="17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20,087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1560" w:type="dxa"/>
            <w:vAlign w:val="bottom"/>
            <w:shd w:val="clear" w:color="auto" w:fill="EEEEEE"/>
          </w:tcPr>
          <w:p>
            <w:pPr>
              <w:jc w:val="right"/>
              <w:ind w:right="416"/>
              <w:spacing w:after="0"/>
              <w:rPr>
                <w:sz w:val="20"/>
                <w:szCs w:val="20"/>
                <w:color w:val="auto"/>
              </w:rPr>
            </w:pPr>
            <w:r>
              <w:rPr>
                <w:rFonts w:ascii="Times New Roman" w:cs="Times New Roman" w:eastAsia="Times New Roman" w:hAnsi="Times New Roman"/>
                <w:sz w:val="18"/>
                <w:szCs w:val="18"/>
                <w:color w:val="auto"/>
              </w:rPr>
              <w:t>(4,488)</w:t>
            </w:r>
          </w:p>
        </w:tc>
        <w:tc>
          <w:tcPr>
            <w:tcW w:w="1800" w:type="dxa"/>
            <w:vAlign w:val="bottom"/>
            <w:gridSpan w:val="2"/>
            <w:shd w:val="clear" w:color="auto" w:fill="EEEEEE"/>
          </w:tcPr>
          <w:p>
            <w:pPr>
              <w:jc w:val="right"/>
              <w:ind w:right="388"/>
              <w:spacing w:after="0"/>
              <w:rPr>
                <w:sz w:val="20"/>
                <w:szCs w:val="20"/>
                <w:color w:val="auto"/>
              </w:rPr>
            </w:pPr>
            <w:r>
              <w:rPr>
                <w:rFonts w:ascii="Times New Roman" w:cs="Times New Roman" w:eastAsia="Times New Roman" w:hAnsi="Times New Roman"/>
                <w:sz w:val="18"/>
                <w:szCs w:val="18"/>
                <w:color w:val="auto"/>
              </w:rPr>
              <w:t>(7,319)</w:t>
            </w:r>
          </w:p>
        </w:tc>
        <w:tc>
          <w:tcPr>
            <w:tcW w:w="1760" w:type="dxa"/>
            <w:vAlign w:val="bottom"/>
            <w:gridSpan w:val="2"/>
            <w:shd w:val="clear" w:color="auto" w:fill="EEEEEE"/>
          </w:tcPr>
          <w:p>
            <w:pPr>
              <w:jc w:val="right"/>
              <w:ind w:right="528"/>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5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(252)</w:t>
            </w:r>
          </w:p>
        </w:tc>
        <w:tc>
          <w:tcPr>
            <w:tcW w:w="18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382</w:t>
            </w:r>
          </w:p>
        </w:tc>
        <w:tc>
          <w:tcPr>
            <w:tcW w:w="1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Our principal source of funds is operations. Cash provided by operating activities for the first nine months of 2004 was $4.9 million as compared to $11.7 million in the corresponding period in 2003. The decrease in operating cash flow is primarily due to the increase in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 2004, we acquired Simple Devices Inc. for approximately $12.5 million in cash.</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September 2003, we terminated our $15,000,000 unsecured revolving credit agreement with Bank of America National Trust and Savings Association. On September 15, 2003, we entered into a three-year $15,000,000 unsecured revolving credit agreement (the “Agreement”) with Comerica Bank (“Comerica”). Under the Agreement with Comerica, the interest payable is variable and is based on either the bank’s cost of funds or the LIBOR rate plus a fixed margin of 1.25%. The interest rate in effect as of September 30, 2004 using the LIBOR Rate option plus a fixed margin of 1.25% was 3.09%. We pay a commitment fee ranging from zero to a maximum rate of 1/4 of 1% per year on the unused portion of the credit line, depending on the amount of cash investment retained with Comerica during each quarter. Under the terms of this Agreement, dividend payments are allowed in an amount up to 100% of net income of the prior fiscal year period and must be paid within 90 days after the end of such prior year; we also are subject to certain financial covenants related to the Company’s net worth, quick ratio, and net income. Amounts available for borrowing under this credit facility are reduced by the outstanding balance of import letters of credit. As of September 30, 2004, we had no amounts outstanding under this credit facility and no outstanding import letters of credit. Furthermore, as of September 30, 2004, we are in compliance with all financial covenants required by the agreement.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authority under this credit facility to acquire up to 1,500,000 shares of our common stock in market purchases. Between the date of execution of the credit agreement and September 30, 2004, 491,543 shares of our common stock have been purchased. In the first nine months of 2004, we purchased 445,807 shares of our common stock at a cost of $5.9 million. We hold these shares as treasury stock, and they are available for reissue by us. Presently, except for using a small number of these treasury shares to compensate our outside board members, we have no plans to distribute these shares, although we may change these plans if necessary to fulfill our on-going business objectives. In addition, during the nine months ended September 30, 2004, we received proceeds of approximately $0.8 million from the exercise of stock options, as compared to approximately $3.2 million during the same period in 2003.</w:t>
      </w:r>
    </w:p>
    <w:p>
      <w:pPr>
        <w:spacing w:after="0" w:line="1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Capital expenditures in the first nine months of 2004 and 2003 were approximately $1.9 million and $1.9 million, respectively. These expenditures related primarily to acquiring product tooling each year.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2002, the FASB issued Emerging Issues Task Force (“EITF”) Issue No. 00-21, “Revenue Arrangements with Multiple Deliverables.” EITF Issue No. 00-21 addresses certain aspects of the accounting by a company for arrangements under which it will perform multiple revenue-generating activities. EITF Issue No. 00-21 addresses when and how an arrangement involving multiple deliverables should be divided into separate units of accounting. EITF Issue No. 00-21 provides guidance with respect to the effect of certain customer rights due to company nonperformance on the recognition of revenue allocated to delivered units of accounting. EITF Issue No. 00-21 also addresses the impact on the measurement and/or allocation of arrangement consideration of customer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cancellation provisions and consideration that varies as a result of future actions of the customer or the company. Finally, EITF Issue No. 00-21 provides guidance with respect to recognition of the cost of certain deliverables that are excluded from the revenue accounting for an arrangement. The provisions of EITF Issue No. 00-21 apply to revenue arrangements entered into in fiscal periods beginning after September 15, 2003. The adoption of EITF Issue No. 00-21 did not have a material effect on our financial position, results of operations, or cash flows.</w:t>
      </w:r>
    </w:p>
    <w:p>
      <w:pPr>
        <w:spacing w:after="0" w:line="15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January 2003, the FASB issued FIN 46, “Consolidation of Variable Interest Entities,” an Interpretation of Accounting Research Bulletin No. 51. FIN 46 requires certain variable interest entities to be consolidated by the primary beneficiary of the entity, if the equity investors in the entity do not have the characteristics of a controlling financial interest or do not have sufficient equity at risk for the entity to finance its activities without additional subordinated financial support from other parties. FIN 46 is effective immediately for all new variable interest entities created or acquired after January 31, 2003. The adoption of FIN 46 did not have a material impact on our consolidated financial position, results of operations or cash flows.</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2003, the FASB issued FIN 46R with respect to variable interest entities created before January 31, 2003, which among other things, revised the implementation date to the first fiscal year or interim period ending after March 15, 2004, with the exception of Special Purpose Entities (“SPEs”). The consolidation requirements apply to all SPEs in the first fiscal year or interim period ending after December 15, 2003. The adoption of FIN 46R with respect to SPEs did not have a material effect on our financial position or results of operations, and the adoption of the provisions for non-SPEs did not have a material impact on our financial position, results of operations or cash flows.</w:t>
      </w:r>
    </w:p>
    <w:p>
      <w:pPr>
        <w:spacing w:after="0" w:line="1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May 2003, the FASB issued SFAS No. 150, “Accounting for Certain Financial Instruments with Characteristics of both Liabilities and Equity.” SFAS 150 established new standards for how an issuer classifies and measures certain financial instruments with characteristics of both liabilities and equity. SFAS 150 is effective for financial instruments entered into or modified after May 31, 2003 and otherwise is effective at the beginning of the first interim period beginning after September 15, 2003, except for certain mandatorily redeemable non-controlling interests. The adoption of SFAS 150 did not have a material effect on our financial position, results of operations, or cash flows.</w:t>
      </w:r>
    </w:p>
    <w:p>
      <w:pPr>
        <w:spacing w:after="0" w:line="1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December 2003, the Securities and Exchange Commission issued Staff Accounting Bulletin (SAB) No. 104, “Revenue Recognition,” which revised or rescinded portions of its previously existing revenue recognition guidance in order to make it consistent with current authoritative accounting and auditing guidance and Securities and Exchange Commission rules and regulations. The adoption of SAB No. 104 did not have a material effect on our financial position, results of operations or cash flows.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Financial Condition And Future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the following important factors, among others (including but not limited to factors discussed below or above in “Management’s Discussion and Analysis of Financial Condition and Results of Operations,” as well as those factors discussed elsewhere in this Quarterly Report on Form 10-Q,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we believe that the forward 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the Company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the continued strength of our balance sheet; our inability to continue selling our products or licensing our technologies at higher or profitable margins; the failure of the various markets and industries to grow or emerge as rapidly or as successfully as we believed;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Dependence upon Key Suppliers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Most of the components used in our products are available from multiple sources; however, we have elected to purchase integrated circuit components used in our products, principally our wireless control products, and certain other components used in our products, from two main sources, each of which provides in excess of ten percent (10%) of the microprocessors used in our products. We have identified alternative sources of supply for these integrated circuit components. However, there can be no assurance that we will be able to continue to obtain these components on a timely basis. We generally maintain some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Dependence on Foreign Manufacturing</w:t>
      </w:r>
    </w:p>
    <w:p>
      <w:pPr>
        <w:spacing w:after="0" w:line="2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foreign currency exchange rate fluctuations and other factors,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Fluctuations in Quarterly Results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quarterly financial results may vary significantly depending primarily upon factors such as the timing of significant orders, the timing of our new product offerings and those of our competitors and the loss or acquisition of any significant customers. Historically, our business has been influenced by the retail sales cycle, with increased sales in the last half of the year and the largest proportion of sales occurring in the last quarter. Factors such as quarterly variations in financial results could adversely affect the market price of our common stock and cause it to fluctuate substantially. We (i) may from time to time increase our operating expenses to fund greater levels of research and development, increase our sales and marketing activities, develop new distribution channels, improve our operational and financial systems and broaden our customer support capabilities; (ii) may incur significant operating expenses associated with any new acquisitions; and (iii) may incur significant operating expenses in our efforts to comply with various government regulations. To the extent such expenses precede or are not subsequently followed by increased revenues, our business, operating results, financial condition and cash flows will be materially adversely affected.</w:t>
      </w:r>
    </w:p>
    <w:p>
      <w:pPr>
        <w:spacing w:after="0" w:line="1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experience significant fluctuations in future quarterly operating results that may be caused by many factors, including demand for products, introduction or enhancement of products by us and our competitors, the loss or acquisition of any significant customers, market acceptance of new products, price reductions by us or our competitors, mix of distribution channels through which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Due to all of the foregoing factors, in some future quarters our operating results may be below the expectations of public market analysts and investors. In such event, the price of our common stock would likely be materially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Dependence on Consumer Preference</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susceptible to fluctuations in our business based upon consumer demand for our products. We believe our success depends in substantial part on our ability to anticipate, gauge and respond to such fluctuations in consumer demand. However, it is impossible to predict with complete accuracy the occurrence and effect of any such event that will cause such fluctuations in consumer demand for our products. Moreover, we caution that any increases in sales or growth in revenue we achieve may be transitory and should by no means be construed to mean that such increases or growth will continue.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for Consumer Service and Support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continually provided domestic and international consumer service and support to our customers to add overall value and to help differentiate us from our competitors. In March 2003, our largest customer notified us that as a result of a merger, it would conduct all of its consumer service and support activities internally and cease using our services commencing the second quarter of 2003. Consequently, revenue for consumer service and support from this customer has ceased. In light of this, we have reviewed our domestic service and support group and are marketing our expertise in this area to other potential customers. To date, we have not obtained any new customers, and there can be no assurance that we will be able to attract new customers in the future. In addition, if other</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customers decide to cease using this service, we would be unable to offset costs associated with providing this service, resulting in a significant adverse effect on our financial condition, results of operations and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Dependence Upon Timely Product Introduction</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ability to remain competitive in the wireless control products market will depend in part upon our ability to successfully identify new product opportunities and to develop and introduce new products and enhancements on a timely and cost effective basis. There can be no assurance that we will be successful in developing and marketing new products or in enhancing our existing products, or that such new or enhanced products will achieve consumer acceptance, and, if achieved, will sustain that acceptance,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14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In addition, our introduction of new products may require the expenditure of a significant amount of funds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Dependence on Major Customers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economic strengths and weaknesses of our worldwide customers affect our performance. We sell our wireless control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South Africa, Australia, and Argentina currently representing our principal foreign markets. During the first three quarters of 2004 and the year ended 2003, we had sales to one customer that amounted to more than ten percent of our net sales for the respective period. In addition, for the same periods, we had sales to a customer and its sub-contractors, that when combined, exceeded 10% of net sales for the respective period. The future loss of these customers or any other key customer, either in the United States or abroad, due to the financial weakness or bankruptcy of any such customer or to our inability to obtain orders or maintain our order volume with our major customers, may have an adverse effect on our financial condition, results of operations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Integration of SimpleDevices</w:t>
      </w:r>
    </w:p>
    <w:p>
      <w:pPr>
        <w:spacing w:after="0" w:line="20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On October 1, 2004, we acquired SimpleDevices Inc. for approximately $12.5 million in cash, plus a performance-based payment of our unregistered common stock, tied to achieving certain future financial objectives. SimpleDevices, a privately held company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While it is our current belief that this acquisition will breakeven in 2004 and be accretive in 2005, such success will depend upon (i) our ability to bring SimpleDevices’ products to market in a timely and cost effective manner; (ii) the market accepting SimpleDevices’ products and technology to the extent anticipated by us;</w:t>
      </w:r>
    </w:p>
    <w:p>
      <w:pPr>
        <w:ind w:right="100" w:firstLine="8"/>
        <w:spacing w:after="0" w:line="255"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SimpleDevices’ products and business into our own product offerings and business in a cost effective manner; and (iv) our ability to control the overall costs associated with SimpleDevices in the manner we anticipate. The failure of any of these items could have a material effect on our financial condition, results of operations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wireless control industry is characterized by intense competition based primarily on product availability, price, speed of delivery, ability to tailor specific solutions to customer needs and quality and depth of product lines. Our competition is fragmented across our product lines,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and develop and introduce new products and enhancements on a timely and cost effective basis, as well as our ability to identify and enter into strategic alliances with entities doing business within the industries we serve. There can be no assurance that we and our product offerings will be and/or remain competitive or that our strategic alliances will achieve the type, extent and amount of success or business that we expect or hope to achieve.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 Trademarks, and Copyrights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procedures by which we identify, document and file for patent, trademark and copyright protection are based solely on engineering and management judgment, with no assurance that a specific filing will issue, or, if issued, will deliver any lasting value to us. There is no assurance that rights granted under any patent will provide competitive advantages to us or will be adequate to safeguard and maintain our proprietary rights. Moreover, the</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laws of certain countries in which our products are or may be manufactured or sold may not protect such products and intellectual property rights to the same extent as the U.S. legal system.</w:t>
      </w:r>
    </w:p>
    <w:p>
      <w:pPr>
        <w:spacing w:after="0" w:line="13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our opinion, our intellectual property holdings and the engineering, production and marketing skills and experience of our personnel are of equal importance to our market position. We further believe that none of our businesses is dependent to any material extent upon any single patent, copyright, trademark or trade secret.</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that certain components of our products and business methods may unknowingly infringe patents of others.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Litigation</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is typical in our industry and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the present time, we have filed two lawsuits against third parties. In these actions, we are seeking money damages and injunctive relief for infringement of certain of our intellectual property. In one of these actions, the third party has filed a counterclaim against us seeking a declaration that certain of our patents are invalid and unenforceable. It is our opinion that our patents are valid and enforceable, and we intend to defend against such counterclaim vigorously. In addition, there is one action pending against us in which a trustee for the bankruptcy estate of a former service provider has alleged that we received preferential treatment in connection with certain payments made on our behalf by the service provider. We disagree with these allegations and intend to vigorously defend ourselves against them. Furthermore, one of the Company’s subsidiaries filed a lawsuit against a former distributor of the subsidiary’s products seeking a recovery of monies wrongfully retained by the distributor. At September 30, 2004, these monies are primarily included in accounts receivable. The distributor filed a counterclaim against the subsidiary seeking payment for amounts allegedly owed for administrative and other services rendered by the distributor for the subsidiary. The subsidiary disagrees with these allegations and has vigorously defended itself against this counterclaim. In addition, this same distributor brought an action against another subsidiary of the Company seeking damages for wrongful termination of agency agreements. The subsidiary disagrees with these allegations and has vigorously defended itself against this lawsuit. Finally, an ex-employee of one of the Company’s subsidiaries brought an action against the subsidiary seeking damages for wrongful termination. The subsidiary disagrees with these allegations and has vigorously defended itself against this claim.</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this time, we do not believe that it is probable that there will be an unfavorable outcome of any of the pending actions to which we or our subsidiaries are parties; accordingly, we have not recorded a reserve against receivables due us or our subsidiary, nor have we recorded an amount for any potential loss contingency in our consolidated financial statements. While it is our opinion that our products do not infringe any third party’s patent or other intellectual property rights, that we have valid claims against those parties that we have sued, and that the claims made against us or our subsidiaries are without merit, the costs associated with defending or pursuing any such claims or litigation, including the matters discussed in this Quarterly Report on Form 10-Q, could be substantial and amounts awarded against us as final judgments, if any, or amounts for which we made claims being rejected by a court in any such potential or pending litigation, could have a significant and material adverse effect on our financial condition, results of operations, or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risks of doing business internationally could adversely affect our sales, operations, earnings and cash flows due to a variety of factors, including, but not limited to:</w:t>
      </w:r>
    </w:p>
    <w:p>
      <w:pPr>
        <w:spacing w:after="0" w:line="162" w:lineRule="exact"/>
        <w:rPr>
          <w:sz w:val="20"/>
          <w:szCs w:val="20"/>
          <w:color w:val="auto"/>
        </w:rPr>
      </w:pPr>
    </w:p>
    <w:p>
      <w:pPr>
        <w:ind w:left="460" w:right="240" w:hanging="177"/>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country’s or region’s economic or political conditions, including inflation, recession, interest rate fluctuations and actual or anticipated military conflicts;</w:t>
      </w:r>
    </w:p>
    <w:p>
      <w:pPr>
        <w:spacing w:after="0" w:line="161" w:lineRule="exact"/>
        <w:rPr>
          <w:rFonts w:ascii="Times New Roman" w:cs="Times New Roman" w:eastAsia="Times New Roman" w:hAnsi="Times New Roman"/>
          <w:sz w:val="18"/>
          <w:szCs w:val="18"/>
          <w:color w:val="auto"/>
        </w:rPr>
      </w:pPr>
    </w:p>
    <w:p>
      <w:pPr>
        <w:ind w:left="460" w:right="360" w:hanging="177"/>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161" w:lineRule="exact"/>
        <w:rPr>
          <w:rFonts w:ascii="Times New Roman" w:cs="Times New Roman" w:eastAsia="Times New Roman" w:hAnsi="Times New Roman"/>
          <w:sz w:val="18"/>
          <w:szCs w:val="18"/>
          <w:color w:val="auto"/>
        </w:rPr>
      </w:pPr>
    </w:p>
    <w:p>
      <w:pPr>
        <w:ind w:left="460" w:right="20" w:hanging="177"/>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affecting costs, particularly the Euro, the British Pound and the Chinese Yuan, which contribute to variances in costs in impacted jurisdictions and also affect our reported results expressed in U.S. dollars;</w:t>
      </w:r>
    </w:p>
    <w:p>
      <w:pPr>
        <w:spacing w:after="0" w:line="161"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cycles and financial instability among customers;</w:t>
      </w:r>
    </w:p>
    <w:p>
      <w:pPr>
        <w:spacing w:after="0" w:line="225"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regulations and procedures and actions affecting production, pricing and marketing of products;</w:t>
      </w:r>
    </w:p>
    <w:p>
      <w:pPr>
        <w:spacing w:after="0" w:line="225"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conditions, customs and regulations;</w:t>
      </w:r>
    </w:p>
    <w:p>
      <w:pPr>
        <w:spacing w:after="0" w:line="225"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or legal environment;</w:t>
      </w:r>
    </w:p>
    <w:p>
      <w:pPr>
        <w:spacing w:after="0" w:line="225"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 or customer requirements;</w:t>
      </w:r>
    </w:p>
    <w:p>
      <w:pPr>
        <w:spacing w:after="0" w:line="225" w:lineRule="exact"/>
        <w:rPr>
          <w:rFonts w:ascii="Times New Roman" w:cs="Times New Roman" w:eastAsia="Times New Roman" w:hAnsi="Times New Roman"/>
          <w:sz w:val="18"/>
          <w:szCs w:val="18"/>
          <w:color w:val="auto"/>
        </w:rPr>
      </w:pPr>
    </w:p>
    <w:p>
      <w:pPr>
        <w:ind w:left="460" w:right="20" w:hanging="177"/>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61"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repatriating cash generated or held abroad in a tax-efficient manner and changes in tax laws;</w:t>
      </w:r>
    </w:p>
    <w:p>
      <w:pPr>
        <w:spacing w:after="0" w:line="225"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costs and disruptions at important geographic points of exit and entry; and;</w:t>
      </w:r>
    </w:p>
    <w:p>
      <w:pPr>
        <w:spacing w:after="0" w:line="225" w:lineRule="exact"/>
        <w:rPr>
          <w:rFonts w:ascii="Times New Roman" w:cs="Times New Roman" w:eastAsia="Times New Roman" w:hAnsi="Times New Roman"/>
          <w:sz w:val="18"/>
          <w:szCs w:val="18"/>
          <w:color w:val="auto"/>
        </w:rPr>
      </w:pPr>
    </w:p>
    <w:p>
      <w:pPr>
        <w:ind w:left="460" w:hanging="177"/>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medical disasters.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Economic Conditions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Terrorism and Acts of War</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Terrorism and acts of war (wherever occurring throughout the world) may cause damage or disruption to the Company, our employees, facilities, partners, suppliers, distributors, resellers or customers, which could significantly impact our revenue, costs and expenses and financial condition. The terrorist attacks that took place in the United States on September 11, 2001 and subsequent terrorist attacks in Iraq and other countries have created many economic and political uncertainties, some of which may materially harm our business and results of operations. The potential for future terrorist attacks, the national and international responses to terrorist attacks or perceived threats to national security and other actual or potential conflicts or acts of war, including the ongoing military operations in Iraq and Afghanistan, have created many economic and political uncertainties that could adversely affect our business, results of operations and stock price in ways that we cannot presently predict. In</w:t>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addition, as a multi-national company, actions taken against or by the United States may impact our business. We are predominately uninsured for losses and interruptions caused by terrorist acts and acts of war.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Oil Prices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an exposure to oil prices in two forms. The first is in the prices of the oil-based materials that the company uses in its products, which are primarily the plastics and other components that it includes in its finished remotes and audio-video accessories. The second form is in the cost of delivery and freight, which would be passed on by the carriers that we use in the form of higher rates. We record freight-in in cost of sales, and freight-out in operating expenses. Rising oil prices may have an adverse effect on cost of sales and operating 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Regulation</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directed by Section 404 of the Sarbanes-Oxley Act of 2002, the Securities and Exchange Commission adopted rules requiring public companies to include a report of management on the company’s internal control over financial reporting in their annual reports on Form 10-K. This report is required to contain an assessment by management of the effectiveness of such company’s internal controls over financial reporting. In addition, the public accounting firm auditing a public company’s financial statements must also attest to and report on management’s assessment of the effectiveness of the company’s internal controls over financial reporting as well as the operating effectiveness of the company’s internal controls. While the Company is expending significant resources in developing the necessary documentation and testing procedures required by Section 404, there is risk that the Company will not comply with all of the requirements imposed by Section 404. If the Company fails to have an effectively designed and operating system of internal control, it will be unable to comply with the requirements of SEC 404 in a timely manner. If the Company does not effectively complete its assessment or if its internal controls are not designed or operating effectively, its external auditors may either disclaim an opinion as it relates to management’s assessment of the effectiveness of its internal control or may issue a qualified opinion on the effectiveness of the company’s internal controls. This could result in an adverse reaction in the financial markets due to a loss of confidence in the reliability of the Company’s financial statements, which could cause the market price of the Company’s Common Stock to decline and make it more difficult for the Company to finance its operations.</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focus is to build technology and products that make easier and more enjoyable the consumer’s interaction with devices and content within the home. The pace of change in the home is increasing. The growth of new devices, such as DVD players, PVR/DVR technologies and home theater solutions, to name only a few, has transformed control of the home entertainment center into a complex challenge for the consumer. 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control of devices to the control of and access to content, such as digital media, in order to enrich the entertainment experience.</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will continue enhancing our leadership position in our core business by developing custom products for our subscription broadcasting, OEM, retail and computing customers, growing our capture expertise in existing infrared technology and emerging radio frequency standards, adding to our portfolio of patented or patent pending technologies and developing new platform products. We also are developing new ways to enhance remote controls and other accessory products.</w:t>
      </w:r>
    </w:p>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During the third quarter of 2004, we continued to develop new products featuring our Kameleon interface technology, a revolutionary display technology that provides ease of use by illuminating only the active keys needed to control each entertainment device. We also continued development of our Nevo technology, an embedded solution that transforms an electronic display (such as HP’s iPaq Pocket PC) into a sophisticated and easy-to-use wireless home control and automation device. We are continuing to seek ways to integrate these platform technologies into other forms and devices. Nevo 2.0 was launched in July of 2004 as a feature on a series of HP’s handheld devices. Building on this platform, we expect to use Nevo 2.0 technology in a new product named “Nevo SL” which we expect to ship in the first quarter of 2005. This product is in a form factor designed for the home. In addition, we are working on product line extensions to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18"/>
          <w:szCs w:val="18"/>
          <w:color w:val="auto"/>
        </w:rPr>
        <w:t xml:space="preserve"> audio/video accessories which include antennas, television brackets and cleaning equipment.</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also are seeking ways to increase our customer base worldwide, particularly in the areas of subscription broadcasting, OEM and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14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October 1, 2004, the Company acquired SimpleDevices Inc. for approximately $12.5 million in cash, plus a performance-based payment of our unregistered common stock, tied to achieving certain future financial objectives. SimpleDevices, a privately held company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we look to build upon these relationships and the software’s potential in future product and customer announcements. In addition, we will continue our efforts to identify additional complimentary external investment opportunities.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market risks and the use of financial instruments to manage our exposure to such risks. The interest payable under our revolving credit agreement with our bank is variable and based on either (i) the bank’s cost of funds or (ii) the LIBOR rate plus a fixed margin of 1.25%; the rate is affected by changes in market interest rates. At September 30, 2004, we had no borrowings on our credit line. The interest rate in effect on the credit line as of September 30, 2004 using the LIBOR Rate option plus a fixed margin of 1.25% was 3.09%.</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September 30, 2004 we had wholly owned subsidiaries in The Netherlands, United Kingdom, Germany, France, Argentina and Spain. Sales from these operations are typically denominated in local currencies including Euros, British Pounds and Argentine Pesos, thereby creating exposures to changes in exchange rates. Changes in local currencies exchange rates relative to the U.S. Dollar, and in some cases, to each other, may positively or negatively affect our sales, gross margins, net income and retained earnings. From time to time, we enter into foreign currency exchange agreements to manage our exposure arising from fluctuating exchange rates that affect cash flows. Contract terms for the foreign currency exchange agreements normally last less than six months. We do not enter into any derivative transactions for speculative purposes. The sensitivity of earnings and cash flows to variability in exchange rates is assessed by applying an approximate range of potential rate fluctuations to our assets, obligations and projected results of operations denominated in foreign currencies. Based on our overall foreign currency rate exposure at September 30, 2004, we believe that movements in foreign currency rates could have a material affect on our financial position. We estimate that if the exchange rates for the Euro and the British Pound relative to the U.S. Dollar fluctuate 10% from September 30, 2004, fourth quarter net income and cash flows would fluctuate by approximately $0.4 million and $2.0 million, respectively. Because of the foregoing factors (discussed under this caption “Quantitative And Qualitative Disclosures About Market Risk” and above under the caption “Factors That May Affect Financial Condition And Future Results”), as well as other variables that affect our operating results, past financial performance should not be considered a reliable indicator of future performance, and investors should not use historical trends to anticipate results or trends in future periods.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team, including our Chief Executive Officer and Chief Financial Officer, of the effectiveness of the design and operation of our disclosure controls and procedures as of the end of the period covered by this report. Based on that evaluation, our Chief Executive Officer and Chief Financial Officer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materially affected or reasonably are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2002, one of the Company’s subsidiaries brought an action against a former distributor of the subsidiary’s products seeking a recovery of monies wrongfully retained by the distributor. At September 30, 2004, these monies are primarily included in accounts receivable. The distributor filed a counterclaim against the subsidiary seeking payment for amounts allegedly owed for administrative and other services rendered by the distributor for the subsidiary. The subsidiary disagrees with these allegations and has vigorously defended itself against this counterclaim. In addition, this same distributor brought an action against another subsidiary of the Company seeking damages for wrongful termination of agency agreements. The subsidiary has disagreed with these allegations and has vigorously defended itself against this lawsuit.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2003, an ex-employee of one of the Company’s subsidiaries has brought an action against the subsidiary seeking damages for wrongful termination. The subsidiary disagrees with these allegations and intends to vigorously defend itself against this claim.</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at this time it is probable that there will be an unfavorable outcome of any of the pending actions to which the Company or its subsidiaries are parties; accordingly, no reserve against receivables due the Company or its subsidiary and no amount for any potential loss contingency have been recorded in the consolidated financial statements.</w:t>
      </w:r>
    </w:p>
    <w:p>
      <w:pPr>
        <w:spacing w:after="0" w:line="136" w:lineRule="exact"/>
        <w:rPr>
          <w:sz w:val="20"/>
          <w:szCs w:val="20"/>
          <w:color w:val="auto"/>
        </w:rPr>
      </w:pPr>
    </w:p>
    <w:p>
      <w:pPr>
        <w:ind w:firstLine="225"/>
        <w:spacing w:after="0" w:line="266" w:lineRule="auto"/>
        <w:rPr>
          <w:sz w:val="20"/>
          <w:szCs w:val="20"/>
          <w:color w:val="auto"/>
        </w:rPr>
      </w:pPr>
      <w:r>
        <w:rPr>
          <w:rFonts w:ascii="Times New Roman" w:cs="Times New Roman" w:eastAsia="Times New Roman" w:hAnsi="Times New Roman"/>
          <w:sz w:val="18"/>
          <w:szCs w:val="18"/>
          <w:color w:val="auto"/>
        </w:rPr>
        <w:t>In addition to the above, there were no material developments or terminations with respect to any previously reported legal proceeding, during the period covered by this report. Reference is made to the description of the legal proceedings in Note 19 contained in the Company’s Annual Report on Form 10-K for the year ended December 31, 2003 for information regarding reportable legal proceedings pending as of that date.</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purchased 10,517 shares of its common stock at a cost of approximately $172,000 during the fiscal quarter ended September 30, 2004. During the fiscal quarter ended September 30, 2003, the Company did not purchase any shares of its common stock. Purchase information is set forth by month in the following table: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(1)</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160" w:type="dxa"/>
            <w:vAlign w:val="bottom"/>
            <w:gridSpan w:val="5"/>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4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1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360" w:type="dxa"/>
            <w:vAlign w:val="bottom"/>
          </w:tcPr>
          <w:p>
            <w:pPr>
              <w:spacing w:after="0"/>
              <w:rPr>
                <w:sz w:val="12"/>
                <w:szCs w:val="12"/>
                <w:color w:val="auto"/>
              </w:rPr>
            </w:pPr>
          </w:p>
        </w:tc>
        <w:tc>
          <w:tcPr>
            <w:tcW w:w="1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360" w:type="dxa"/>
            <w:vAlign w:val="bottom"/>
          </w:tcPr>
          <w:p>
            <w:pPr>
              <w:spacing w:after="0"/>
              <w:rPr>
                <w:sz w:val="12"/>
                <w:szCs w:val="12"/>
                <w:color w:val="auto"/>
              </w:rPr>
            </w:pPr>
          </w:p>
        </w:tc>
        <w:tc>
          <w:tcPr>
            <w:tcW w:w="1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0"/>
        </w:trPr>
        <w:tc>
          <w:tcPr>
            <w:tcW w:w="4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360" w:type="dxa"/>
            <w:vAlign w:val="bottom"/>
          </w:tcPr>
          <w:p>
            <w:pPr>
              <w:spacing w:after="0"/>
              <w:rPr>
                <w:sz w:val="16"/>
                <w:szCs w:val="16"/>
                <w:color w:val="auto"/>
              </w:rPr>
            </w:pPr>
          </w:p>
        </w:tc>
        <w:tc>
          <w:tcPr>
            <w:tcW w:w="1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1, 2004 - July 31, 2004</w:t>
            </w:r>
          </w:p>
        </w:tc>
        <w:tc>
          <w:tcPr>
            <w:tcW w:w="3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August 1, 2004 - August 31, 2004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1, 2004 - September 30, 2004</w:t>
            </w:r>
          </w:p>
        </w:tc>
        <w:tc>
          <w:tcPr>
            <w:tcW w:w="124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4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76"/>
              <w:spacing w:after="0"/>
              <w:rPr>
                <w:sz w:val="20"/>
                <w:szCs w:val="20"/>
                <w:color w:val="auto"/>
              </w:rPr>
            </w:pPr>
            <w:r>
              <w:rPr>
                <w:rFonts w:ascii="Times New Roman" w:cs="Times New Roman" w:eastAsia="Times New Roman" w:hAnsi="Times New Roman"/>
                <w:sz w:val="18"/>
                <w:szCs w:val="18"/>
                <w:color w:val="auto"/>
              </w:rPr>
              <w:t>$16.36</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Q3 2004</w:t>
            </w: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vMerge w:val="restart"/>
          </w:tcPr>
          <w:p>
            <w:pPr>
              <w:jc w:val="right"/>
              <w:ind w:right="376"/>
              <w:spacing w:after="0"/>
              <w:rPr>
                <w:sz w:val="20"/>
                <w:szCs w:val="20"/>
                <w:color w:val="auto"/>
              </w:rPr>
            </w:pPr>
            <w:r>
              <w:rPr>
                <w:rFonts w:ascii="Times New Roman" w:cs="Times New Roman" w:eastAsia="Times New Roman" w:hAnsi="Times New Roman"/>
                <w:sz w:val="18"/>
                <w:szCs w:val="18"/>
                <w:color w:val="auto"/>
              </w:rPr>
              <w:t>$16.36</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2"/>
            <w:vMerge w:val="continue"/>
          </w:tcPr>
          <w:p>
            <w:pPr>
              <w:spacing w:after="0"/>
              <w:rPr>
                <w:sz w:val="19"/>
                <w:szCs w:val="19"/>
                <w:color w:val="auto"/>
              </w:rPr>
            </w:pPr>
          </w:p>
        </w:tc>
        <w:tc>
          <w:tcPr>
            <w:tcW w:w="740" w:type="dxa"/>
            <w:vAlign w:val="bottom"/>
            <w:gridSpan w:val="2"/>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10,517</w:t>
            </w:r>
          </w:p>
        </w:tc>
        <w:tc>
          <w:tcPr>
            <w:tcW w:w="4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top w:val="single" w:sz="8" w:color="808080"/>
            </w:tcBorders>
          </w:tcPr>
          <w:p>
            <w:pPr>
              <w:ind w:left="220"/>
              <w:spacing w:after="0"/>
              <w:rPr>
                <w:sz w:val="20"/>
                <w:szCs w:val="20"/>
                <w:color w:val="auto"/>
              </w:rPr>
            </w:pPr>
            <w:r>
              <w:rPr>
                <w:rFonts w:ascii="Times New Roman" w:cs="Times New Roman" w:eastAsia="Times New Roman" w:hAnsi="Times New Roman"/>
                <w:sz w:val="18"/>
                <w:szCs w:val="18"/>
                <w:color w:val="auto"/>
                <w:w w:val="90"/>
              </w:rPr>
              <w:t>N/A</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Borders>
              <w:top w:val="single" w:sz="8" w:color="808080"/>
            </w:tcBorders>
          </w:tcPr>
          <w:p>
            <w:pPr>
              <w:ind w:left="280"/>
              <w:spacing w:after="0"/>
              <w:rPr>
                <w:sz w:val="20"/>
                <w:szCs w:val="20"/>
                <w:color w:val="auto"/>
              </w:rPr>
            </w:pPr>
            <w:r>
              <w:rPr>
                <w:rFonts w:ascii="Times New Roman" w:cs="Times New Roman" w:eastAsia="Times New Roman" w:hAnsi="Times New Roman"/>
                <w:sz w:val="18"/>
                <w:szCs w:val="18"/>
                <w:color w:val="auto"/>
                <w:w w:val="90"/>
              </w:rPr>
              <w:t>N/A</w:t>
            </w:r>
          </w:p>
        </w:tc>
        <w:tc>
          <w:tcPr>
            <w:tcW w:w="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July 1, 2003 - July 31, 2003</w:t>
            </w:r>
          </w:p>
        </w:tc>
        <w:tc>
          <w:tcPr>
            <w:tcW w:w="34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96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9"/>
                <w:szCs w:val="19"/>
                <w:color w:val="auto"/>
              </w:rPr>
            </w:pP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1060" w:type="dxa"/>
            <w:vAlign w:val="bottom"/>
            <w:gridSpan w:val="2"/>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118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August 1, 2003 - August 31, 2003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September 1, 2003 - September 30, 2003</w:t>
            </w:r>
          </w:p>
        </w:tc>
        <w:tc>
          <w:tcPr>
            <w:tcW w:w="34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180" w:type="dxa"/>
            <w:vAlign w:val="bottom"/>
            <w:gridSpan w:val="2"/>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Q3 2003</w:t>
            </w: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Borders>
              <w:top w:val="single" w:sz="8" w:color="808080"/>
            </w:tcBorders>
          </w:tcPr>
          <w:p>
            <w:pPr>
              <w:ind w:left="220"/>
              <w:spacing w:after="0"/>
              <w:rPr>
                <w:sz w:val="20"/>
                <w:szCs w:val="20"/>
                <w:color w:val="auto"/>
              </w:rPr>
            </w:pPr>
            <w:r>
              <w:rPr>
                <w:rFonts w:ascii="Times New Roman" w:cs="Times New Roman" w:eastAsia="Times New Roman" w:hAnsi="Times New Roman"/>
                <w:sz w:val="18"/>
                <w:szCs w:val="18"/>
                <w:color w:val="auto"/>
                <w:w w:val="90"/>
              </w:rPr>
              <w:t>N/A</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Borders>
              <w:top w:val="single" w:sz="8" w:color="808080"/>
            </w:tcBorders>
          </w:tcPr>
          <w:p>
            <w:pPr>
              <w:ind w:left="280"/>
              <w:spacing w:after="0"/>
              <w:rPr>
                <w:sz w:val="20"/>
                <w:szCs w:val="20"/>
                <w:color w:val="auto"/>
              </w:rPr>
            </w:pPr>
            <w:r>
              <w:rPr>
                <w:rFonts w:ascii="Times New Roman" w:cs="Times New Roman" w:eastAsia="Times New Roman" w:hAnsi="Times New Roman"/>
                <w:sz w:val="18"/>
                <w:szCs w:val="18"/>
                <w:color w:val="auto"/>
                <w:w w:val="90"/>
              </w:rPr>
              <w:t>N/A</w:t>
            </w:r>
          </w:p>
        </w:tc>
        <w:tc>
          <w:tcPr>
            <w:tcW w:w="6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40" w:right="80" w:hanging="326"/>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purchases of its common stock during the fiscal quarter ended September 30, 2004 or September 30, 2003 was made pursuant to a publicly announced plan or program. Common stock purchases are made in open-market transactions, and shares purchased are held as treasury stock available for reissue by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 Rule 13a-14(a) Certifications of Paul D. Arling, Chief Executive Officer of Universal Electronics Inc.</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31.2 Rule 13a-14(a) Certifications of Bernard J. Pitz, Chief Financial Officer of Universal Electronics Inc.</w:t>
      </w:r>
    </w:p>
    <w:p>
      <w:pPr>
        <w:spacing w:after="0" w:line="225" w:lineRule="exact"/>
        <w:rPr>
          <w:sz w:val="20"/>
          <w:szCs w:val="20"/>
          <w:color w:val="auto"/>
        </w:rPr>
      </w:pPr>
    </w:p>
    <w:p>
      <w:pPr>
        <w:ind w:left="800" w:hanging="297"/>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 of Paul D. Arling, Chief Executive Officer of Universal Electronics Inc., and Bernard J. Pitz, Chief Financial Officer of Universal Electronics Inc. pursuant to 18 U.S.C. Section 1350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November 9, 2004</w:t>
      </w:r>
      <w:r>
        <w:rPr>
          <w:sz w:val="20"/>
          <w:szCs w:val="20"/>
          <w:color w:val="auto"/>
        </w:rPr>
        <w:tab/>
      </w:r>
      <w:r>
        <w:rPr>
          <w:rFonts w:ascii="Times New Roman" w:cs="Times New Roman" w:eastAsia="Times New Roman" w:hAnsi="Times New Roman"/>
          <w:sz w:val="18"/>
          <w:szCs w:val="18"/>
          <w:color w:val="auto"/>
        </w:rPr>
        <w:t>Universal Electronics Inc.</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Bernard J. Pitz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26035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Bernard J. Pitz</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Treasurer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720" w:type="dxa"/>
            <w:vAlign w:val="bottom"/>
          </w:tcPr>
          <w:p>
            <w:pPr>
              <w:jc w:val="right"/>
              <w:ind w:right="4919"/>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29"/>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10720" w:type="dxa"/>
            <w:vAlign w:val="bottom"/>
            <w:vMerge w:val="restart"/>
          </w:tcPr>
          <w:p>
            <w:pPr>
              <w:jc w:val="right"/>
              <w:ind w:right="491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Pr>
          <w:p>
            <w:pPr>
              <w:spacing w:after="0"/>
              <w:rPr>
                <w:sz w:val="16"/>
                <w:szCs w:val="16"/>
                <w:color w:val="auto"/>
              </w:rPr>
            </w:pPr>
          </w:p>
        </w:tc>
        <w:tc>
          <w:tcPr>
            <w:tcW w:w="10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0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Rule 13a-14(a) Certifications of Paul D. Arling, Chief Executive Officer of Universal Electronics Inc.</w:t>
      </w: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Rule 13a-14(a) Certifications of Bernard J. Pitz, Chief Financial Officer of Universal Electronics Inc.</w:t>
      </w:r>
    </w:p>
    <w:p>
      <w:pPr>
        <w:spacing w:after="0" w:line="225" w:lineRule="exact"/>
        <w:rPr>
          <w:sz w:val="20"/>
          <w:szCs w:val="20"/>
          <w:color w:val="auto"/>
        </w:rPr>
      </w:pPr>
    </w:p>
    <w:p>
      <w:pPr>
        <w:ind w:left="700" w:right="100" w:hanging="692"/>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 of Paul D. Arling, Chief Executive Officer of Universal Electronics Inc., and Bernard J. Pitz, Chief Financial Officer of Universal Electronics Inc. pursuant to 18 U.S.C. Section 1350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15"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225"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225"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460" w:right="240" w:hanging="314"/>
        <w:spacing w:after="0" w:line="266"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60" w:right="80" w:hanging="324"/>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320" w:hanging="314"/>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460" w:right="20" w:hanging="314"/>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40" w:hanging="324"/>
        <w:spacing w:after="0" w:line="282" w:lineRule="auto"/>
        <w:tabs>
          <w:tab w:leader="none" w:pos="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931" w:right="2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9, 2004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D. Arling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3">
            <w:col w:w="5080" w:space="720"/>
            <w:col w:w="260" w:space="220"/>
            <w:col w:w="5140"/>
          </w:cols>
          <w:pgMar w:left="240" w:top="931" w:right="23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J. Pitz, certify that:</w:t>
      </w:r>
    </w:p>
    <w:p>
      <w:pPr>
        <w:spacing w:after="0" w:line="22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Universal Electronics Inc.;</w:t>
      </w:r>
    </w:p>
    <w:p>
      <w:pPr>
        <w:spacing w:after="0" w:line="225" w:lineRule="exact"/>
        <w:rPr>
          <w:rFonts w:ascii="Times New Roman" w:cs="Times New Roman" w:eastAsia="Times New Roman" w:hAnsi="Times New Roman"/>
          <w:sz w:val="18"/>
          <w:szCs w:val="18"/>
          <w:color w:val="auto"/>
        </w:rPr>
      </w:pPr>
    </w:p>
    <w:p>
      <w:pPr>
        <w:ind w:left="260" w:right="200" w:hanging="252"/>
        <w:spacing w:after="0" w:line="313" w:lineRule="auto"/>
        <w:tabs>
          <w:tab w:leader="none" w:pos="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260" w:right="660" w:hanging="252"/>
        <w:spacing w:after="0" w:line="28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460" w:right="240" w:hanging="314"/>
        <w:spacing w:after="0" w:line="266"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60" w:right="80" w:hanging="32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320" w:hanging="31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460" w:right="20" w:hanging="31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40" w:hanging="324"/>
        <w:spacing w:after="0" w:line="282" w:lineRule="auto"/>
        <w:tabs>
          <w:tab w:leader="none" w:pos="4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932" w:right="239" w:bottom="1440" w:gutter="0" w:footer="0" w:header="0"/>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9, 2004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Bernard J. Pitz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3">
            <w:col w:w="5180" w:space="720"/>
            <w:col w:w="280" w:space="220"/>
            <w:col w:w="5020"/>
          </w:cols>
          <w:pgMar w:left="240" w:top="932" w:right="2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18 U.S.C. Section 1350, each of the undersigned officers of Universal Electronics Inc. (the “Company”), hereby certifies that the Company’s Form 10-Q for the fiscal quarter ended September 30, 2004 (the “Report”) fully complies with the requirements of Section 13(a) or 15(d), as applicable, of the Securities Exchange Act of 1934 and that the information contained in the Report fairly presents, in all material respects, the financial condition and results of operations of the Company.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931" w:right="239" w:bottom="1440" w:gutter="0" w:footer="0" w:header="0"/>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9, 2004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D. Arling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ectPr>
          <w:pgSz w:w="11900" w:h="16838" w:orient="portrait"/>
          <w:cols w:equalWidth="0" w:num="3">
            <w:col w:w="5180" w:space="720"/>
            <w:col w:w="280" w:space="220"/>
            <w:col w:w="5020"/>
          </w:cols>
          <w:pgMar w:left="240" w:top="931" w:right="239" w:bottom="1440" w:gutter="0" w:footer="0" w:header="0"/>
          <w:type w:val="continuous"/>
        </w:sectPr>
      </w:pPr>
    </w:p>
    <w:p>
      <w:pPr>
        <w:spacing w:after="0" w:line="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Bernard J. Pitz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1" w:lineRule="exact"/>
        <w:rPr>
          <w:sz w:val="20"/>
          <w:szCs w:val="20"/>
          <w:color w:val="auto"/>
        </w:rPr>
      </w:pPr>
    </w:p>
    <w:p>
      <w:pPr>
        <w:sectPr>
          <w:pgSz w:w="11900" w:h="16838" w:orient="portrait"/>
          <w:cols w:equalWidth="0" w:num="2">
            <w:col w:w="6180" w:space="220"/>
            <w:col w:w="5020"/>
          </w:cols>
          <w:pgMar w:left="240" w:top="931" w:right="239" w:bottom="1440" w:gutter="0" w:footer="0" w:header="0"/>
          <w:type w:val="continuous"/>
        </w:sect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9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lowerRoman"/>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1"/>
      <w:numFmt w:val="decimal"/>
      <w:start w:val="32"/>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2019-12-13T07:52:40Z</dcterms:created>
  <dcterms:modified xsi:type="dcterms:W3CDTF">2019-12-13T07:52:40Z</dcterms:modified>
</cp:coreProperties>
</file>