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2013</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15,552,256 shares of Common Stock, par value $0.01 per share, of the registrant were outstanding on November 5, 2013.</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50"/>
        </w:trPr>
        <w:tc>
          <w:tcPr>
            <w:tcW w:w="24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20" w:type="dxa"/>
            <w:vAlign w:val="bottom"/>
            <w:tcBorders>
              <w:top w:val="single" w:sz="8" w:color="0000FF"/>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FF"/>
            </w:tcBorders>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3940" w:type="dxa"/>
            <w:vAlign w:val="bottom"/>
            <w:tcBorders>
              <w:left w:val="single" w:sz="8" w:color="0000FF"/>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60" w:type="dxa"/>
            <w:vAlign w:val="bottom"/>
            <w:gridSpan w:val="12"/>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103,466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91,048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260,334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76,662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77,706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27,632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6,252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57,153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10,550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115,675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126,365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2"/>
              </w:rPr>
              <w:t>Common stock, $0.01 par value, 50,000,000 shares authorized; 22,133,206 and 21,491,398 shares issued on September</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30, 2013 and December 31, 2012, respectively</w:t>
            </w:r>
          </w:p>
        </w:tc>
        <w:tc>
          <w:tcPr>
            <w:tcW w:w="20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170,569</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385,201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352,443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Less cost of common stock in treasury, 6,634,641 and 6,516,382 shares on September 30, 2013 and December 31, 2012,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(101,793)</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280,572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250,650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142,389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393,220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345,307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101,940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282,386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247,572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97,735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12,463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25,796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74,029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69,015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10,471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67"/>
        </w:trPr>
        <w:tc>
          <w:tcPr>
            <w:tcW w:w="5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67"/>
        </w:trPr>
        <w:tc>
          <w:tcPr>
            <w:tcW w:w="5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8,623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10,688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18,999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12,640</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2012</w:t>
            </w: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17,410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13,635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13,387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12,948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3,447</w:t>
            </w:r>
          </w:p>
        </w:tc>
      </w:tr>
      <w:tr>
        <w:trPr>
          <w:trHeight w:val="224"/>
        </w:trPr>
        <w:tc>
          <w:tcPr>
            <w:tcW w:w="81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(10,876)</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(20,701)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15,758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(8,335)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income and other taxes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27,644</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(8,956)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(7,327)</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12,000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8,487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1,425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44,593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29,372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41,216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taxes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6,494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33"/>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results of operations for the three and nine months ended September 30, 2013 are not necessarily indicative of the results to be expected for the full year. These financial statements should be read in conjunction with the "Risk Factors," "Management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fiscal year ended December 31,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allowances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2012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2011, the FASB issued Accounting Standards Update ("ASU") 2011-11, "Disclosures about Offsetting Assets and Liabilities." The amendments in ASU 2011-11 require an entity to disclose information about offsetting and related arrangements to enable users of its financial statements to understand the effect of those arrangements on its financial position. In January 2013, the FASB issued ASU 2013-01, "Clarifying the Scope of Disclosures about Offsetting Assets and Liabilities," which limits the scope of ASU 2011-11 to derivatives, repurchase agreements and securities lending transactions. This guidance became effective on January 1, 2013 with retrospective application required. The adoption of this guidance did not have a material impact on our consolidated financial statements.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which updates ASU 2011-05, "Comprehensive Income." This standard requires the presentation in a single location, either in a note or parenthetically on the face of the financial statements, of the effect of significant amounts reclassified from each component of accumulated other comprehensive income based on its source and the income statement line items affected by the reclassification. We adopted this guidance effective January 1, 2013. The adoption of this guidance did not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FASB issued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for fiscal years, and interim periods within those years, beginning after December 15, 2013. Early adoption is permitted. The adoption of ASU 2013-11 is not expected to have a material impact on our consolidated results of operations or financial position.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00" w:type="dxa"/>
            <w:vAlign w:val="bottom"/>
            <w:tcBorders>
              <w:bottom w:val="single" w:sz="8" w:color="CCEEFF"/>
            </w:tcBorders>
            <w:vMerge w:val="continue"/>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Asia</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3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0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44,602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44,593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Note 3 — Accounts Receivable, Net and Revenue Concentrations</w:t>
            </w:r>
          </w:p>
        </w:tc>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2"/>
          </w:tcPr>
          <w:p>
            <w:pPr>
              <w:spacing w:after="0"/>
              <w:rPr>
                <w:sz w:val="20"/>
                <w:szCs w:val="20"/>
                <w:color w:val="auto"/>
              </w:rPr>
            </w:pPr>
            <w:r>
              <w:rPr>
                <w:rFonts w:ascii="Arial" w:cs="Arial" w:eastAsia="Arial" w:hAnsi="Arial"/>
                <w:sz w:val="18"/>
                <w:szCs w:val="18"/>
                <w:color w:val="auto"/>
              </w:rPr>
              <w:t>Accounts receivable, net were as follows:</w:t>
            </w: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300" w:type="dxa"/>
            <w:vAlign w:val="bottom"/>
            <w:tcBorders>
              <w:bottom w:val="single" w:sz="8" w:color="CCEEFF"/>
            </w:tcBorders>
            <w:vMerge w:val="continue"/>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3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3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Net trade receivables</w:t>
            </w:r>
          </w:p>
        </w:tc>
        <w:tc>
          <w:tcPr>
            <w:tcW w:w="30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98,748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0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103,466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91,048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46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(Write-offs)/FX effects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318</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September 30, 2013 and December 31, 2012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$0.4 million and $0.6 million on September 30, 2013 and December 31, 2012, respectively. The value of these returned goods was included in our inventory balance at September 30, 2013 and December 31,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significant customer that totaled more than 10% of our net sales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w w:val="99"/>
              </w:rPr>
              <w:t>Three Months Ended September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 (thousands)</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 of Net Sales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 (thousands)</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 of Net Sales</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DIRECTV</w:t>
            </w: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21,667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23,691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r>
      <w:tr>
        <w:trPr>
          <w:trHeight w:val="54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(thousands)</w:t>
            </w:r>
          </w:p>
        </w:tc>
        <w:tc>
          <w:tcPr>
            <w:tcW w:w="12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DIRECTV</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7"/>
        </w:trPr>
        <w:tc>
          <w:tcPr>
            <w:tcW w:w="20" w:type="dxa"/>
            <w:vAlign w:val="bottom"/>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a significant customer that totaled more than 10% of our accounts receivable,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100" w:type="dxa"/>
            <w:vAlign w:val="bottom"/>
            <w:vMerge w:val="restart"/>
          </w:tcPr>
          <w:p>
            <w:pPr>
              <w:spacing w:after="0"/>
              <w:rPr>
                <w:sz w:val="13"/>
                <w:szCs w:val="13"/>
                <w:color w:val="auto"/>
              </w:rPr>
            </w:pPr>
          </w:p>
        </w:tc>
        <w:tc>
          <w:tcPr>
            <w:tcW w:w="188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 of Accounts</w:t>
            </w:r>
          </w:p>
        </w:tc>
        <w:tc>
          <w:tcPr>
            <w:tcW w:w="12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vMerge w:val="restart"/>
          </w:tcPr>
          <w:p>
            <w:pPr>
              <w:spacing w:after="0"/>
              <w:rPr>
                <w:sz w:val="13"/>
                <w:szCs w:val="13"/>
                <w:color w:val="auto"/>
              </w:rPr>
            </w:pPr>
          </w:p>
        </w:tc>
        <w:tc>
          <w:tcPr>
            <w:tcW w:w="15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loss of this customer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2013</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20,831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19,949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103,579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$0.3 million for the nine months ended September 30, 2013 and 2012,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suppliers that totaled more than 10% of our total inventory purchases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8"/>
              </w:rPr>
              <w:t>Three Months Ended September 30,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0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160" w:type="dxa"/>
            <w:vAlign w:val="bottom"/>
          </w:tcPr>
          <w:p>
            <w:pPr>
              <w:spacing w:after="0"/>
              <w:rPr>
                <w:sz w:val="13"/>
                <w:szCs w:val="13"/>
                <w:color w:val="auto"/>
              </w:rPr>
            </w:pPr>
          </w:p>
        </w:tc>
        <w:tc>
          <w:tcPr>
            <w:tcW w:w="1440" w:type="dxa"/>
            <w:vAlign w:val="bottom"/>
          </w:tcPr>
          <w:p>
            <w:pPr>
              <w:jc w:val="center"/>
              <w:ind w:left="10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2"/>
          </w:tcPr>
          <w:p>
            <w:pPr>
              <w:jc w:val="center"/>
              <w:ind w:left="4"/>
              <w:spacing w:after="0" w:line="149" w:lineRule="exact"/>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2"/>
                <w:szCs w:val="12"/>
                <w:color w:val="auto"/>
              </w:rPr>
            </w:pPr>
          </w:p>
        </w:tc>
        <w:tc>
          <w:tcPr>
            <w:tcW w:w="1440" w:type="dxa"/>
            <w:vAlign w:val="bottom"/>
          </w:tcPr>
          <w:p>
            <w:pPr>
              <w:jc w:val="center"/>
              <w:ind w:left="123"/>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(thousands)</w:t>
            </w:r>
          </w:p>
        </w:tc>
        <w:tc>
          <w:tcPr>
            <w:tcW w:w="1600" w:type="dxa"/>
            <w:vAlign w:val="bottom"/>
            <w:gridSpan w:val="2"/>
          </w:tcPr>
          <w:p>
            <w:pPr>
              <w:jc w:val="center"/>
              <w:ind w:left="4"/>
              <w:spacing w:after="0" w:line="149" w:lineRule="exact"/>
              <w:rPr>
                <w:sz w:val="20"/>
                <w:szCs w:val="20"/>
                <w:color w:val="auto"/>
              </w:rPr>
            </w:pPr>
            <w:r>
              <w:rPr>
                <w:rFonts w:ascii="Arial" w:cs="Arial" w:eastAsia="Arial" w:hAnsi="Arial"/>
                <w:sz w:val="14"/>
                <w:szCs w:val="14"/>
                <w:b w:val="1"/>
                <w:bCs w:val="1"/>
                <w:color w:val="auto"/>
                <w:w w:val="95"/>
              </w:rPr>
              <w:t>Inventory</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1440" w:type="dxa"/>
            <w:vAlign w:val="bottom"/>
          </w:tcPr>
          <w:p>
            <w:pPr>
              <w:jc w:val="center"/>
              <w:ind w:left="123"/>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160" w:type="dxa"/>
            <w:vAlign w:val="bottom"/>
            <w:vMerge w:val="continue"/>
          </w:tcPr>
          <w:p>
            <w:pPr>
              <w:spacing w:after="0"/>
              <w:rPr>
                <w:sz w:val="16"/>
                <w:szCs w:val="16"/>
                <w:color w:val="auto"/>
              </w:rPr>
            </w:pPr>
          </w:p>
        </w:tc>
        <w:tc>
          <w:tcPr>
            <w:tcW w:w="1440" w:type="dxa"/>
            <w:vAlign w:val="bottom"/>
          </w:tcPr>
          <w:p>
            <w:pPr>
              <w:jc w:val="center"/>
              <w:ind w:left="103"/>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Wuxi Funide Digital</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7,781</w:t>
            </w:r>
          </w:p>
        </w:tc>
        <w:tc>
          <w:tcPr>
            <w:tcW w:w="15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2"/>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220" w:type="dxa"/>
            <w:vAlign w:val="bottom"/>
          </w:tcPr>
          <w:p>
            <w:pPr>
              <w:spacing w:after="0"/>
              <w:rPr>
                <w:sz w:val="13"/>
                <w:szCs w:val="13"/>
                <w:color w:val="auto"/>
              </w:rPr>
            </w:pPr>
          </w:p>
        </w:tc>
        <w:tc>
          <w:tcPr>
            <w:tcW w:w="11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3"/>
              </w:rPr>
              <w:t>2,395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220" w:type="dxa"/>
            <w:vAlign w:val="bottom"/>
          </w:tcPr>
          <w:p>
            <w:pPr>
              <w:spacing w:after="0"/>
              <w:rPr>
                <w:sz w:val="13"/>
                <w:szCs w:val="13"/>
                <w:color w:val="auto"/>
              </w:rPr>
            </w:pPr>
          </w:p>
        </w:tc>
        <w:tc>
          <w:tcPr>
            <w:tcW w:w="11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3"/>
              </w:rPr>
              <w:t>7,079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0"/>
                <w:szCs w:val="20"/>
                <w:color w:val="auto"/>
              </w:rPr>
            </w:pPr>
            <w:r>
              <w:rPr>
                <w:rFonts w:ascii="Arial" w:cs="Arial" w:eastAsia="Arial" w:hAnsi="Arial"/>
                <w:sz w:val="18"/>
                <w:szCs w:val="18"/>
                <w:color w:val="auto"/>
              </w:rPr>
              <w:t>The total accounts payable to this vendor were the following:</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1,619</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Foreign currency</w:t>
            </w:r>
          </w:p>
        </w:tc>
        <w:tc>
          <w:tcPr>
            <w:tcW w:w="5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Carrying amount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Distribution rights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Trademark and trade names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and core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42,129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90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$6.5 million and $9.1 million on September 30, 2013 and December 31, 2012,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September 30, 2013,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(remaining 3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10,980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charges are recorded in selling, general and administrative expenses as a component of amortization expense, except impairment charges related to capitalized software development costs which are recorded in cost of sales. We recorded immaterial impairment charges related to our intangible assets for the three and nine months ended September 30, 2013 and 2012.</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disposed of nine patents and twelve trademarks with an immaterial aggregate carrying amount during the nine months ended September 30, 2013. We disposed of thirteen patents with an immaterial aggregate carrying amount during the nine months ended September 30, 2012. These assets no longer held any probable future economic benefits and thus were written-off.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September 30, 2013.</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September 30, 2013, we were in compliance with the covenants and conditions of the Amended Credit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interest expense on borrowings was $0.1 million during the three months ended September 30, 2012. Our total interest expense on borrowings was $23 thousand and $0.2 million during the nine months ended September 30,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recorded income tax expense of $1.2 million and $2.6 million for the three months ended September 30, 2013 and 2012, respectively. Our effective tax rate was 12.0% and 27.5% during the three months ended September 30, 2013 and 2012, respectively. The decrease in our effective tax rate was due primarily to a shift of income from higher tax rate jurisdictions to lower tax rate jurisdictions driven largely by a tax benefit on certain income earned in Hong Kong.</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income tax expense of $4.1 million and $4.1 million for the nine months ended September 30, 2013 and 2012, respectively. Our effective tax rate was 19.0% and 22.9% during the nine months ended September 30, 2013 and 2012, respectively. The decrease in our effective tax rate was due primarily to a shift of income from higher tax rate jurisdictions to lower tax rate jurisdictions driven largely by a tax benefit on certain income earned in Hong Kong. Partially offsetting this benefit was the recording of approximately $0.4 million of additional tax reserves in the second quarter of 2013 resulting from a tax audit in Hong Kong for years preceding our acquisition of Enson Assets Limited and the reversal of $0.5 million of unrecognized tax benefits in 2012 which were originally recorded in 2007 through 2011.</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30, 2013, we had gross unrecognized tax benefits of approximately $3.4 million, including interest and penalties, of which approximately $2.9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$0.1 million and $0.1 million on September 30, 2013 and December 31, 2012,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September 30, 2013, the open statutes of limitations in our significant tax jurisdictions were as follows: federal 2010 through 2012, state 2008 through 2012, and non-U.S. 2006 through 2012. On September 30, 2013, of our gross unrecognized tax benefits of $3.4 million, which included $0.1 million of interest and penalties, $1.5 million are classified as current and $1.9 million are classified as long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2012</w:t>
            </w:r>
          </w:p>
        </w:tc>
      </w:tr>
      <w:tr>
        <w:trPr>
          <w:trHeight w:val="270"/>
        </w:trPr>
        <w:tc>
          <w:tcPr>
            <w:tcW w:w="7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20,325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19,842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4,862</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70"/>
        </w:trPr>
        <w:tc>
          <w:tcPr>
            <w:tcW w:w="7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4,181</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643</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33,398</w:t>
            </w:r>
          </w:p>
        </w:tc>
      </w:tr>
      <w:tr>
        <w:trPr>
          <w:trHeight w:val="27"/>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2013 and December 31, 2012.</w:t>
      </w:r>
    </w:p>
    <w:p>
      <w:pPr>
        <w:spacing w:after="0" w:line="96"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$0.5 million and $0.5 million at September 30, 2013 and December 31, 2012,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6"/>
                <w:szCs w:val="16"/>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2012</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Duties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569</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1,234</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10,644</w:t>
            </w:r>
          </w:p>
        </w:tc>
      </w:tr>
      <w:tr>
        <w:trPr>
          <w:trHeight w:val="27"/>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716"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product warranty claim costs were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2012</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were infringing seventeen of our patents related to remote control technology. We alleged that this complaint related to multiple Logitech remote control products and were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were infringing five of their patents. On November 24, 2011, we answered the Logitech companies’ counterclaims, generally denying all of their allegations of infringement. On September 26, 2012, the Logitech companies and the Company entered into a long-term, confidential Settlement and License Agreement with an effective date of July 1, 2012 (the “Agreement”). During the term of the Agreement, the Logitech companies and the Company dismissed all lawsuits and, among other things, the Logitech companies will pay royalties to the Company to license the technologies covered by our patents in this suit. Additionally, the Logitech companies agreed to pay the Company $2.0 million for past royalties for the period covering July 1,</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2010 through June 30, 2012. Due to the historical and ongoing relationship with the Logitech companies, this amount was included in net sales for the three-and nine-month periods ended September 30, 2012.</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On January 29, 2013, the Court held its "Markman" hearing and on February 1, 2013, the Court issued its ruling that four of the 24 claims we have asserted against URC were invalid, effectively removing one of the four patents alleged by us to be infringed by URC from this litigation. In our estimation this ruling does not materially affect our position in this litigation. In all other respects, this litigation is continuing as scheduled with discovery continuing.</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nine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transfer this lawsuit to the same Judge and Magistrate hearing the lawsuit we filed against URC on March 2, 2012 and we did not object to this Notice. Consequently, this lawsuit was transferred. In all other respects this litigation is continuing as scheduled with URC answering this compliant with a denial of infringement, asserting affirmative defenses, and seeking a ruling that URC has not infringed our patents, that our patents are invalid and unenforceable, that the patents have been licensed to URC, and an award of attorneys’ fees and costs. Discovery is underway.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 seeking monetary relief for the infringement, including enhanced damages due to the willfulness of Peel’s actions, injunctive relief to enjoin Peel from further infringing, including contributory infringement and/or inducing infringement, and attorney’s fees. Peel has not yet answered our compliant.</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September 30, 2013 and December 31, 2012 based on its latest actuarial report. The India Plan has an independent external manager that advises us of the appropriate funding contribution requirements to which we comply. At September 30, 2013, approximately 37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September 30, 2013 and December 31, 2012 for the India Plan was not material. During the nine months ended September 30, 2013 and 2012, the net periodic benefit costs were also not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2012</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140,759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37,267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619</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nine months ended September 30, 2013 and 2012, we issued 22,500 and 30,000 shares from treasury, respectively, to outside directors for services performed (see Note 13).</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2013, we had 945,812 shares available for repurchase under the Board's authorizations.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53,310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49,015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146,057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123,364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89,271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27,913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69,537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55,740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42,183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26,327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20,067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142,389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124,871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393,220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345,307</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50"/>
        </w:trPr>
        <w:tc>
          <w:tcPr>
            <w:tcW w:w="3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3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73,804</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83,067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right="151"/>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Outside directors</w:t>
            </w:r>
          </w:p>
        </w:tc>
        <w:tc>
          <w:tcPr>
            <w:tcW w:w="2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2"/>
                <w:szCs w:val="12"/>
                <w:color w:val="auto"/>
              </w:rPr>
            </w:pPr>
          </w:p>
        </w:tc>
        <w:tc>
          <w:tcPr>
            <w:tcW w:w="150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w w:val="91"/>
              </w:rPr>
              <w:t>Weighted-Average</w:t>
            </w:r>
          </w:p>
        </w:tc>
        <w:tc>
          <w:tcPr>
            <w:tcW w:w="16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Terms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(in 000's)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September 30, 2013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September 30, 2013 </w:t>
            </w:r>
            <w:r>
              <w:rPr>
                <w:rFonts w:ascii="Arial" w:cs="Arial" w:eastAsia="Arial" w:hAnsi="Arial"/>
                <w:sz w:val="25"/>
                <w:szCs w:val="25"/>
                <w:color w:val="auto"/>
                <w:vertAlign w:val="superscript"/>
              </w:rPr>
              <w:t>(1)</w:t>
            </w:r>
          </w:p>
        </w:tc>
        <w:tc>
          <w:tcPr>
            <w:tcW w:w="2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15,519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September 30, 2013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8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2013 and the exercise price, multiplied by the number of in-the-money options) that would have been received by the option holders had they all exercised their options on September 30, 2013.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r>
      <w:tr>
        <w:trPr>
          <w:trHeight w:val="270"/>
        </w:trPr>
        <w:tc>
          <w:tcPr>
            <w:tcW w:w="5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5.15</w:t>
            </w:r>
          </w:p>
        </w:tc>
      </w:tr>
    </w:tbl>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2013, we expect to recognize $2.5 million of total unrecognized pre-tax stock-based compensation expense related to non-vested stock options over a remaining weighted-average life of 1.9 years.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jc w:val="right"/>
              <w:ind w:right="33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(in 000’s)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21.84</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2013</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19.67</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2013, we expect to recognize $4.0 million of total unrecognized pre-tax stock-based compensation expense related to non-vested restricted stock awards over a weighted-average life of 1.5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(717)</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5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460" w:hanging="5288"/>
        <w:spacing w:after="0" w:line="466" w:lineRule="auto"/>
        <w:tabs>
          <w:tab w:leader="none" w:pos="652"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restricted stock awards excluded from the computation of diluted earnings per common share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62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841"/>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9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179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September 30, 2013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gain of $0.3 million and a pre-tax gain of $0.1 million for the three months ended September 30, 2013 and 2012, respectively. For the nine months ended September 30, 2013 and 2012, we had a net pre-tax gain of $44 thousand and a net pre-tax loss of $0.1 million, respectively.</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Recorded at Balance</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Forward Rate</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1.3529</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25, 2013</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September 30, 2013</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6.2047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2014</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2.3442</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r>
        <w:trPr>
          <w:trHeight w:val="243"/>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December 31, 2012</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1.3228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18, 2013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8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18" w:right="2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763,400 individual device functions and approximately 6,000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twenty-three subsidiaries located in Argentina, Cayman Islands, France, Germany, Hong Kong (6), India, Italy, the Netherlands, Singapore, Spain, Brazil, British Virgin Islands (3), People's Republic of China (3)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2013:</w:t>
      </w:r>
    </w:p>
    <w:p>
      <w:pPr>
        <w:spacing w:after="0" w:line="63" w:lineRule="exact"/>
        <w:rPr>
          <w:sz w:val="20"/>
          <w:szCs w:val="20"/>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net sales increased 14.0% to $142.4 million for the three months ended September 30, 2013 from $124.9 million for the three months ended September 30, 2012.</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margin percentage decreased from 29.2% for the three months ended September 30, 2012 to 28.4% for the three months ended September 30, 2013.</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21.5% for the three months ended September 30, 2012 to 21.0% for the three months ended September 30, 2013.</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income increased 9.8% to $10.5 million for the three months ended September 30, 2013 from $9.5 million for the three months ended September 30, 2012, and our operating margin percentage decreased to 7.4% for the three months ended September 30, 2013, compared to 7.7% for the three months ended September 30, 2012.</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decreased to 12.0% for the three months ended September 30, 2013, compared to 27.5% for the three months ended September 30,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2013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our market share in new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2013 to the items that we disclosed as our critical accounting policies and estimates in Item 7, "Management’s Discussion and Analysis of Financial Condition and Results of Operations" contained in our Annual Report on Form 10-K for our fiscal year ended December 31,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2880" w:type="dxa"/>
            <w:vAlign w:val="bottom"/>
            <w:tcBorders>
              <w:bottom w:val="single" w:sz="8" w:color="auto"/>
            </w:tcBorders>
            <w:gridSpan w:val="4"/>
            <w:vMerge w:val="continue"/>
          </w:tcPr>
          <w:p>
            <w:pPr>
              <w:spacing w:after="0"/>
              <w:rPr>
                <w:sz w:val="16"/>
                <w:szCs w:val="16"/>
                <w:color w:val="auto"/>
              </w:rPr>
            </w:pPr>
          </w:p>
        </w:tc>
        <w:tc>
          <w:tcPr>
            <w:tcW w:w="18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versus Three Months Ended September 30, 2012</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2013 were $142.4 million, an increase of 14% compared to $124.9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89.6%</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7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10.4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our Business lines (subscription broadcasting, OEM, and computing companies) were 91% of net sales for the three months ended September 30, 2013 compared to 90% for the three months ended September 30, 2012. Net sales in our Business lines for the three months ended September 30, 2013 increased by 16% to $129.7 million driven primarily by strong demand and increased market share in North American subscription broadcasting and Latin American subscription broadcasting, particularly in Brazil, as well as growth in net sales to consumer electronics companies in Asia.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 of net sales for the three months ended September 30, 2013 compared to 10% for the three months ended September 30, 2012. Net sales in our Consumer lines for the three months ended September 30, 2013 decreased by 2% to $12.7 million primarily due to soft consumer demand in the Americas retail market.</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September 30, 2013 was $40.4 million compared to $36.4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2012. Gross profit as a percent of sales decreased to 28.4% for the three months ended September 30, 2013 from 29.2% for the three months ended September 30, 2012, primarily due to the long-term, confidential Settlement and License Agreement with Logitech in the prior-year period which resulted in a lump-sum payment that was recognized as revenue during the three months ended September 30, 2012 (see Note 10 of the "Notes to Consolidated Financial Statements").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19% to $4.2 million for the three months ended September 30, 2013 from $3.5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2012.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10% to $25.8 million for the three months ended September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$23.4 million for the three months ended September 30, 2012. This increase was driven primarily by increased payroll costs associated with hiring key personnel in global engineering and in our Asian operations, increased incentive compensation costs, and increased freight and delivery costs associated with higher sales volumes in the current period.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$47 thousand for the three months ended September 30, 2013 compared to net interest expense of $24</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September 30, 2012. This change was driven by lower interest expense in the current period due to decreased credit needs.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$0.7 million for the three months ended September 30, 2013 compared to net other expense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2012. This increase was driven primarily by increased foreign currency losses associated with fluctuations in foreign currency rates related to the Chinese Yuan Renminbi, Argentinian Peso and the Euro.</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$1.2 million for the three months ended September 30, 2013 compared to $2.6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Our effective tax rate was 12.0% for the three months ended September 30, 2013 compared to 27.5% for the three months ended September 30, 2012. The decrease in our effective tax rate was due primarily to a shift of income from higher tax rate jurisdictions to lower tax rate jurisdictions driven largely by a tax benefit on certain income earned in Hong Kong.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versus Nine Months Ended September 30, 2012</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2013 were $393.2 million, an increase of 14% compared to $345.3 million for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308.1</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7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10.8</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our Business lines (subscription broadcasting, OEM, and computing companies) were 91% of net sales for the nine months ended September 30, 2013 compared to 89% for the nine months ended September 30, 2012. Net sales in our Business lines for the nine months ended September 30, 2013 increased by 16% to $358.5 million driven primarily by strong demand and increased market share in North American subscription broadcasting and Latin American subscription broadcasting, particularly in Brazil, as well as growth in net sales to consumer electronics companies in Asia.</w:t>
      </w:r>
    </w:p>
    <w:p>
      <w:pPr>
        <w:spacing w:after="0" w:line="10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 of net sales for the nine months ended September 30, 2013 compared to 11% for the nine months ended September 30, 2012. Net sales in our Consumer lines for the nine months ended September 30, 2013 decreased by 7% to $34.7 million primarily due to soft consumer demand and cautious retailers in the European market.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nine months ended September 30, 2013 was $110.8 million compared to $97.7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2012. Gross profit as a percent of sales remained consistent at 28.2% for the nine months ended September 30, 2013 compared to 28.3% for the nine months ended September 30, 2012. For the nine months ended September 30, 2013, we increased the number of units produced internally versus at third-party manufacturers, which partially offset the impact of a lump-sum payment that was received and recognized as revenue during the nine months ended September 30, 2012 in connection with the long-term, confidential Settlement and License Agreement with Logitech (see Note 10 of the "Notes to Consolidated Financial Statements").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20% to $12.5 million for the nine months ended September 30, 2013 from $10.4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2012.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7% to $74.0 million for the nine months ended September 30, 2013 from $69.0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2012. This increase was driven primarily by increased payroll costs associated with hiring key personnel in global engineering and in our Asian operations, increased incentive compensation costs, and increased freight and delivery costs associated with higher sales volumes in the current period. These increases were partially offset by a reduction in litigation costs associated with protecting our intellectual property.</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$60 thousand for the nine months ended September 30, 2013 compared to net interest expense of $112</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nine months ended September 30, 2012. This change was driven primarily by lower interest expense in the current period due to decreased credit needs.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$2.9 million for the nine months ended September 30, 2013 compared to net other expense of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2012. This increase was driven primarily by increased foreign currency losses associated with fluctuations in foreign currency rates related to the Chinese Yuan Renminbi, Argentinian Peso and Brazilian Real.</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$4.1 million for the nine months ended September 30, 2013 compared to $4.1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Our effective tax rate was 19.0% for the nine months ended September 30, 2013 compared to 22.9% for the nine months ended September 30, 2012. The decrease in our effective tax rate was due primarily to a shift of income from higher tax rate jurisdictions to lower tax rate jurisdictions driven largely by a tax benefit on certain income earned in Hong Kong. Partially offsetting this benefit was the recording of approximately $0.4 million of additional tax reserves in the second quarter of 2013 resulting from a tax audit in Hong Kong for years preceding our acquisition of Enson Assets Limited and the reversal of $0.5 million of unrecognized tax benefits in 2012 which were originally recorded in 2007 through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4"/>
                <w:szCs w:val="14"/>
                <w:color w:val="auto"/>
              </w:rPr>
            </w:pPr>
          </w:p>
        </w:tc>
        <w:tc>
          <w:tcPr>
            <w:tcW w:w="158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September 30, 2013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88"/>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1"/>
              </w:rPr>
              <w:t>September 30, 2013</w:t>
            </w:r>
          </w:p>
        </w:tc>
        <w:tc>
          <w:tcPr>
            <w:tcW w:w="100" w:type="dxa"/>
            <w:vAlign w:val="bottom"/>
          </w:tcPr>
          <w:p>
            <w:pPr>
              <w:spacing w:after="0"/>
              <w:rPr>
                <w:sz w:val="24"/>
                <w:szCs w:val="24"/>
                <w:color w:val="auto"/>
              </w:rPr>
            </w:pPr>
          </w:p>
        </w:tc>
        <w:tc>
          <w:tcPr>
            <w:tcW w:w="12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44,602</w:t>
            </w:r>
          </w:p>
        </w:tc>
        <w:tc>
          <w:tcPr>
            <w:tcW w:w="12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147,125</w:t>
            </w:r>
          </w:p>
        </w:tc>
        <w:tc>
          <w:tcPr>
            <w:tcW w:w="1580" w:type="dxa"/>
            <w:vAlign w:val="bottom"/>
            <w:gridSpan w:val="4"/>
          </w:tcPr>
          <w:p>
            <w:pPr>
              <w:jc w:val="right"/>
              <w:ind w:right="10"/>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113,488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$26.8 million to cash inflows of $0.8 million during the nine months ended September 30,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cash inflows of $27.6 million during the nine months ended September 30, 2012, primarily due to the net impact of changes in working capital needs associated with inventory and accounts payable. We have increased inventory levels during the nine months ended September 30, 2013 to support a higher level of expected sales in the current year. In addition, we purchased more resin than usual as a result of attractive pricing. Our goal over the next couple of quarters is to improve our cash flow from operations, primarily by more tightly managing inventory levels. Accounts payable for the nine months 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decreased by approximately $3.0 million compared to a decrease of $8.3 million for the nine months ended September 30, 2012.</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nine months ended September 30, 2013 was $9.0 million compared to $7.3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Cash outflows to purchase property, plant and equipment were $8.0 million during the nine months ended September 30, 2013 compared to $6.5 million for the nine months ended September 30, 2012. This increase was due primarily to equipment purchases at our China factories which has enabled us to produce more units internally versus utilizing third-party manufacturers.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$6.3 million during the nine months ended September 30, 2013 compared to net cash used for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$8.7 million during the nine months ended September 30, 2012. The increase in cash provided by financing activities was driven by $9.6 million of net debt repayments in the prior year period and higher proceeds of $7.1 million from stock option exercises in the current year period, partially offset by an increased level of stock repurchases in the current year period.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2013, we repurchased 140,759 shares of our common stock at a cost of $3.2 million compared to our repurchase of 37,267 shares at a cost of $0.6 million during the nine months ended September 30, 2012.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2013, we had 945,812 shares available for repurchase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2,182</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 (2)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obligations include contractual payments to purchase tooling assets.</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We issue cancelable purchase orders for our inventory purchases, which we exclude from the above contractual obligations table. We have determined that $76.7 million previously reported as inventory purchase obligations, all of which related to one contractual arrangement, are not contractually binding and thus have been removed from this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over the next twelve months; however, because our cash is located in various jurisdictions throughout the world, we may at times need to borrow from our revolving line of credit until we are able to transfer cash among our various entities. Our liquidity is subject to various risks including the risks discussed under "Item 3. Quantitative and Qualitative Disclosures about Market Risk."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FF"/>
            </w:tcBorders>
          </w:tcPr>
          <w:p>
            <w:pPr>
              <w:spacing w:after="0"/>
              <w:rPr>
                <w:rFonts w:ascii="Arial" w:cs="Arial" w:eastAsia="Arial" w:hAnsi="Arial"/>
                <w:sz w:val="14"/>
                <w:szCs w:val="14"/>
                <w:b w:val="1"/>
                <w:bCs w:val="1"/>
                <w:color w:val="0000FF"/>
                <w:w w:val="91"/>
              </w:rPr>
            </w:pPr>
            <w:hyperlink w:anchor="page1">
              <w:r>
                <w:rPr>
                  <w:rFonts w:ascii="Arial" w:cs="Arial" w:eastAsia="Arial" w:hAnsi="Arial"/>
                  <w:sz w:val="14"/>
                  <w:szCs w:val="14"/>
                  <w:b w:val="1"/>
                  <w:bCs w:val="1"/>
                  <w:color w:val="0000FF"/>
                  <w:w w:val="91"/>
                </w:rPr>
                <w:t>Table of Contents</w:t>
              </w:r>
            </w:hyperlink>
          </w:p>
        </w:tc>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Pr>
          <w:p>
            <w:pPr>
              <w:spacing w:after="0"/>
              <w:rPr>
                <w:sz w:val="24"/>
                <w:szCs w:val="24"/>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44,593</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55,000</w:t>
            </w:r>
          </w:p>
        </w:tc>
      </w:tr>
      <w:tr>
        <w:trPr>
          <w:trHeight w:val="27"/>
        </w:trPr>
        <w:tc>
          <w:tcPr>
            <w:tcW w:w="11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2013, we had $15.9 million, $19.1 million, $6.6 million and $3.0 million of cash and cash equivalents in the United States, Asia, Europe, and South America, respectively. On December 31, 2012, we had approximately $2.7 million, $27.3 million, $9.4 million, and $5.2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September 30, 2013.</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September 30, 2013, we were in compliance with the covenants and conditions of the Amended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2012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Although at September 30, 2013 we had no outstanding borrowings under our Credit Line, from time to time we may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three and nine months ended September 30, 2013.</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2013,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2013 are the Euro, British Pound, Chinese Yuan Renminbi, Indian Rupee, Singapore dollar, Argentinian Peso and Brazilian Real.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gains and losses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sensitivity of earnings to variability in exchange rates is assessed by applying an approximate range of potential rate fluctuations to our assets and obligations, including currency contracts, and projected results of operations denominated in foreign currency with all other variables held constant. Based on our overall foreign currency rate exposure at September 30, 2013, we estimate that if the exchange rates for the Euro, British Pound, Chinese Yuan Renminbi, Indian Rupee, Singapore dollar, Argentinian Peso, and the Brazilian Real relative to the U.S. dollar fluctuate 10% from September 30, 2013, net income in the fourth quarter of 2013 would fluctuate by approximately $5.8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the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presented below updates and supplements the risk factors discussed in "Part I, Item 1A: Risk Factors" of our Annual Report on Form 10-K for the year ended December 31, 2012, which are incorporated herein by reference. The reader should carefully consider these risk factors in connection with the other information in this report. These factors may cause our actual results to differ materially from those stated in forward-looking statements contained in this document and elsewhere.</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related to the use of conflict-free minerals may increase our costs and expenses, and an inability to certify that our products are conflict-free could adversely affect customer relationships.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Securities and Exchange Commission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beginning in May 2014. Because our supply chain is broad-based and complex, we may not be able to easily verify the origins for all minerals used in our products. In addition, the new rules could reduce the number of suppliers who provide components and products containing conflict-free minerals and thus could increase the cost of the components used in manufacturing our products and the costs of our products to us. Any increased costs and expenses could have a material adverse impact on our financial condition and results of operations. Further, if we are unable to certify that our products are conflict free, we may face challenges with our customers, which could place us at a competitive disadvantage, and our reputation may be harmed.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2013, we repurchased 23,093 shares of our issued and outstanding common stock for $0.7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September 30, 2013, we had 945,812 shares available for repurchase under the Board's authorizations.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2013,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9"/>
              </w:rPr>
              <w:t>Shares 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2013 - July 31, 2013</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7,003</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961,902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August 1, 2013 - August 31, 2013</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15,094</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946,808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2013 - September 30, 2013</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996</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945,812</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23,093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23,093</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945,812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180"/>
          </w:cols>
          <w:pgMar w:left="240" w:top="118" w:right="4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color w:val="auto"/>
              </w:rPr>
              <w:t>Dated:  November 7, 2013</w:t>
            </w:r>
          </w:p>
        </w:tc>
        <w:tc>
          <w:tcPr>
            <w:tcW w:w="7560" w:type="dxa"/>
            <w:vAlign w:val="bottom"/>
            <w:gridSpan w:val="2"/>
          </w:tcPr>
          <w:p>
            <w:pPr>
              <w:ind w:left="178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2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(principal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18"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900" w:firstLine="154"/>
        <w:spacing w:after="0" w:line="395" w:lineRule="auto"/>
        <w:tabs>
          <w:tab w:leader="none" w:pos="84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400" w:firstLine="154"/>
        <w:spacing w:after="0" w:line="369" w:lineRule="auto"/>
        <w:tabs>
          <w:tab w:leader="none" w:pos="8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right="900" w:firstLine="154"/>
        <w:spacing w:after="0" w:line="387"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40" w:right="400" w:firstLine="154"/>
        <w:spacing w:after="0" w:line="369" w:lineRule="auto"/>
        <w:tabs>
          <w:tab w:leader="none" w:pos="8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2019-12-05T17:09:29Z</dcterms:created>
  <dcterms:modified xsi:type="dcterms:W3CDTF">2019-12-05T17:09:29Z</dcterms:modified>
</cp:coreProperties>
</file>