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of Incorporation or Organization)</w:t>
            </w:r>
          </w:p>
        </w:tc>
        <w:tc>
          <w:tcPr>
            <w:tcW w:w="330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6101 Gateway Drive</w:t>
            </w:r>
          </w:p>
        </w:tc>
        <w:tc>
          <w:tcPr>
            <w:tcW w:w="3300" w:type="dxa"/>
            <w:vAlign w:val="bottom"/>
          </w:tcPr>
          <w:p>
            <w:pPr>
              <w:spacing w:after="0"/>
              <w:rPr>
                <w:sz w:val="24"/>
                <w:szCs w:val="24"/>
                <w:color w:val="auto"/>
              </w:rPr>
            </w:pPr>
          </w:p>
        </w:tc>
      </w:tr>
      <w:tr>
        <w:trPr>
          <w:trHeight w:val="216"/>
        </w:trPr>
        <w:tc>
          <w:tcPr>
            <w:tcW w:w="494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Cypress, California</w:t>
            </w:r>
          </w:p>
        </w:tc>
        <w:tc>
          <w:tcPr>
            <w:tcW w:w="330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34"/>
        </w:trPr>
        <w:tc>
          <w:tcPr>
            <w:tcW w:w="49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30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(Zip Code)</w:t>
            </w:r>
          </w:p>
        </w:tc>
      </w:tr>
    </w:tbl>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34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Non-accelerated filer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 Smaller reporting company</w:t>
      </w:r>
    </w:p>
    <w:p>
      <w:pPr>
        <w:spacing w:after="0" w:line="323" w:lineRule="exact"/>
        <w:rPr>
          <w:sz w:val="20"/>
          <w:szCs w:val="20"/>
          <w:color w:val="auto"/>
        </w:rPr>
      </w:pPr>
    </w:p>
    <w:p>
      <w:pPr>
        <w:sectPr>
          <w:pgSz w:w="11900" w:h="16838" w:orient="portrait"/>
          <w:cols w:equalWidth="0" w:num="5">
            <w:col w:w="2520" w:space="720"/>
            <w:col w:w="160" w:space="60"/>
            <w:col w:w="1320" w:space="720"/>
            <w:col w:w="3180" w:space="480"/>
            <w:col w:w="2120"/>
          </w:cols>
          <w:pgMar w:left="240" w:top="122" w:right="37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13,916,624 shares of Common Stock, par value $0.01 per share, of the registrant were outstanding on August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8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UNIVERSAL ELECTRONICS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2"/>
          </w:tcPr>
          <w:p>
            <w:pPr>
              <w:jc w:val="center"/>
              <w:ind w:right="408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8"/>
            <w:vMerge w:val="restart"/>
          </w:tcPr>
          <w:p>
            <w:pPr>
              <w:spacing w:after="0"/>
              <w:rPr>
                <w:sz w:val="24"/>
                <w:szCs w:val="2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660" w:type="dxa"/>
            <w:vAlign w:val="bottom"/>
            <w:gridSpan w:val="8"/>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580" w:type="dxa"/>
            <w:vAlign w:val="bottom"/>
            <w:gridSpan w:val="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4. Controls and Procedures</w:t>
              </w:r>
            </w:hyperlink>
          </w:p>
        </w:tc>
        <w:tc>
          <w:tcPr>
            <w:tcW w:w="8220" w:type="dxa"/>
            <w:vAlign w:val="bottom"/>
            <w:gridSpan w:val="10"/>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980" w:type="dxa"/>
            <w:vAlign w:val="bottom"/>
            <w:gridSpan w:val="9"/>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1A. Risk Factors</w:t>
              </w:r>
            </w:hyperlink>
          </w:p>
        </w:tc>
        <w:tc>
          <w:tcPr>
            <w:tcW w:w="8960" w:type="dxa"/>
            <w:vAlign w:val="bottom"/>
            <w:gridSpan w:val="1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64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 Submission of Matters to a Vote of Security Holders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624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w:t>
              </w:r>
            </w:hyperlink>
          </w:p>
        </w:tc>
        <w:tc>
          <w:tcPr>
            <w:tcW w:w="460" w:type="dxa"/>
            <w:vAlign w:val="bottom"/>
            <w:tcBorders>
              <w:top w:val="single" w:sz="8" w:color="0000EE"/>
            </w:tcBorders>
            <w:gridSpan w:val="3"/>
          </w:tcPr>
          <w:p>
            <w:pPr>
              <w:spacing w:after="0"/>
              <w:rPr>
                <w:sz w:val="17"/>
                <w:szCs w:val="17"/>
                <w:color w:val="auto"/>
              </w:rPr>
            </w:pPr>
          </w:p>
        </w:tc>
        <w:tc>
          <w:tcPr>
            <w:tcW w:w="9400" w:type="dxa"/>
            <w:vAlign w:val="bottom"/>
            <w:gridSpan w:val="1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Exhibit Index</w:t>
              </w:r>
            </w:hyperlink>
          </w:p>
        </w:tc>
        <w:tc>
          <w:tcPr>
            <w:tcW w:w="9560" w:type="dxa"/>
            <w:vAlign w:val="bottom"/>
            <w:gridSpan w:val="1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88,215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58,464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3,072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195,277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11,043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227,904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40,829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4,446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3,568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57,395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60,312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439"/>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2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50,000,000 shares authorized; 18,615,390 and 18,547,019 shares issued at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30, 2008 and December 31, 2007, respectively</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117,559</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18,804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231,025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214,355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w w:val="95"/>
              </w:rPr>
              <w:t>Less cost of common stock in treasury, 4,718,093 and 3,975,439 shares at June 30, 2008 and December 31, 2007,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(63,433)</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227,904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70,684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71,478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131,875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46,472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46,852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85,928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24,212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24,626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45,947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48,967</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2,121</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17,734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16,385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34,590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32,218</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4,357</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(3,042)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14,033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14,437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14,256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14,547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15,262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5,968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(benefit) for deferred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Tax benefit from exercise of 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8,795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(17,489)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provided by financing activities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(16,830)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5,008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10,364</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86,610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66,075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88,215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8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All significant intercompany accounts and transactions have been eliminated in the consolidated financial statements. Certain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w:t>
      </w:r>
    </w:p>
    <w:p>
      <w:pPr>
        <w:spacing w:after="0" w:line="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results of operations for the three and six months ended June 30, 2008 are not necessarily indicative of the results to be expected for the full year. These financial statements should be read in conjunction with the consolidated financial statements and related notes and “Management Discussion and Analysis of Financial Conditions and Results of Operations” contained in our Annual Report on Form 10-K for our fiscal year ended December 31, 2007. The financial information presented in the accompanying statements reflects all adjustments that are, in the opinion of management, necessary for a fair presentation of financial position, operations and cash flows for the periods presented. All such adjustments are of a normal recurring nature. As used herein, the terms “Company”, “we”, “us” and “our” refer to Universal Electronics Inc. and its subsidiaries, unless the context indicates to the contrary.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recognize revenue on the sale of products when delivery has occurred, there is persuasive evidence of an arrangement, the sales price is fixed or determinable and collectibility is reasonably assured. We record a provision for estimated sales returns on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46"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allowances reduce gross accounts receivable to arrive at accounts receivable, net in the same period the related receivable is recorded. We have no obligations after delivery of our products other than the associated warranties (see Note 15).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collectibility is reasonably assured.</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may from time to time initiate the sale or license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collectibility is reasonably assured. We record license revenue when our customers ship products incorporating our intellectual property, persuasive evidence of an arrangement exists, the sales price is fixed or determinable, and collectibility is reasonably assured.</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account for revenue under software licensing arrangements involving significant production, modification or customization of software in accordance with SOP 81-1, “Accounting for Performance of Construction-Type and Certain Production-Type Contracts”. We recognize revenue and profit as work progresses on long-term, fixed price contracts using the percentage-of-completion method. When applying the percentage-of-completion method, we rely on estimates of total expected contract revenue and labor hours which are provided by our project managers. We follow this method because reasonably dependable estimates of the revenue and labor applicable to various stages of a contract can be made. Recognized revenue and profit are subject to revisions as the contract progresses to completion. Revisions to revenue and profit estimates are charged to income in the period in which the facts that give rise to the revision become known, and losses are accrued when identified.</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accordance with EITF Issue 06-3, “How Taxes Collected from Customers and Remitted to Governmental Authorities Should Be Presented in the Income Statement (That Is, Gross versus Net Presentation)” (“EITF 06-3”), 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generally accepted accounting principles in the United States of America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In February 2008, the FASB issued FASB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Additionally in February 2008 the FASB issued FASB Staff Position for SFAS 157 (“FSP FAS 157-2”), which delays the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We will apply the provisions as necessary (i.e. annual year-end impairment review of goodwill and intangible assets). As a result, the adoption of SFAS 157 had no impact on our consolidated results of operations and financial condition during the six months ended June 30, 2008.</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The adoption of SFAS 159 had no impact on our consolidated results of operations and financial condition during the six months ended June 30, 2008.</w:t>
      </w:r>
    </w:p>
    <w:p>
      <w:pPr>
        <w:spacing w:after="0" w:line="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We did not have any arrangements with advance payments and therefore the adoption of EITF 07-3 did not have a material effect on our consolidated financial position, results of operations or cash flows.</w:t>
      </w:r>
    </w:p>
    <w:p>
      <w:pPr>
        <w:spacing w:after="0" w:line="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 material effect on our financial statements; however, the effect is dependent upon whether we make any future acquisitions and the specifics of those acquisitions.</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an impact on our consolidated results of operations and financial condition.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(“ARB 51”), “Consolidated Financial Statements,” by defining a new term-noncontrolling interests-to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currently do not believe that the adoption of SFAS 160 will have a significant effect on our financial statements as we do not have any noncontrolling equity interests of a consolidated subsidiary.</w:t>
      </w:r>
    </w:p>
    <w:p>
      <w:pPr>
        <w:spacing w:after="0" w:line="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8"/>
          <w:szCs w:val="18"/>
          <w:i w:val="1"/>
          <w:iCs w:val="1"/>
          <w:color w:val="auto"/>
        </w:rPr>
        <w:t>,</w:t>
      </w:r>
      <w:r>
        <w:rPr>
          <w:rFonts w:ascii="Arial" w:cs="Arial" w:eastAsia="Arial" w:hAnsi="Arial"/>
          <w:sz w:val="18"/>
          <w:szCs w:val="18"/>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December 31, 2008. We are currently assessing the impact that SFAS 161 will have on our consolidated results of operations and financial condition.</w:t>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No. 142, “Goodwill and Other Intangible Assets.” The intent of this FSP is to improve the consistency between the useful life of a recognized intangible asset under Statement 142 and the period of expected cash flows used to measure the fair value of the asset under FASB Statement No. 141 (revised 2007), “Business Combinations”, and other U.S. GAAP. FSP FAS 142-3 is effective for fiscal years and interim periods within those fiscal years beginning on or after December 15, 2008. The guidance for determining the useful life of a recognized intangible asset in paragraphs 7–11 of this FSP shall be applied prospectively to intangible assets acquired after the effective date. The disclosure requirements in paragraphs 13–15 shall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SFAS 162 identifies the sources of accounting principles and the framework for selecting the principles used in the preparation of financial statements of nongovernmental entities that are presented in conformity with generally accepted accounting principles (the GAAP hierarchy). Statement 162 will become effective 60 days following the SEC’s approval of the Public Company Accounting Oversight Board amendments to AU Section 411, “The Meaning of Present Fairly in Conformity With Generally Accepted Accounting Principles.” We do not expect the adoption of SFAS 162 to have a material effect on our consolidated results of operations and financial condition.</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June 2008, the FASB issued FASB Staff Position on EITF 03-6, “Determining Whether Instruments Granted in Share-Based Payment Transactions Are Participating Securities” (“FSP EITF 03-6-1”). FSP EITF 03-6-1 addresses whether instruments granted in share-based payment transactions are participating securities prior to vesting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therefore, need to be included in the earnings allocation in computing earning per share under FASB Statement No. 128, “Earnings per Share”. EITF 03-6-1 is effective for financial statements issued for fiscal years and interim periods beginning after December 15, 2008 and should be applied retrospectively to all prior periods. Early adoption is prohibited. FSP EITF 03-6-1 is effective for us beginning January 1, 2009. We do not expect the adoption of FSP EITF 03-6-1 to have a material effect on our consolidated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follow the fair value recognition provisions of SFAS No. 123R, “Share-Based Payment” (“SFAS 123R”) using the modified-prospective transition method. Stock-based compensation expense is presented in the same income statement caption as cash compensation paid to the same employees or directors. During the three months ended June 30, 2008 and 2007, we recorded $1.1 million and $0.8 million, respectively in pre-tax stock-based compensation expense. Included in selling, general and administrative (“SG&amp;A”) stock-based compensation expense is $206 thousand and $117 thousand in pre-tax compensation expense for the three months ended June 30, 2008 and 2007, respectively, related to stock awards granted to outside directors.</w:t>
      </w:r>
    </w:p>
    <w:p>
      <w:pPr>
        <w:spacing w:after="0" w:line="5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the six months ended June 30, 2008 and 2007, we recorded $2.3 million and $1.5 million, respectively in pre-tax stock-based compensation expense. Included in selling, general and administrative (“SG&amp;A”) stock-based compensation expense is $387 thousand and $234 thousand in pre-tax compensation expense for the six months ended June 30, 2008 and 2007, respectively, related to stock awards granted to outside directors.</w:t>
      </w:r>
    </w:p>
    <w:p>
      <w:pPr>
        <w:spacing w:after="0" w:line="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during the first quarter of 2008, as part of the annual review cycle, the Compensation Committee of the Board of Directors granted 115,926 shares of restricted stock to our executives under the 2006 Stock Incentive Plan. The awards were granted as part of a long-term incentive compensation plan to assist us in meeting our performance and retention objectives. Each executive grant is subject to a three-year vesting period. In accordance with SFAS 123R, compensation expense related to restricted stock awards is based on the fair value of the shares awarded as of the grant date. The fair value of non-vested shares is determined based on the average of the high and low trade prices of our Company’s shares on the grant date. For the three and six months ended June 30, 2008, the stock-based compensation expense related to this award was $228 thousand and $456 thousand, respectively, and is included in SG&amp;A.</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under SFAS 123R from the recognition of stock-based compensation for the three and six months ended June 30, 2008 was</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$0.2 million and $0.5 million, respectively. The income tax benefit under SFAS 123R from the recognition of stock-based compensation for the three and six months ended June 30, 2007 was $0.2 million and $0.4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70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estimate the fair value of share-based payment awards using the Black-Scholes option pricing model with the following assumptions and weighted average fair values: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60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740" w:type="dxa"/>
            <w:vAlign w:val="bottom"/>
          </w:tcPr>
          <w:p>
            <w:pPr>
              <w:spacing w:after="0"/>
              <w:rPr>
                <w:sz w:val="12"/>
                <w:szCs w:val="12"/>
                <w:color w:val="auto"/>
              </w:rPr>
            </w:pPr>
          </w:p>
        </w:tc>
        <w:tc>
          <w:tcPr>
            <w:tcW w:w="9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12"/>
                <w:szCs w:val="12"/>
                <w:b w:val="1"/>
                <w:bCs w:val="1"/>
                <w:color w:val="auto"/>
              </w:rPr>
              <w:t>(1)</w:t>
            </w:r>
          </w:p>
        </w:tc>
        <w:tc>
          <w:tcPr>
            <w:tcW w:w="500" w:type="dxa"/>
            <w:vAlign w:val="bottom"/>
          </w:tcPr>
          <w:p>
            <w:pPr>
              <w:spacing w:after="0"/>
              <w:rPr>
                <w:sz w:val="12"/>
                <w:szCs w:val="12"/>
                <w:color w:val="auto"/>
              </w:rPr>
            </w:pPr>
          </w:p>
        </w:tc>
        <w:tc>
          <w:tcPr>
            <w:tcW w:w="10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 xml:space="preserve">2008 </w:t>
            </w:r>
            <w:r>
              <w:rPr>
                <w:rFonts w:ascii="Arial" w:cs="Arial" w:eastAsia="Arial" w:hAnsi="Arial"/>
                <w:sz w:val="12"/>
                <w:szCs w:val="12"/>
                <w:b w:val="1"/>
                <w:bCs w:val="1"/>
                <w:color w:val="auto"/>
              </w:rPr>
              <w:t>(1)</w:t>
            </w:r>
          </w:p>
        </w:tc>
        <w:tc>
          <w:tcPr>
            <w:tcW w:w="520" w:type="dxa"/>
            <w:vAlign w:val="bottom"/>
          </w:tcPr>
          <w:p>
            <w:pPr>
              <w:spacing w:after="0"/>
              <w:rPr>
                <w:sz w:val="12"/>
                <w:szCs w:val="12"/>
                <w:color w:val="auto"/>
              </w:rPr>
            </w:pPr>
          </w:p>
        </w:tc>
        <w:tc>
          <w:tcPr>
            <w:tcW w:w="10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 xml:space="preserve">2007 </w:t>
            </w:r>
            <w:r>
              <w:rPr>
                <w:rFonts w:ascii="Arial" w:cs="Arial" w:eastAsia="Arial" w:hAnsi="Arial"/>
                <w:sz w:val="12"/>
                <w:szCs w:val="12"/>
                <w:b w:val="1"/>
                <w:bCs w:val="1"/>
                <w:color w:val="auto"/>
              </w:rPr>
              <w:t>(1)</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$10.57</w:t>
            </w:r>
          </w:p>
        </w:tc>
        <w:tc>
          <w:tcPr>
            <w:tcW w:w="16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$11.86</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$ 9.07</w:t>
            </w:r>
          </w:p>
        </w:tc>
        <w:tc>
          <w:tcPr>
            <w:tcW w:w="1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$11.73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1640" w:type="dxa"/>
            <w:vAlign w:val="bottom"/>
            <w:gridSpan w:val="3"/>
          </w:tcPr>
          <w:p>
            <w:pPr>
              <w:jc w:val="right"/>
              <w:ind w:right="108"/>
              <w:spacing w:after="0"/>
              <w:rPr>
                <w:sz w:val="20"/>
                <w:szCs w:val="20"/>
                <w:color w:val="auto"/>
              </w:rPr>
            </w:pPr>
            <w:r>
              <w:rPr>
                <w:rFonts w:ascii="Arial" w:cs="Arial" w:eastAsia="Arial" w:hAnsi="Arial"/>
                <w:sz w:val="18"/>
                <w:szCs w:val="18"/>
                <w:color w:val="auto"/>
              </w:rPr>
              <w:t>4.58%</w:t>
            </w:r>
          </w:p>
        </w:tc>
        <w:tc>
          <w:tcPr>
            <w:tcW w:w="1540" w:type="dxa"/>
            <w:vAlign w:val="bottom"/>
            <w:gridSpan w:val="2"/>
          </w:tcPr>
          <w:p>
            <w:pPr>
              <w:jc w:val="right"/>
              <w:ind w:right="88"/>
              <w:spacing w:after="0"/>
              <w:rPr>
                <w:sz w:val="20"/>
                <w:szCs w:val="20"/>
                <w:color w:val="auto"/>
              </w:rPr>
            </w:pPr>
            <w:r>
              <w:rPr>
                <w:rFonts w:ascii="Arial" w:cs="Arial" w:eastAsia="Arial" w:hAnsi="Arial"/>
                <w:sz w:val="18"/>
                <w:szCs w:val="18"/>
                <w:color w:val="auto"/>
              </w:rPr>
              <w:t>2.74%</w:t>
            </w:r>
          </w:p>
        </w:tc>
        <w:tc>
          <w:tcPr>
            <w:tcW w:w="1560" w:type="dxa"/>
            <w:vAlign w:val="bottom"/>
            <w:gridSpan w:val="2"/>
          </w:tcPr>
          <w:p>
            <w:pPr>
              <w:jc w:val="right"/>
              <w:ind w:right="108"/>
              <w:spacing w:after="0"/>
              <w:rPr>
                <w:sz w:val="20"/>
                <w:szCs w:val="20"/>
                <w:color w:val="auto"/>
              </w:rPr>
            </w:pPr>
            <w:r>
              <w:rPr>
                <w:rFonts w:ascii="Arial" w:cs="Arial" w:eastAsia="Arial" w:hAnsi="Arial"/>
                <w:sz w:val="18"/>
                <w:szCs w:val="18"/>
                <w:color w:val="auto"/>
              </w:rPr>
              <w:t>4.58%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6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38.83%</w:t>
            </w:r>
          </w:p>
        </w:tc>
        <w:tc>
          <w:tcPr>
            <w:tcW w:w="15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40.84%</w:t>
            </w:r>
          </w:p>
        </w:tc>
        <w:tc>
          <w:tcPr>
            <w:tcW w:w="1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39.06%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4.72</w:t>
            </w:r>
          </w:p>
        </w:tc>
        <w:tc>
          <w:tcPr>
            <w:tcW w:w="1640" w:type="dxa"/>
            <w:vAlign w:val="bottom"/>
            <w:gridSpan w:val="3"/>
          </w:tcPr>
          <w:p>
            <w:pPr>
              <w:jc w:val="right"/>
              <w:ind w:right="268"/>
              <w:spacing w:after="0"/>
              <w:rPr>
                <w:sz w:val="20"/>
                <w:szCs w:val="20"/>
                <w:color w:val="auto"/>
              </w:rPr>
            </w:pPr>
            <w:r>
              <w:rPr>
                <w:rFonts w:ascii="Arial" w:cs="Arial" w:eastAsia="Arial" w:hAnsi="Arial"/>
                <w:sz w:val="18"/>
                <w:szCs w:val="18"/>
                <w:color w:val="auto"/>
              </w:rPr>
              <w:t>5.24</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4.74</w:t>
            </w:r>
          </w:p>
        </w:tc>
        <w:tc>
          <w:tcPr>
            <w:tcW w:w="1560" w:type="dxa"/>
            <w:vAlign w:val="bottom"/>
            <w:gridSpan w:val="2"/>
          </w:tcPr>
          <w:p>
            <w:pPr>
              <w:jc w:val="right"/>
              <w:ind w:right="248"/>
              <w:spacing w:after="0"/>
              <w:rPr>
                <w:sz w:val="20"/>
                <w:szCs w:val="20"/>
                <w:color w:val="auto"/>
              </w:rPr>
            </w:pPr>
            <w:r>
              <w:rPr>
                <w:rFonts w:ascii="Arial" w:cs="Arial" w:eastAsia="Arial" w:hAnsi="Arial"/>
                <w:sz w:val="18"/>
                <w:szCs w:val="18"/>
                <w:color w:val="auto"/>
              </w:rPr>
              <w:t>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fair value calculation was based on stock options granted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as of June 30, 2008 and changes for the six months ended June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2"/>
                <w:szCs w:val="12"/>
                <w:color w:val="auto"/>
              </w:rPr>
            </w:pPr>
          </w:p>
        </w:tc>
        <w:tc>
          <w:tcPr>
            <w:tcW w:w="114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$16.83</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139</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23.46</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11.00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Forfeited/ cancelled/ expired</w:t>
            </w:r>
          </w:p>
        </w:tc>
        <w:tc>
          <w:tcPr>
            <w:tcW w:w="36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26.05</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1,809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$17.39</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5.45</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8,764</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Vested and expected to vest at June 30, 2008</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1,761</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$16.75</w:t>
            </w:r>
          </w:p>
        </w:tc>
        <w:tc>
          <w:tcPr>
            <w:tcW w:w="14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5.21</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8,775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2008</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1,306</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$14.99</w:t>
            </w:r>
          </w:p>
        </w:tc>
        <w:tc>
          <w:tcPr>
            <w:tcW w:w="146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1"/>
              </w:rPr>
              <w:t>4.28</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4"/>
              </w:rPr>
              <w:t>8,252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aggregate intrinsic value in the table above represents total pre-tax intrinsic value (difference between Universal Electronics Inc.’s average of the high and low trades of the last trading day of the second quarter of 2008 (June 30, 2008) and the option exercise price, multiplied by the number of the in-the-money options) that option holders would have received had all option holders exercised their options on June 30, 2008. This amount changes based on the fair market value of our common stock. The total intrinsic value of options exercised for the three and six months ended June 30, 2008 was $0.5 million and $0.7 million, respectively. The total intrinsic value of options exercised for the three and six months ended June 30, 2007 was $4.7 million and $7.9 million, respectively.</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30, 2008, we expect to recognize $4.0 million of total unrecognized compensation expense related to non-vested employee stock options over a weighted-average life of 2.2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awards as of June 30, 2008 and changes during the six months ended June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117</w:t>
            </w:r>
          </w:p>
        </w:tc>
        <w:tc>
          <w:tcPr>
            <w:tcW w:w="1620" w:type="dxa"/>
            <w:vAlign w:val="bottom"/>
            <w:gridSpan w:val="2"/>
          </w:tcPr>
          <w:p>
            <w:pPr>
              <w:jc w:val="right"/>
              <w:ind w:right="264"/>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2008</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162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June 30, 2008, we expect to recognize $2.3 million in unrecognized compensation expense related to non-vested restricted stock awards over a weighted-average life of 2.5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73"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At June 30, 2008, we had approximately $7.2 million and $81.0 million of cash and cash equivalents in the United States and Europe, respectively. At December 31, 2007, we had approximately $12.2 million and $74.4 million of cash and cash equivalents in the United States and Europe,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Receivable and Revenue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63,528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(2,362)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w:t>
            </w:r>
          </w:p>
        </w:tc>
      </w:tr>
      <w:tr>
        <w:trPr>
          <w:trHeight w:val="223"/>
        </w:trPr>
        <w:tc>
          <w:tcPr>
            <w:tcW w:w="900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59,716</w:t>
            </w:r>
          </w:p>
        </w:tc>
        <w:tc>
          <w:tcPr>
            <w:tcW w:w="100" w:type="dxa"/>
            <w:vAlign w:val="bottom"/>
          </w:tcPr>
          <w:p>
            <w:pPr>
              <w:spacing w:after="0"/>
              <w:rPr>
                <w:sz w:val="19"/>
                <w:szCs w:val="19"/>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23"/>
        </w:trPr>
        <w:tc>
          <w:tcPr>
            <w:tcW w:w="90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6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receivables as of June 30, 2008 and December 31, 2007 consisted primarily of a tenant improvement allowance provided by our landlord for the renovation and expansion of our corporate headquarters in Cypress, California. Construction was completed during the first quarter of 2008. We expect the tenant improvement allowance to be collected in the third quarter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had sales to one significant customer and its sub-contractors that, when combined, totaled $13.8 million and $12.1 million, accounting for 19.5% and 17.0% of net sales, for the three months ended June 30, 2008 and 2007, respectively. Sales made to this customer during the six months ended June 30, 2008 and 2007 amounted to $23.1 million and $23.0 million, representing 17.5% and 16.7% of total net sales, respectively. Trade receivables with this customer and its sub-contractors amounted to $7.8 million and $7.9 million, or 13.3% and 13.3% of our net trade receivable at June 30, 2008 and December 31, 2007, respectively.</w:t>
      </w:r>
    </w:p>
    <w:p>
      <w:pPr>
        <w:spacing w:after="0" w:line="8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three and six months ended June 30, 2007, we had sales to another customer that contributed more than 10% of total net sales. Sales made to this customer were $12.4 million and $22.5 million, representing 17.4% and 16.4%, respectively, of our total net sales for the three and six months ended June 30, 2007. Trade receivables with this customer amounted to $2.3 million, or 3.8% of our net trade receivable at December 31, 2007.</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loss of these customers or any key customer, either in the United States or abroad, due to the financial weakness or bankruptcy of any such customer or our inability to obtain orders or maintain our order volume with our major customers, may have a material adverse effect on our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 and Significant Suppliers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Inventories, which consist of wireless control devices, including universal remote controls, antennas and related component parts, are valued at the lower of cost or market. Cost, which is determined using the first-in, first-out method includes the purchase of integrated circuits, sub-contractor costs and freight-in. We carry inventory in amounts necessary to satisfy our customers’ inventory requirements on a timely basis.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inventory to control inventory levels and dispose of any excess or obsolete inventories on hand. We write down our inventory for estimated obsolescence or unmarketable inventory, in an amount equal to the difference between the cost of the inventory and its estimated market value based upon our best estimates about future demand and market conditions. If actual market conditions are less favorable than those projected by management, additional inventory write-downs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33,738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29,982</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Inventory,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During the three months ended June 30, 2008 and 2007, inventory write-downs totaled $0.7 million and $0.5 million, respectively. During the six months ended June 30, 2008 and 2007, inventory write-downs totaled $1.0 million and $1.0 million, respectively. Inventory write-downs are a normal part of our business and result primarily from product life cycle estimation variances.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17"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Most of the components used in our products are available from multiple sources. We have elected to purchase integrated circuits (“IC”), used principally in our wireless control products, from two main sources. Purchases from one supplier amounted to more than 10% of total inventory purchases. Purchases from this major supplier amounted to $7.2 million and $5.5 million, representing 15.7% and 13.3% of total inventory purchases for the three months ended</w:t>
      </w:r>
    </w:p>
    <w:p>
      <w:pPr>
        <w:ind w:right="20"/>
        <w:spacing w:after="0" w:line="277" w:lineRule="auto"/>
        <w:rPr>
          <w:sz w:val="20"/>
          <w:szCs w:val="20"/>
          <w:color w:val="auto"/>
        </w:rPr>
      </w:pPr>
      <w:r>
        <w:rPr>
          <w:rFonts w:ascii="Arial" w:cs="Arial" w:eastAsia="Arial" w:hAnsi="Arial"/>
          <w:sz w:val="17"/>
          <w:szCs w:val="17"/>
          <w:color w:val="auto"/>
        </w:rPr>
        <w:t>June 30, 2008 and 2007, respectively. Purchases from this major supplier amounted to $13.8 million and $10.7 million, representing 16.4% and 14.0% of total inventory purchases for the six months ended June 30, 2008 and 2007, respectively. Accounts payable with that supplier amounted to $3.4 million and $3.2 million, representing 8.2% and 9.7% of total accounts payable at June 30, 2008 and December 31, 2007, respectively.</w:t>
      </w:r>
    </w:p>
    <w:p>
      <w:pPr>
        <w:spacing w:after="0" w:line="6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addition, during the three months ended June 30, 2008, we purchased component and finished good products from two major suppliers. Purchases from these two major suppliers amounted to $12.9 million and $6.4 million, representing 28.3% and 14.1%, respectively, of total inventory purchases for the three months ended June 30, 2008. During the three months ended June 30, 2007 purchases from the same two suppliers amounted to $11.5 million and</w:t>
      </w:r>
    </w:p>
    <w:p>
      <w:pPr>
        <w:ind w:right="80"/>
        <w:spacing w:after="0" w:line="270" w:lineRule="auto"/>
        <w:rPr>
          <w:sz w:val="20"/>
          <w:szCs w:val="20"/>
          <w:color w:val="auto"/>
        </w:rPr>
      </w:pPr>
      <w:r>
        <w:rPr>
          <w:rFonts w:ascii="Arial" w:cs="Arial" w:eastAsia="Arial" w:hAnsi="Arial"/>
          <w:sz w:val="17"/>
          <w:szCs w:val="17"/>
          <w:color w:val="auto"/>
        </w:rPr>
        <w:t>$9.1 million, representing 27.9% and 21.8%, respectively, of total inventory purchases. During the six months ended June 30, 2008 purchases from these two major suppliers amounted to $24.8 million and $13.0 million, representing 29.4% and 15.5%, respectively, of total inventory purchases. During the same period last year, purchases from the same two suppliers amounted to $21.3 million and $14.3 million, representing 27.7% and 18.7%, respectively, of total inventory purchases. Accounts payable with these suppliers of component and finished good products amounted to $13.1 million and $7.2 million, representing 32.2% and 17.6%, respectively, of total accounts payable at June 30, 2008. At December 31, 2007, accounts payable with the same suppliers amounted to $10.8 million and $6.3 million, representing 32.6% and 19.1%, respectively, of total accounts payable.</w:t>
      </w:r>
    </w:p>
    <w:p>
      <w:pPr>
        <w:spacing w:after="0" w:line="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 the three and six months ended June 30, 2007, one other supplier provided more than 10% of total inventory purchases. Purchases from this supplier amounted to $4.6 million and 8.4 million, representing 11.1% and 11.0%, respectively, of total inventory purchases for the three and six months ended June 30,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use the estimated annual effective tax rate to determine our provision for income taxes for interim periods. We recorded income tax expense of</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$1.8 million for the three months ended June 30, 2008 compared to $2.2 million for the same period last year. Our estimated effective tax rate was 33.4% and 32.5% during the three months ended June 30, 2008 and 2007, respectively. We recorded income tax expense of $3.0 million for the six months ended June 30, 2008 compared to $4.4 million for the same period last year. Our estimated effective tax rate was 33.8% and 32.5% during the six months ended June 30, 2008 and 2007, respectively. The increase in our effective tax rate is due primarily to the federal research and development tax credit statute which expired at the end of 2007.</w:t>
      </w:r>
    </w:p>
    <w:p>
      <w:pPr>
        <w:spacing w:after="0" w:line="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January 1, 2007, we adopted the provisions of FASB Interpretation 48, “Accounting for Uncertainty in Income Taxes- an interpretation of FASB Statement No. 109” (“FIN 48”). As a result of the implementation of FIN 48, we recognized a $0.2 million increase in the liability for unrecognized tax benefits, which was accounted for as a reduction to the January 1, 2007 balance of retained earnings. We also recognized a decrease of $0.3 million in other comprehensive income related to foreign currency translation as of December 31, 2007. At June 30, 2008, we had gross unrecognized tax benefits of approximately $9.2 million, including interest and penalties, of which approximately $7.6 million of this amount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$0.7 million within the next twelve months.</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FIN 48, we have elected to classify interest and penalties as components of tax expense. Accrued interest and penalties were $1.0 million at December 31, 2007 and $1.2 million at June 30, 2008 and are included in the unrecognized tax benefits.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file income tax returns in the U.S. federal jurisdiction, various states and foreign jurisdictions. As of June 30, 2008, the open statute of limitations for our significant tax jurisdictions are as follows: federal for 2004 through 2007, state for 2003 through 2007 and non-U.S. for 2001 through 2007. Approximately $5.1 million of gross unrecognized tax benefits at June 30, 2008 are classified as short term in accrued income taxes as prescribed by FIN 48 because we anticipate payment of cash within the next twelve months. The accrued income taxes are net of a U.S. income tax receivable of approximately $0.7 million. This unrecognized tax benefit relates to a foreign currency loss claimed on our Netherlands tax return for the years ended 2002 and 2003. We are currently under audit by the Dutch tax authorities and we expect this issue to be resolved within the next twelve months. The majority of the remaining gross unrecognized tax benefits is attributable to U.S. income taxes and is classified as long-term income taxes payable.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June 30, 2008 and 2007, we have excluded 413,916 and 305,750 stock options, respectively, with exercise prices greater than the average market price of the underlying common stock, because their inclusion would have been antidilutive. In the computation of diluted earnings per common share for the six months ended June 30, 2008 and 2007, we have excluded 385,308 and 155,063 stock options, respectively, with exercise prices greater than the average market price of the underlying common stock, because their inclusion would have been antidilutive.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and six months ended June 30, 2008 and 2007 are calculated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w w:val="96"/>
              </w:rPr>
              <w:t>BASI</w:t>
            </w:r>
            <w:r>
              <w:rPr>
                <w:rFonts w:ascii="Arial" w:cs="Arial" w:eastAsia="Arial" w:hAnsi="Arial"/>
                <w:sz w:val="18"/>
                <w:szCs w:val="18"/>
                <w:color w:val="auto"/>
                <w:w w:val="96"/>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3,495</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4,546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14,033</w:t>
            </w:r>
          </w:p>
        </w:tc>
        <w:tc>
          <w:tcPr>
            <w:tcW w:w="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14,256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14,282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3,495</w:t>
            </w: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4,546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14,033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14,437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14,256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14,547</w:t>
            </w:r>
          </w:p>
        </w:tc>
        <w:tc>
          <w:tcPr>
            <w:tcW w:w="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14,755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15,084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Comprehensive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are listed below:</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3,495</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13,551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jc w:val="both"/>
        <w:ind w:left="460" w:right="100" w:hanging="452"/>
        <w:spacing w:after="0" w:line="264"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foreign currency translation gains of $7.6 million and $1.9 million for the six months ended June 30, 2008 and 2007, respectively, were due to the weakening of the U.S. dollar against the Euro. The U.S. dollar/Euro spot rate was 1.58 and 1.46 at June 30, 2008 and December 31, 2007, respectively, and 1.35 and 1.32 at June 30, 2007 and December 31, 2006,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Revolving Credit Line</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$15 million unsecured revolving credit agreement (“Credit Facility”) with Comerica Bank, which expires on August 31, 2009. Under the Credit Facility, the interest payable is variable and is based on the bank’s cost of funds or LIBOR plus a fixed margin of 1.25%. The interest rate in effect as of June 30, 2008 using LIBOR plus a fixed margin of 1.25% was 4.56%. We pay a commitment fee ranging from zero to a maximum rate of 1/4 of 1% per year on the unused portion of the credit line depending on the amount of cash investment retained with Comerica during each quarter. At June 30, 2008, the commitment fee rate was 0.25%.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June 30, 2008, we did not have any amounts outstanding under the Credit Facility or any outstanding import letters of credit. The available balance on the line of credit was $15 million as of June 30, 2008. Furthermore, as of June 30, 2008, we were in compliance with all financial covenants required by the Credit Facility.</w:t>
      </w:r>
    </w:p>
    <w:p>
      <w:pPr>
        <w:spacing w:after="0" w:line="5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Under our Credit Facility, we have authority to acquire up to an additional 2.0 million shares of our common stock in the open market. From August 31, 2006 through June 30, 2008, we have purchased 1,321,804 shares of our common stock, leaving 678,196 shares available for purchase under the Credit Facility.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2008 and 2007, we repurchased 753,904 and 71,300 shares of our common stock at a cost of $17.5 million and</w:t>
      </w:r>
    </w:p>
    <w:p>
      <w:pPr>
        <w:spacing w:after="0" w:line="35"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$2.4 million, respectively. Repurchased shares are recorded as shares held in treasury at cost. We generally hold shares for future use as management and the Board of Directors deem appropriate, including compensating outside directors and executives of the Company. During the six months ended June 30, 2008 and 2007, we issued 11,250 and 12,188 shares, respectively, to outside directors for services performed (see Note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one operating segment “Core Business.” Goodwill is reviewed for impairment as of December 31st of each year. Goodwill of a reporting unit is tested for impairment between annual tests, if an event occurs or circumstances change that would more likely than not reduce the fair value of a reporting unit below its carrying amount.</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and the acquisition of a software and firmware solutions company, SimpleDevices, in 2004. Goodwill for international operations resulted from the acquisition of remote control distributors in the UK in 1998, Spain in 1999 and France in 2000.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Domestic and international goodwill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8,314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r>
      <w:tr>
        <w:trPr>
          <w:trHeight w:val="21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June 30, 2008, as compared to the goodwill reported at December 31, 2007, was the result of fluctuations in the foreign currency exchange rates used to translate the balance into U.S. dollars.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Besides goodwill, our intangible assets consist principally of distribution rights, patents, trademarks, purchased technologies and capitalized software development costs. Capitalized amounts related to patents represent external legal costs for the application and maintenance of patents. Intangible assets are amortized using the straight-line method over their estimated period of benefit, ranging from one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 xml:space="preserve">June 30, 2008 </w:t>
            </w:r>
            <w:r>
              <w:rPr>
                <w:rFonts w:ascii="Arial" w:cs="Arial" w:eastAsia="Arial" w:hAnsi="Arial"/>
                <w:sz w:val="12"/>
                <w:szCs w:val="12"/>
                <w:b w:val="1"/>
                <w:bCs w:val="1"/>
                <w:color w:val="auto"/>
              </w:rPr>
              <w:t>(1)</w:t>
            </w:r>
          </w:p>
        </w:tc>
        <w:tc>
          <w:tcPr>
            <w:tcW w:w="520" w:type="dxa"/>
            <w:vAlign w:val="bottom"/>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 xml:space="preserve">December 31, 2007 </w:t>
            </w:r>
            <w:r>
              <w:rPr>
                <w:rFonts w:ascii="Arial" w:cs="Arial" w:eastAsia="Arial" w:hAnsi="Arial"/>
                <w:sz w:val="12"/>
                <w:szCs w:val="12"/>
                <w:b w:val="1"/>
                <w:bCs w:val="1"/>
                <w:color w:val="auto"/>
                <w:w w:val="91"/>
              </w:rPr>
              <w:t>(1)</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452</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6,335</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840</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 (1-2 years)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1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2,695</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392</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567</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r>
      <w:tr>
        <w:trPr>
          <w:trHeight w:val="216"/>
        </w:trPr>
        <w:tc>
          <w:tcPr>
            <w:tcW w:w="82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8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This table excludes fully amortized intangible assets of $5.5 million as of June 30, 2008 and December 31, 2007.</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Amortization expense, including the amortization of capitalized software development, which is recorded in cost of sales, for the three and six months ended June 30, 2008 was approximately $0.3 million and $0.7 million, respectively. Amortization expense for the three and six months ended June 30, 2007 was approximately $0.4 million and $0.7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Estimated amortization expense for existing intangible assets for each of the five succeeding years ending December 31 and thereafter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2008 (remaining 6 months)</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2009</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2011</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 We currently operate in one business segment “Core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9"/>
              </w:rPr>
              <w:t>June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37,453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43,143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69,812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82,822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Asia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13,988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24,694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14,076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7,087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16,353</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2,119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2,731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South Africa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6540" w:type="dxa"/>
            <w:vAlign w:val="bottom"/>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1,727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2,604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Switzerland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23"/>
        </w:trPr>
        <w:tc>
          <w:tcPr>
            <w:tcW w:w="65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33,231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28,335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62,063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54,675</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70,684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71,478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131,875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2008</w:t>
            </w:r>
          </w:p>
        </w:tc>
        <w:tc>
          <w:tcPr>
            <w:tcW w:w="1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0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4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6,237</w:t>
            </w:r>
          </w:p>
        </w:tc>
        <w:tc>
          <w:tcPr>
            <w:tcW w:w="7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60" w:type="dxa"/>
            <w:vAlign w:val="bottom"/>
            <w:vMerge w:val="restart"/>
          </w:tcPr>
          <w:p>
            <w:pPr>
              <w:jc w:val="right"/>
              <w:ind w:right="197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 of derivative financial instruments represents the amount required to enter into similar offsetting contracts with similar remaining maturities based on quoted market prices.</w:t>
      </w:r>
    </w:p>
    <w:p>
      <w:pPr>
        <w:spacing w:after="0" w:line="59"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We held foreign currency exchange contracts which resulted in a net pre-tax loss of approximately $101 thousand for the three months ended June 30, 2008 and a net pre-tax gain of approximately $51 thousand for the three months ended June 30, 2007. For the six months ended June 30, 2008 and 2007, we had a pre-tax gain of approximately $533 thousand and $233 thousand, respectively. We had two foreign currency exchange contracts outstanding at June 30, 2008. These are forward contracts with the notional values of $7.0 million and $2.0 million. At December 31, 2007 we had one foreign currency exchange contract outstanding, a forward contract with a notional value of $5.0 million, which settled on January 25, 2008. The fair value of the outstanding forward contract as of December 31, 2007 was $11 thousand, which was included in prepaid expenses and other current assets.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held one US dollar/ Euro forward contract with a notional value of $7.0 million and a forward rate of $1.5766 US dollar/ Euro, respectively as of June 30, 2008. We also held one GBP/ Euro forward contract with a notional value $2.0 million and a forward rate of £ 0.7966 GBP/ Euro as of June 30, 2008. We held the Euro position on these contracts, which are both due for settlement on July 25, 2008. The aggregate loss on these contracts as of June 30, 2008 was $29 thousand and is included in other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indemnify our directors and officers to the maximum extent permitted under the laws of the State of Delaware and we have entered into Indemnification Agreements with each of our directors and executive officers. In addition, we purchased directors and officers’ insurance to insure our individual directors and officers against certain claims and attorney’s fees and related expenses incurred in connection with the defense of such claim. The amounts and types of coverage may vary from period to period as dictated by market conditions. Management is not aware of any matters that require indemnification of its officers or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Since warranty expense is a forecast primarily based on historical claims experience, actual claim costs may differ from the amounts provided.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warranties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5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20" w:type="dxa"/>
            <w:vAlign w:val="bottom"/>
          </w:tcPr>
          <w:p>
            <w:pPr>
              <w:spacing w:after="0"/>
              <w:rPr>
                <w:sz w:val="14"/>
                <w:szCs w:val="14"/>
                <w:color w:val="auto"/>
              </w:rPr>
            </w:pPr>
          </w:p>
        </w:tc>
        <w:tc>
          <w:tcPr>
            <w:tcW w:w="10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5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5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20" w:type="dxa"/>
            <w:vAlign w:val="bottom"/>
          </w:tcPr>
          <w:p>
            <w:pPr>
              <w:spacing w:after="0"/>
              <w:rPr>
                <w:sz w:val="12"/>
                <w:szCs w:val="12"/>
                <w:color w:val="auto"/>
              </w:rPr>
            </w:pPr>
          </w:p>
        </w:tc>
        <w:tc>
          <w:tcPr>
            <w:tcW w:w="1000" w:type="dxa"/>
            <w:vAlign w:val="bottom"/>
            <w:gridSpan w:val="2"/>
          </w:tcPr>
          <w:p>
            <w:pPr>
              <w:jc w:val="right"/>
              <w:ind w:right="21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2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2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5340" w:type="dxa"/>
            <w:vAlign w:val="bottom"/>
          </w:tcPr>
          <w:p>
            <w:pPr>
              <w:spacing w:after="0" w:line="195" w:lineRule="exact"/>
              <w:rPr>
                <w:sz w:val="20"/>
                <w:szCs w:val="20"/>
                <w:color w:val="auto"/>
              </w:rPr>
            </w:pPr>
            <w:r>
              <w:rPr>
                <w:rFonts w:ascii="Arial" w:cs="Arial" w:eastAsia="Arial" w:hAnsi="Arial"/>
                <w:sz w:val="18"/>
                <w:szCs w:val="18"/>
                <w:color w:val="auto"/>
              </w:rPr>
              <w:t xml:space="preserve">Six Months Ended June 30, 2008 </w:t>
            </w:r>
            <w:r>
              <w:rPr>
                <w:rFonts w:ascii="Arial" w:cs="Arial" w:eastAsia="Arial" w:hAnsi="Arial"/>
                <w:sz w:val="15"/>
                <w:szCs w:val="15"/>
                <w:color w:val="auto"/>
              </w:rPr>
              <w:t>(1)</w:t>
            </w:r>
          </w:p>
        </w:tc>
        <w:tc>
          <w:tcPr>
            <w:tcW w:w="520" w:type="dxa"/>
            <w:vAlign w:val="bottom"/>
          </w:tcPr>
          <w:p>
            <w:pPr>
              <w:spacing w:after="0"/>
              <w:rPr>
                <w:sz w:val="16"/>
                <w:szCs w:val="16"/>
                <w:color w:val="auto"/>
              </w:rPr>
            </w:pPr>
          </w:p>
        </w:tc>
        <w:tc>
          <w:tcPr>
            <w:tcW w:w="100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$ 178</w:t>
            </w:r>
          </w:p>
        </w:tc>
        <w:tc>
          <w:tcPr>
            <w:tcW w:w="500" w:type="dxa"/>
            <w:vAlign w:val="bottom"/>
          </w:tcPr>
          <w:p>
            <w:pPr>
              <w:spacing w:after="0"/>
              <w:rPr>
                <w:sz w:val="16"/>
                <w:szCs w:val="16"/>
                <w:color w:val="auto"/>
              </w:rPr>
            </w:pPr>
          </w:p>
        </w:tc>
        <w:tc>
          <w:tcPr>
            <w:tcW w:w="1020" w:type="dxa"/>
            <w:vAlign w:val="bottom"/>
          </w:tcPr>
          <w:p>
            <w:pPr>
              <w:jc w:val="right"/>
              <w:ind w:right="264"/>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(86)</w:t>
            </w:r>
          </w:p>
        </w:tc>
        <w:tc>
          <w:tcPr>
            <w:tcW w:w="520" w:type="dxa"/>
            <w:vAlign w:val="bottom"/>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 xml:space="preserve">Six Months Ended June 30, 2007 </w:t>
            </w:r>
            <w:r>
              <w:rPr>
                <w:rFonts w:ascii="Arial" w:cs="Arial" w:eastAsia="Arial" w:hAnsi="Arial"/>
                <w:sz w:val="15"/>
                <w:szCs w:val="15"/>
                <w:color w:val="auto"/>
              </w:rPr>
              <w:t>(1)</w:t>
            </w:r>
          </w:p>
        </w:tc>
        <w:tc>
          <w:tcPr>
            <w:tcW w:w="1520" w:type="dxa"/>
            <w:vAlign w:val="bottom"/>
            <w:gridSpan w:val="2"/>
          </w:tcPr>
          <w:p>
            <w:pPr>
              <w:jc w:val="right"/>
              <w:ind w:right="264"/>
              <w:spacing w:after="0"/>
              <w:rPr>
                <w:sz w:val="20"/>
                <w:szCs w:val="20"/>
                <w:color w:val="auto"/>
              </w:rPr>
            </w:pPr>
            <w:r>
              <w:rPr>
                <w:rFonts w:ascii="Arial" w:cs="Arial" w:eastAsia="Arial" w:hAnsi="Arial"/>
                <w:sz w:val="18"/>
                <w:szCs w:val="18"/>
                <w:color w:val="auto"/>
              </w:rPr>
              <w:t>$ 416</w:t>
            </w:r>
          </w:p>
        </w:tc>
        <w:tc>
          <w:tcPr>
            <w:tcW w:w="1520" w:type="dxa"/>
            <w:vAlign w:val="bottom"/>
            <w:gridSpan w:val="2"/>
          </w:tcPr>
          <w:p>
            <w:pPr>
              <w:jc w:val="right"/>
              <w:ind w:right="204"/>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5"/>
              </w:rPr>
              <w:t>(170)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50"/>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second quarter of 2007, we renegotiated pricing terms with our third party warranty repair vendor which resulted in lower warranty costs per unit. As a result, our warranty accrual was reduced to reflect the lower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the Gibson companies counterclaimed that we breached various aspects of the software agreement and that they are seeking unspecified damages. We disagree vigorously with their denials of liability and with their counterclaims and will continue to pursue this matter. As we are in the early stages of discovery, we are unable to estimate the likely outcome of this matter and the amount, if any, of recovery of the balance due us at this time.</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second quarter of 2007, we adopted a Long-Term Incentive Plan (“LTIP”), effective January 1, 2007, that provides a bonus pool for the executive management team contingent on achieving certain performance goals for the two-year period commencing on January 1, 2007 and ending on December 31, 2008, involving sales growth and earnings per diluted share. Vesting in the bonus pool will occur in eight equal quarterly increments commencing with the quarter ending March 31, 2009 and will continue as long as the participant remains an employee of our company. Payment of the vested portion of the bonus pool will occur on the vesting date, unless the participant elects to defer such payment, and will be made in cash, our common stock, or a combination of cash and stock (at our company’s discretion). Our Board of Directors believes that a four-year performance and vesting time period is appropriate. The LTIP commits a maximum of $12 million in bonus if the highest performance goals are met. During the first quarter of 2008, due to lower net sales projections for 2008, we lowered our annual LTIP accrual from $1.0 million at December 31, 2007 to $0.8 million at March 31, 2008 resulting in a $175 thousand benefit to pre-tax income. The LTIP accrual is approximately $1.0 million at June 30, 2008 and is included in other long-term liabilities.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CEDIA (Custom Electronic Design and Installation Association) and companies in the computing industry.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Beginning in 1986 and continuing today, we have compiled an extensive library that covers over 355,000 individual device functions and over 3,400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eleven operating subsidiaries located in Argentina, France, two in Germany, Hong Kong, India, Italy, the Netherlands, Singapore, Spain, and the United Kingdom.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first six months of 2008:</w:t>
      </w:r>
    </w:p>
    <w:p>
      <w:pPr>
        <w:spacing w:after="0" w:line="117" w:lineRule="exact"/>
        <w:rPr>
          <w:sz w:val="20"/>
          <w:szCs w:val="20"/>
          <w:color w:val="auto"/>
        </w:rPr>
      </w:pPr>
    </w:p>
    <w:p>
      <w:pPr>
        <w:ind w:left="66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revenue declined year-over-year in the first six months of 2008 by 4.1%, from $137.5 million in the first six months of 2007 to $131.9 million in the first six months of 2008, and net income was $6.0 million, or $0.40 per diluted share in the first six months of 2008, compared to $9.2 million, or $0.61 per diluted share in the first six months of 2007;</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repurchased 753,904 shares of common stock for $17.5 million, at an average price of $23.20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the remainder of 2008 include the following:</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merger and acquisition opportunities that may enhance our business.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could be significant.</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For further information regarding critical accounting policies and estimates, other than stock-based compensation discussed below, refer to Item 7, “Management’s Discussion and Analysis of Financial Condition and Results of Operations” contained in our Annual Report on Form 10-K for our fiscal year ended December 31,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follow the fair value recognition provisions of SFAS No. 123R, “Share Based Payment” (“SFAS 123R”) using the modified-prospective transition method. Stock-based compensation expense is presented in the same income statement line as cash compensation paid to the same employees or directors. During the three months ended June 30, 2008 and 2007, we recorded $1.1 million and $0.8 million, respectively, of pre-tax stock-based compensation expense. During the six months ended June 30, 2008 and 2007, we recorded $2.3 million and $1.5 million, respectively, of pre-tax stock-based compensation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included in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2008, we expect to recognize $4.0 million of total unrecognized compensation expense related to non-vested stock options over a weighted-average life of 2.2 years.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Included in SG&amp;A stock-based compensation expense is $206 thousand and $117 thousand in pre-tax compensation expense for the three months ended June 30, 2008 and 2007, respectively, related to stock awards granted to outside directors. Included in SG&amp;A stock-based compensation expense is $387 thousand and $234 thousand in pre-tax compensation expense for the six months ended June 30, 2008 and 2007, respectively, related to stock awards granted to outside directors. We issue restricted stock awards to the outside directors for services performed. Compensation expense for the restricted stock awards is recognized on a straight-line basis over the requisite service period of one year.</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Additionally, in the first quarter of 2008 during the annual review cycle, the Compensation Committee granted our executives 115,926 shares of restricted stock under the 2006 Stock Incentive Plan. The awards were granted as part of long-term incentive compensation to assist us in meeting our performance and retention objectives. Each executive grant is subject to a three-year vesting period. For the three and six months ended June 30, 2008, the stock-based compensation expense related to this award was $228 thousand and $456 thousand, respectively, and is included in SG&amp;A.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SFAS 123R, compensation expense related to restricted stock awards granted to outside directors and executives is based on the fair value of the shares awarded as of the grant date. The fair value of non-vested shares is determined based on the average of the high and low trade prices of our company’s shares on the grant date.</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June 30, 2008, we expect to recognize $2.3 million in unrecognized compensation expense related to non-vested restricted stock awards over a weighted-average life of 2.5 years.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 In addition, we are required to estimate the expected forfeiture rate and only recognize expense for those shares expected to vest.</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used to determine stock-based compensation expense. However, if actual results are not consistent with our estimates and assumptions we may be exposed to material stock-based compensation expense. Refer to Note 2 captioned “Stock-based Compensation” included in the “Notes to the Consolidated Financial Statements” set forth above for additional disclosure regarding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expressed as a percentage of net sales for the three and six months ended June 30, 2008 and 2007: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65.</w:t>
            </w:r>
            <w:r>
              <w:rPr>
                <w:rFonts w:ascii="Arial" w:cs="Arial" w:eastAsia="Arial" w:hAnsi="Arial"/>
                <w:sz w:val="18"/>
                <w:szCs w:val="18"/>
                <w:u w:val="single" w:color="auto"/>
                <w:color w:val="auto"/>
                <w:w w:val="91"/>
              </w:rPr>
              <w:t>7</w:t>
            </w: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65.</w:t>
            </w:r>
            <w:r>
              <w:rPr>
                <w:rFonts w:ascii="Arial" w:cs="Arial" w:eastAsia="Arial" w:hAnsi="Arial"/>
                <w:sz w:val="18"/>
                <w:szCs w:val="18"/>
                <w:u w:val="single" w:color="auto"/>
                <w:color w:val="auto"/>
                <w:w w:val="85"/>
              </w:rPr>
              <w:t>5</w:t>
            </w: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65.</w:t>
            </w:r>
            <w:r>
              <w:rPr>
                <w:rFonts w:ascii="Arial" w:cs="Arial" w:eastAsia="Arial" w:hAnsi="Arial"/>
                <w:sz w:val="18"/>
                <w:szCs w:val="18"/>
                <w:u w:val="single" w:color="auto"/>
                <w:color w:val="auto"/>
                <w:w w:val="85"/>
              </w:rPr>
              <w:t>2</w:t>
            </w: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34.8</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3.2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1</w:t>
            </w: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9</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2</w:t>
            </w: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w:t>
            </w:r>
            <w:r>
              <w:rPr>
                <w:rFonts w:ascii="Arial" w:cs="Arial" w:eastAsia="Arial" w:hAnsi="Arial"/>
                <w:sz w:val="18"/>
                <w:szCs w:val="18"/>
                <w:u w:val="single" w:color="auto"/>
                <w:color w:val="auto"/>
                <w:w w:val="91"/>
              </w:rPr>
              <w:t>1</w:t>
            </w:r>
          </w:p>
        </w:tc>
        <w:tc>
          <w:tcPr>
            <w:tcW w:w="32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w:t>
            </w:r>
            <w:r>
              <w:rPr>
                <w:rFonts w:ascii="Arial" w:cs="Arial" w:eastAsia="Arial" w:hAnsi="Arial"/>
                <w:sz w:val="18"/>
                <w:szCs w:val="18"/>
                <w:u w:val="single" w:color="auto"/>
                <w:color w:val="auto"/>
                <w:w w:val="85"/>
              </w:rPr>
              <w:t>1</w:t>
            </w:r>
          </w:p>
        </w:tc>
        <w:tc>
          <w:tcPr>
            <w:tcW w:w="3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29.</w:t>
            </w:r>
            <w:r>
              <w:rPr>
                <w:rFonts w:ascii="Arial" w:cs="Arial" w:eastAsia="Arial" w:hAnsi="Arial"/>
                <w:sz w:val="18"/>
                <w:szCs w:val="18"/>
                <w:u w:val="single" w:color="auto"/>
                <w:color w:val="auto"/>
                <w:w w:val="85"/>
              </w:rPr>
              <w:t>5</w:t>
            </w:r>
          </w:p>
        </w:tc>
        <w:tc>
          <w:tcPr>
            <w:tcW w:w="34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w:t>
            </w:r>
            <w:r>
              <w:rPr>
                <w:rFonts w:ascii="Arial" w:cs="Arial" w:eastAsia="Arial" w:hAnsi="Arial"/>
                <w:sz w:val="18"/>
                <w:szCs w:val="18"/>
                <w:u w:val="single" w:color="auto"/>
                <w:color w:val="auto"/>
                <w:w w:val="85"/>
              </w:rPr>
              <w:t>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income, net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5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920" w:type="dxa"/>
            <w:vAlign w:val="bottom"/>
            <w:gridSpan w:val="2"/>
            <w:vMerge w:val="continue"/>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90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2008 versus Three Months Ended June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three months ended June 30,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Business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80.3%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60.5</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3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3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280"/>
              <w:spacing w:after="0"/>
              <w:rPr>
                <w:sz w:val="20"/>
                <w:szCs w:val="20"/>
                <w:color w:val="auto"/>
              </w:rPr>
            </w:pPr>
            <w:r>
              <w:rPr>
                <w:rFonts w:ascii="Arial" w:cs="Arial" w:eastAsia="Arial" w:hAnsi="Arial"/>
                <w:sz w:val="18"/>
                <w:szCs w:val="18"/>
                <w:color w:val="auto"/>
                <w:w w:val="79"/>
              </w:rPr>
              <w:t>71.5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140" w:type="dxa"/>
            <w:vAlign w:val="bottom"/>
            <w:vMerge w:val="restart"/>
          </w:tcPr>
          <w:p>
            <w:pPr>
              <w:jc w:val="right"/>
              <w:ind w:right="570"/>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sales for the second quarter of 2008 were $70.7 million, a decrease of 1% compared to $71.5 million for the second quarter of 2007. Net income for the second quarter of 2008 was $3.5 million or $0.25 per share (basic) and $0.24 per share (diluted) compared to $4.5 million or $0.31 per share (basic) and $0.30 per share (diluted) for the second quarter of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sales in our Business lines (subscription broadcasting, OEM and computing companies) were approximately 80% of net sales in the second quarter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2008 compared to approximately 85% in the second quarter of 2007. Net sales in our Business line for the second quarter of 2008 decreased by 6%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$56.8 million from $60.5 million in the second quarter of 2007. This decrease in sales resulted primarily from a decrease in the volume of remote control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with our subscription broadcasting customers. Sales in the second quarter of 2007 were favorably impacted by the mid-year Open Cable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Platform (“OCAP”) compliance deadline, as some of our key customers ordered additional product ahead of the deadline. In spite of the difficult comparison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second quarter of 2007, the roll out of advanced functions such as digital video recording (“DVR”), video-on-demand (“VOD”), and high definition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television (“HDTV”) continues. We expect that the deployment of the advanced function set-top boxes by the service operators will continue into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foreseeable future as penetration for each of the functions cited continues to increase. We expect Business category revenue to range between $234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$244 million for the full year 2008.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3"/>
          <w:szCs w:val="13"/>
          <w:i w:val="1"/>
          <w:iCs w:val="1"/>
          <w:color w:val="auto"/>
        </w:rPr>
        <w:t>®</w:t>
      </w:r>
      <w:r>
        <w:rPr>
          <w:rFonts w:ascii="Arial" w:cs="Arial" w:eastAsia="Arial" w:hAnsi="Arial"/>
          <w:sz w:val="16"/>
          <w:szCs w:val="16"/>
          <w:color w:val="auto"/>
        </w:rPr>
        <w:t xml:space="preserve"> retail, private label, custom installers and direct import) were approximately 20% of net sales for the second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2008 compared to approximately 15% for the second quarter of 2007. Net sales in our Consumer lines for the second quarter of 2008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26.5% to $13.9 million, from $11.0 million in the second quarter of 2007. CEDIA sales increased by $1.8 million compared to the second quarter of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launch of a new Nevo product that occurred in the second quarter of 2008. International retail sales increased by $1.7 million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second quarter of 2007, mainly due to increased distribution in the UK market. International retail sales were favorably impacted by the strengthening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both the Euro and the British Pound compared to the U.S. Dollar, which resulted in an increase in net sales of approximately $0.5 million. Net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positive currency effect, international retail sales increased by $1.2 million. Partially offsetting these increases were private label sales, which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$0.6 million, to $0.4 million in the second quarter of 2008 from $1.0 million in the second quarter of 2007. This was due to a decline in the volume of remote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control sales to our private label partners. We expect Consumer category revenue to range between $67 million and $77 million for the full year 2008.</w:t>
      </w:r>
    </w:p>
    <w:p>
      <w:pPr>
        <w:spacing w:after="0" w:line="11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Gross profit for the second quarter of 2008 was $24.2 million compared to $24.6 million for the second quarter of 2007. Gross profit as a percent of sales for the second quarter of 2008 was 34.3% compared to 34.5% for the same period in the prior year. The decrease in gross profit as a percentage of net sales was primarily attributable to product mix within our business lines, partially offset by a shift in mix towards our higher-margin consumer lines, which generally have a higher gross profit rate as compared to our other sales. This change in mix resulted in a 1.4% decrease in the gross profit rate. Included in this mix calculation is an increase in royalty revenue of $1.0 million which favorably impacted the gross margin rate by 1.0%. Partially offsetting the decrease in the gross profit rate was a reduction of $1.0 million of freight, handling and duty expense, which increased the gross profit rate by 1.3%. In the second quarter of 2008, there was a decrease in the percentage of units shipped by air compared to the second quarter of 2007.</w:t>
      </w:r>
    </w:p>
    <w:p>
      <w:pPr>
        <w:spacing w:after="0" w:line="5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decreased 6% from $2.3 million in the second quarter of 2007 to $2.1 million in the second quarter of 2008. The decrease is due to the completion of the latest development phase for the Nevo</w:t>
      </w:r>
      <w:r>
        <w:rPr>
          <w:rFonts w:ascii="Arial" w:cs="Arial" w:eastAsia="Arial" w:hAnsi="Arial"/>
          <w:sz w:val="15"/>
          <w:szCs w:val="15"/>
          <w:color w:val="auto"/>
        </w:rPr>
        <w:t>®</w:t>
      </w:r>
      <w:r>
        <w:rPr>
          <w:rFonts w:ascii="Arial" w:cs="Arial" w:eastAsia="Arial" w:hAnsi="Arial"/>
          <w:sz w:val="18"/>
          <w:szCs w:val="18"/>
          <w:color w:val="auto"/>
        </w:rPr>
        <w:t xml:space="preserve"> platform that took place in late 2007. We expect research and development expenses to remain near current levels for the remaining quarters of 2008.</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Selling, general and administrative expenses increased 8% from $16.4 million in the second quarter of 2007 to $17.7 million in the second quarter of 2008. The strengthening of both the Euro and British Pound compared to the U.S. Dollar resulted in an increase of $1.2 million, stock-based compensation increased by $0.3 million due to grants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occurred in the first quarter of 2008, sales commissions increased by $0.3 million, payroll and benefits increased by $0.2 million, and depreciation increased by $0.2 million. These increases were partially offset by lower delivery and freight expense, which decreased by $0.4 million, long-term incentive plan expense, which decreased by $0.3 million, and travel, which decreased by $0.3 million. We expect that selling, general and administrative expenses to range between $68 million and $72 million for the full year 2008.</w:t>
      </w:r>
    </w:p>
    <w:p>
      <w:pPr>
        <w:spacing w:after="0" w:line="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second quarter of 2008, we recorded $0.9 million of net interest income compared to $0.7 million in the second quarter of 2007. This increase is due to higher money market rates and a higher average cash balance. We expect net interest income to range between $3.3 million and $3.8 million for the full year 2008.</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recorded income tax expense of $1.8 million in the second quarter of 2008 compared to $2.2 million in the second quarter of 2007. Our effective tax rate was 33.4% in the second quarter of 2008 compared to 32.5% in the second quarter of 2007. The increase in our effective tax rate is due primarily to the expiration of the federal research and development tax credit statute, which occurred on December 31, 2007. We estimate that our effective tax rate will range between 33% and 35% for the full year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2008 versus Six Months Ended June 30,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sales by our Business and Consumer lines for the six months ended June 30,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105.1</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131.9</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six months ended June 30, 2008 were $131.9 million, a decrease of 4% compared to $137.5 million for the six months ended June 30, 2007. Net income for the six months ended June 30, 2008 was $6.0 million or $0.42 per share (basic) and $0.40 per share (diluted) compared to $9.2 million or $0.64 per share (basic) and $0.61 per share (diluted) for the six months ended June 30,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80% of net sales for the six months ended June 30, 2008 compared to approximately 81% for the six months ended June 30, 2007. Net sales in our Business lines for the six months ended June 30,</w:t>
      </w:r>
    </w:p>
    <w:p>
      <w:pPr>
        <w:ind w:right="20"/>
        <w:spacing w:after="0" w:line="252" w:lineRule="auto"/>
        <w:rPr>
          <w:sz w:val="20"/>
          <w:szCs w:val="20"/>
          <w:color w:val="auto"/>
        </w:rPr>
      </w:pPr>
      <w:r>
        <w:rPr>
          <w:rFonts w:ascii="Arial" w:cs="Arial" w:eastAsia="Arial" w:hAnsi="Arial"/>
          <w:sz w:val="18"/>
          <w:szCs w:val="18"/>
          <w:color w:val="auto"/>
        </w:rPr>
        <w:t>2008 decreased by 5% to $105.1 million from $110.7 million for the same period last year. This decrease in sales resulted primarily from a decrease in the volume of remote control sales with our subscription broadcasting customers. Sales in the first half of 2007 were favorably impacted by the mid-year Open Cable Application Platform (“OCAP”) compliance deadline, as some of our key customers ordered additional product ahead of the deadline. In spite of the difficult comparison with the first half of 2007, the roll out of advanced functions such as digital video recording (“DVR”), video-on-demand (“VOD”), and high definition television (“HDTV”) continues. We expect the deployment of the advanced function set-top boxes by the service operators to continue into the foreseeable future as penetration for each of these functions continues to increase. We expect Business category revenue to range between $234 million and $244 million for the full year 2008.</w:t>
      </w:r>
    </w:p>
    <w:p>
      <w:pPr>
        <w:spacing w:after="0" w:line="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retail, private label, custom installers and direct import) were approximately 20% of net sales for the six months ended June 30, 2008 compared to approximately 19% for the six months ended June 30, 2007. Net sales in our Consumer lines for the six months ended June 30, 2008 and 2007 were flat at $26.8 million for both periods. International retail sales increased 5% to $22.1 million for the six months ended June 30, 2008 from $21.1 million for the six months ended June 30, 2007. This increase was primarily attributable to the strengthening of both the Euro and British Pound compared to the U.S. Dollar. The impact of the stronger currencies resulted in an increase in net sales of approximately $1.1 million. Net of this positive currency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effect, international retail sales were relatively flat. There were decreases in private label sales, which decreased $0.6 million, to $1.0 million in the first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of 2008 from $1.6 million in the first six months of 2007. This was due to a decline in the volume of remote control sales to our private label partners.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United States direct import licensing and product revenues for the first six months of 2008 decreased by $0.3 million or 37% to $0.4 million in 2008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$0.7 million in 2007, due to a decline in Kameleon sales in North America and the expiration of a license agreement. We expect Consumer category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range between $67 million and $77 million for the full year 2008.</w:t>
      </w:r>
    </w:p>
    <w:p>
      <w:pPr>
        <w:spacing w:after="0" w:line="10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Gross profit for the six months ended June 30, 2008 was $45.9 million compared to $49.0 million for the six months ended June 30, 2007. Gross profit as a percentage of net sales for the six months ended June 30, 2008 was 34.8% compared to 35.6% for the six months ended June 30, 2007. The decrease in gross profit as a percentage of net sales was primarily attributable to product mix within our business lines, partially offset by a shift in mix towards our higher-margin consumer lines, which generally have a higher gross profit rate as compared to our other sales. This change in mix resulted in a 2.4% decrease in the gross profit rate. Included in this mix calculation is an increase in royalty revenue of $1.9 million which favorably impacted the gross margin rate by 0.9%. Partially offsetting the decrease in the gross profit rate was a reduction of $1.6 million of freight, handling and duty expense, which increased the gross profit rate by 1.1%. In the first half of 2008, there was a decrease in the percentage of units shipped by air compared to the first half of 2007. Royalty expense decreased by $0.7 million, resulting from lower sales of SKY-branded retail products, which added 0.5% to the gross profit rate.</w:t>
      </w:r>
    </w:p>
    <w:p>
      <w:pPr>
        <w:spacing w:after="0" w:line="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and development expenses decreased 6% from $4.6 million in the six months ended June 30, 2007 to $4.3 million in the six months ended June 30, 2008. The decrease is due to the completion of the latest development phase for the Nevo</w:t>
      </w:r>
      <w:r>
        <w:rPr>
          <w:rFonts w:ascii="Arial" w:cs="Arial" w:eastAsia="Arial" w:hAnsi="Arial"/>
          <w:sz w:val="15"/>
          <w:szCs w:val="15"/>
          <w:color w:val="auto"/>
        </w:rPr>
        <w:t>®</w:t>
      </w:r>
      <w:r>
        <w:rPr>
          <w:rFonts w:ascii="Arial" w:cs="Arial" w:eastAsia="Arial" w:hAnsi="Arial"/>
          <w:sz w:val="18"/>
          <w:szCs w:val="18"/>
          <w:color w:val="auto"/>
        </w:rPr>
        <w:t xml:space="preserve"> platform that took place in late 2007. We expect research and development expenses to remain near current levels for the remaining quarters of 2008.</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7% from $32.2 million in the six months ended June 30, 2007 to $34.6 million in the six months ended June 30, 2008. The strengthening of both the Euro and British Pound compared to the U.S. Dollar resulted in an increase of $2.2 million, and stock-based compensation increased by $0.8 million due to grants that occurred in the first quarter of 2008. These increases were partially offset by long-term incentive plan expense, which decreased by $0.5 million. We expect that selling, general and administrative expenses to range between $68 million and $72 million for the full year 2008.</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six months ended June 30, 2008, we recorded $1.8 million of net interest income compared to $1.3 million during the six months ended June 30, 2007. This increase was due to higher money market rates and a higher average cash balance in Europe. We expect net interest income to range between $3.3 million and $3.8 million for the full year 2008.</w:t>
      </w:r>
    </w:p>
    <w:p>
      <w:pPr>
        <w:spacing w:after="0" w:line="7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For the six months ended June 30, 2008, net other income was $0.2 million as compared to $0.1 million for the six months ended June 30, 2007. Approximately $0.2 million of net other income in the six months ended June 30, 2008 was the result of a foreign exchange gain, compared to a foreign exchange gain of $0.1 million for the six months ended June 30, 2007, net of gains/losses on foreign currency forward contracts.</w:t>
      </w:r>
    </w:p>
    <w:p>
      <w:pPr>
        <w:spacing w:after="0" w:line="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recorded income tax expense of $3.0 million for the six months ended June 30, 2008 compared to $4.4 million for the six months ended June 30, 2007. Our effective tax rate was 33.8% during the six months ended June 30, 2008 compared to 32.5% during the six months ended June 30, 2007. The increase in our effective tax rate is due primarily to the expiration of the federal research and development tax credit statute, which occurred on December 31, 2007. We estimate that our effective tax rate will range between 33% and 35% for the full year 2008.</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4"/>
                <w:szCs w:val="14"/>
                <w:b w:val="1"/>
                <w:bCs w:val="1"/>
                <w:color w:val="auto"/>
                <w:w w:val="96"/>
              </w:rPr>
              <w:t>Six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(Decrease)/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Increase in cash</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$ 17,389</w:t>
            </w:r>
          </w:p>
        </w:tc>
        <w:tc>
          <w:tcPr>
            <w:tcW w:w="2040" w:type="dxa"/>
            <w:vAlign w:val="bottom"/>
            <w:gridSpan w:val="4"/>
            <w:shd w:val="clear" w:color="auto" w:fill="CCEEFF"/>
          </w:tcPr>
          <w:p>
            <w:pPr>
              <w:jc w:val="right"/>
              <w:ind w:right="424"/>
              <w:spacing w:after="0"/>
              <w:rPr>
                <w:sz w:val="20"/>
                <w:szCs w:val="20"/>
                <w:color w:val="auto"/>
              </w:rPr>
            </w:pPr>
            <w:r>
              <w:rPr>
                <w:rFonts w:ascii="Arial" w:cs="Arial" w:eastAsia="Arial" w:hAnsi="Arial"/>
                <w:sz w:val="18"/>
                <w:szCs w:val="18"/>
                <w:color w:val="auto"/>
              </w:rPr>
              <w:t>$ 12,505</w:t>
            </w: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$ 4,884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280" w:type="dxa"/>
            <w:vAlign w:val="bottom"/>
          </w:tcPr>
          <w:p>
            <w:pPr>
              <w:jc w:val="right"/>
              <w:ind w:right="216"/>
              <w:spacing w:after="0"/>
              <w:rPr>
                <w:sz w:val="20"/>
                <w:szCs w:val="20"/>
                <w:color w:val="auto"/>
              </w:rPr>
            </w:pPr>
            <w:r>
              <w:rPr>
                <w:rFonts w:ascii="Arial" w:cs="Arial" w:eastAsia="Arial" w:hAnsi="Arial"/>
                <w:sz w:val="18"/>
                <w:szCs w:val="18"/>
                <w:color w:val="auto"/>
              </w:rPr>
              <w:t>(3,962)</w:t>
            </w:r>
          </w:p>
        </w:tc>
        <w:tc>
          <w:tcPr>
            <w:tcW w:w="2040" w:type="dxa"/>
            <w:vAlign w:val="bottom"/>
            <w:gridSpan w:val="4"/>
          </w:tcPr>
          <w:p>
            <w:pPr>
              <w:jc w:val="right"/>
              <w:ind w:right="364"/>
              <w:spacing w:after="0"/>
              <w:rPr>
                <w:sz w:val="20"/>
                <w:szCs w:val="20"/>
                <w:color w:val="auto"/>
              </w:rPr>
            </w:pPr>
            <w:r>
              <w:rPr>
                <w:rFonts w:ascii="Arial" w:cs="Arial" w:eastAsia="Arial" w:hAnsi="Arial"/>
                <w:sz w:val="18"/>
                <w:szCs w:val="18"/>
                <w:color w:val="auto"/>
              </w:rPr>
              <w:t>(1,277)</w:t>
            </w:r>
          </w:p>
        </w:tc>
        <w:tc>
          <w:tcPr>
            <w:tcW w:w="40" w:type="dxa"/>
            <w:vAlign w:val="bottom"/>
          </w:tcPr>
          <w:p>
            <w:pPr>
              <w:spacing w:after="0"/>
              <w:rPr>
                <w:sz w:val="18"/>
                <w:szCs w:val="18"/>
                <w:color w:val="auto"/>
              </w:rPr>
            </w:pPr>
          </w:p>
        </w:tc>
        <w:tc>
          <w:tcPr>
            <w:tcW w:w="1980" w:type="dxa"/>
            <w:vAlign w:val="bottom"/>
            <w:gridSpan w:val="3"/>
          </w:tcPr>
          <w:p>
            <w:pPr>
              <w:jc w:val="right"/>
              <w:ind w:right="388"/>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12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(16,830)</w:t>
            </w:r>
          </w:p>
        </w:tc>
        <w:tc>
          <w:tcPr>
            <w:tcW w:w="2040" w:type="dxa"/>
            <w:vAlign w:val="bottom"/>
            <w:gridSpan w:val="4"/>
            <w:shd w:val="clear" w:color="auto" w:fill="CCEEFF"/>
          </w:tcPr>
          <w:p>
            <w:pPr>
              <w:jc w:val="right"/>
              <w:ind w:right="364"/>
              <w:spacing w:after="0"/>
              <w:rPr>
                <w:sz w:val="20"/>
                <w:szCs w:val="20"/>
                <w:color w:val="auto"/>
              </w:rPr>
            </w:pPr>
            <w:r>
              <w:rPr>
                <w:rFonts w:ascii="Arial" w:cs="Arial" w:eastAsia="Arial" w:hAnsi="Arial"/>
                <w:sz w:val="18"/>
                <w:szCs w:val="18"/>
                <w:color w:val="auto"/>
              </w:rPr>
              <w:t>(23,545)</w:t>
            </w:r>
          </w:p>
        </w:tc>
        <w:tc>
          <w:tcPr>
            <w:tcW w:w="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5,008</w:t>
            </w:r>
          </w:p>
        </w:tc>
        <w:tc>
          <w:tcPr>
            <w:tcW w:w="2040" w:type="dxa"/>
            <w:vAlign w:val="bottom"/>
            <w:gridSpan w:val="4"/>
          </w:tcPr>
          <w:p>
            <w:pPr>
              <w:jc w:val="right"/>
              <w:ind w:right="424"/>
              <w:spacing w:after="0"/>
              <w:rPr>
                <w:sz w:val="20"/>
                <w:szCs w:val="20"/>
                <w:color w:val="auto"/>
              </w:rPr>
            </w:pPr>
            <w:r>
              <w:rPr>
                <w:rFonts w:ascii="Arial" w:cs="Arial" w:eastAsia="Arial" w:hAnsi="Arial"/>
                <w:sz w:val="18"/>
                <w:szCs w:val="18"/>
                <w:color w:val="auto"/>
              </w:rPr>
              <w:t>3,558</w:t>
            </w:r>
          </w:p>
        </w:tc>
        <w:tc>
          <w:tcPr>
            <w:tcW w:w="40" w:type="dxa"/>
            <w:vAlign w:val="bottom"/>
          </w:tcPr>
          <w:p>
            <w:pPr>
              <w:spacing w:after="0"/>
              <w:rPr>
                <w:sz w:val="20"/>
                <w:szCs w:val="20"/>
                <w:color w:val="auto"/>
              </w:rPr>
            </w:pPr>
          </w:p>
        </w:tc>
        <w:tc>
          <w:tcPr>
            <w:tcW w:w="1980" w:type="dxa"/>
            <w:vAlign w:val="bottom"/>
            <w:gridSpan w:val="3"/>
          </w:tcPr>
          <w:p>
            <w:pPr>
              <w:jc w:val="right"/>
              <w:ind w:right="448"/>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350"/>
        </w:trPr>
        <w:tc>
          <w:tcPr>
            <w:tcW w:w="59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4"/>
                <w:szCs w:val="24"/>
                <w:color w:val="auto"/>
              </w:rPr>
            </w:pPr>
          </w:p>
        </w:tc>
        <w:tc>
          <w:tcPr>
            <w:tcW w:w="1280" w:type="dxa"/>
            <w:vAlign w:val="bottom"/>
          </w:tcPr>
          <w:p>
            <w:pPr>
              <w:jc w:val="right"/>
              <w:ind w:right="176"/>
              <w:spacing w:after="0"/>
              <w:rPr>
                <w:sz w:val="20"/>
                <w:szCs w:val="20"/>
                <w:color w:val="auto"/>
              </w:rPr>
            </w:pPr>
            <w:r>
              <w:rPr>
                <w:rFonts w:ascii="Arial" w:cs="Arial" w:eastAsia="Arial" w:hAnsi="Arial"/>
                <w:sz w:val="14"/>
                <w:szCs w:val="14"/>
                <w:b w:val="1"/>
                <w:bCs w:val="1"/>
                <w:color w:val="auto"/>
              </w:rPr>
              <w:t>June 30, 2008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Increase/(Decrease)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95"/>
        </w:trPr>
        <w:tc>
          <w:tcPr>
            <w:tcW w:w="59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6"/>
              <w:spacing w:after="0" w:line="195" w:lineRule="exact"/>
              <w:rPr>
                <w:sz w:val="20"/>
                <w:szCs w:val="20"/>
                <w:color w:val="auto"/>
              </w:rPr>
            </w:pPr>
            <w:r>
              <w:rPr>
                <w:rFonts w:ascii="Arial" w:cs="Arial" w:eastAsia="Arial" w:hAnsi="Arial"/>
                <w:sz w:val="18"/>
                <w:szCs w:val="18"/>
                <w:color w:val="auto"/>
              </w:rPr>
              <w:t>$ 88,215</w:t>
            </w:r>
          </w:p>
        </w:tc>
        <w:tc>
          <w:tcPr>
            <w:tcW w:w="100" w:type="dxa"/>
            <w:vAlign w:val="bottom"/>
            <w:tcBorders>
              <w:top w:val="single" w:sz="8" w:color="auto"/>
            </w:tcBorders>
          </w:tcPr>
          <w:p>
            <w:pPr>
              <w:spacing w:after="0"/>
              <w:rPr>
                <w:sz w:val="16"/>
                <w:szCs w:val="16"/>
                <w:color w:val="auto"/>
              </w:rPr>
            </w:pPr>
          </w:p>
        </w:tc>
        <w:tc>
          <w:tcPr>
            <w:tcW w:w="440" w:type="dxa"/>
            <w:vAlign w:val="bottom"/>
            <w:gridSpan w:val="2"/>
          </w:tcPr>
          <w:p>
            <w:pPr>
              <w:spacing w:after="0"/>
              <w:rPr>
                <w:sz w:val="16"/>
                <w:szCs w:val="16"/>
                <w:color w:val="auto"/>
              </w:rPr>
            </w:pPr>
          </w:p>
        </w:tc>
        <w:tc>
          <w:tcPr>
            <w:tcW w:w="1500" w:type="dxa"/>
            <w:vAlign w:val="bottom"/>
            <w:tcBorders>
              <w:top w:val="single" w:sz="8" w:color="auto"/>
            </w:tcBorders>
          </w:tcPr>
          <w:p>
            <w:pPr>
              <w:jc w:val="right"/>
              <w:ind w:right="444"/>
              <w:spacing w:after="0" w:line="195" w:lineRule="exact"/>
              <w:rPr>
                <w:sz w:val="20"/>
                <w:szCs w:val="20"/>
                <w:color w:val="auto"/>
              </w:rPr>
            </w:pPr>
            <w:r>
              <w:rPr>
                <w:rFonts w:ascii="Arial" w:cs="Arial" w:eastAsia="Arial" w:hAnsi="Arial"/>
                <w:sz w:val="18"/>
                <w:szCs w:val="18"/>
                <w:color w:val="auto"/>
              </w:rPr>
              <w:t>$ 1,605</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$ 86,610</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280" w:type="dxa"/>
            <w:vAlign w:val="bottom"/>
          </w:tcPr>
          <w:p>
            <w:pPr>
              <w:jc w:val="right"/>
              <w:ind w:right="296"/>
              <w:spacing w:after="0"/>
              <w:rPr>
                <w:sz w:val="20"/>
                <w:szCs w:val="20"/>
                <w:color w:val="auto"/>
              </w:rPr>
            </w:pPr>
            <w:r>
              <w:rPr>
                <w:rFonts w:ascii="Arial" w:cs="Arial" w:eastAsia="Arial" w:hAnsi="Arial"/>
                <w:sz w:val="18"/>
                <w:szCs w:val="18"/>
                <w:color w:val="auto"/>
              </w:rPr>
              <w:t>137,882</w:t>
            </w:r>
          </w:p>
        </w:tc>
        <w:tc>
          <w:tcPr>
            <w:tcW w:w="2040" w:type="dxa"/>
            <w:vAlign w:val="bottom"/>
            <w:gridSpan w:val="4"/>
          </w:tcPr>
          <w:p>
            <w:pPr>
              <w:jc w:val="right"/>
              <w:ind w:right="384"/>
              <w:spacing w:after="0"/>
              <w:rPr>
                <w:sz w:val="20"/>
                <w:szCs w:val="20"/>
                <w:color w:val="auto"/>
              </w:rPr>
            </w:pPr>
            <w:r>
              <w:rPr>
                <w:rFonts w:ascii="Arial" w:cs="Arial" w:eastAsia="Arial" w:hAnsi="Arial"/>
                <w:sz w:val="18"/>
                <w:szCs w:val="18"/>
                <w:color w:val="auto"/>
              </w:rPr>
              <w:t>(2,448)</w:t>
            </w:r>
          </w:p>
        </w:tc>
        <w:tc>
          <w:tcPr>
            <w:tcW w:w="40" w:type="dxa"/>
            <w:vAlign w:val="bottom"/>
          </w:tcPr>
          <w:p>
            <w:pPr>
              <w:spacing w:after="0"/>
              <w:rPr>
                <w:sz w:val="20"/>
                <w:szCs w:val="20"/>
                <w:color w:val="auto"/>
              </w:rPr>
            </w:pPr>
          </w:p>
        </w:tc>
        <w:tc>
          <w:tcPr>
            <w:tcW w:w="1980" w:type="dxa"/>
            <w:vAlign w:val="bottom"/>
            <w:gridSpan w:val="3"/>
          </w:tcPr>
          <w:p>
            <w:pPr>
              <w:jc w:val="right"/>
              <w:ind w:right="428"/>
              <w:spacing w:after="0"/>
              <w:rPr>
                <w:sz w:val="20"/>
                <w:szCs w:val="20"/>
                <w:color w:val="auto"/>
              </w:rPr>
            </w:pPr>
            <w:r>
              <w:rPr>
                <w:rFonts w:ascii="Arial" w:cs="Arial" w:eastAsia="Arial" w:hAnsi="Arial"/>
                <w:sz w:val="18"/>
                <w:szCs w:val="18"/>
                <w:color w:val="auto"/>
              </w:rPr>
              <w:t>140,330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Net cash provided by operating activities </w:t>
      </w:r>
      <w:r>
        <w:rPr>
          <w:rFonts w:ascii="Arial" w:cs="Arial" w:eastAsia="Arial" w:hAnsi="Arial"/>
          <w:sz w:val="17"/>
          <w:szCs w:val="17"/>
          <w:color w:val="auto"/>
        </w:rPr>
        <w:t>for the first six months of 2008 was $17.4 million as compared to $4.9 million in the first six months of 2007.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cash provided by operating activities was primarily driven by a comparative improvement in our days sales outstanding from the first six months of 2007 to the first six months of 2008. During the first six months of 2007, days sales outstanding increased from 67 days at December 31, 2006 to 75 days at June 30, 2007 compared to an improvement in days sales outstanding from 82 days at December 31, 2007 to 74 days at June 30, 2008. In addition, in an effort to improve our cash conversion cycle, we have extended the payment cycle to various vendors.</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Partially offsetting the aforementioned improvement in our cash conversion cycle is a decrease in our inventory turns from 7.1 turns in the second quarter of 2007 to 4.4 turns in the second quarter of 2008. Inventory levels are higher at June 30, 2008 compared to June 30, 2007 as we are building product in advance of the two upcoming strong volume quarters.</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for the first six months of 2008 was $4.0 million as compared to $2.7 million for the first six months of 2007.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cash used for investing activities was primarily due to an increase in leasehold improvements and acquisition of furniture and fixtures related to the renovation of our corporate headquarters. During the first quarter of 2007, we began to renovate and expand our corporate headquarters. Construction was completed during the first quarter of 2008. The total cost of this renovation was approximately $2.0 million, which was financed through our current operations, and a $0.4 million tenant improvement allowance to be collected from the landlord in the third quarter of 2008.</w:t>
      </w:r>
    </w:p>
    <w:p>
      <w:pPr>
        <w:spacing w:after="0" w:line="6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also plan to make a significant investment to upgrade our information systems, which we expect to cost approximately $1.0 million. The strategic planning for the upgrade of our information systems commenced in 2007 and we expect implementation to be completed in 2009. In addition, in order to support our future sales growth, we expect annual purchases of tooling equipment to increase throughout the years.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for the first six months of 2008 was $16.8 million as compared to cash provided by financing activities of $6.7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six months of 2007. The increase in cash used for financing activities was primarily due to the repurchase of 753,904 shares of our common stock for a total cost of $17.5 million in the first six months of 2008. During the first six months of 2007, we repurchased 71,300 shares of our common stock for a total cost of $2.4 million.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In addition, proceeds from stock exercises were $0.5 million during the first six months of 2008 compared to $8.0 million in the first six months of 2007.</w:t>
      </w:r>
    </w:p>
    <w:p>
      <w:pPr>
        <w:spacing w:after="0" w:line="1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August 31, 2006, we amended our original Credit Facility with Comerica, extending our line of credit through August 31, 2009. Under the amended Credit Facility, we have authority to acquire up to an additional 2.0 million shares of our common stock in the open market. From August 31, 2006, through June 30, 2008, we purchased 1,321,804 shares of our common stock, leaving 678,196 shares available for purchase under the Credit Facility. During 2008 we may continue to purchase shares of our common stock if we believe conditions are favorable and to offset the dilutive effect of stock option exercises.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 June 30, 2008 our contractual obligations were $36.0 million compared to $25.6 million as reported on our Annual Report on Form 10-K as of</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December 31, 2007. The following table summarizes our contractual obligations at June 30, 2008 and the effect these obligations are expected to have on our liquidity and cash flow in future periods.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1 - 3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4 - 5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3,720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29,901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14,720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36,037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18,440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Purchase obligations include payments due under two vendor agreements to purchase minimum quantities of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use cash provided by operations as our primary source of liquidity, since internally generated cash flows are typically sufficient to support business operations, capital expenditures and discretionary share repurchases. We are able to supplement this near term liquidity, if necessary, with our Credit Facility, as discussed below.</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June 30 2008, we had $137.9 million of working capital as compared to $140.3 million at December 31, 2007.</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cash balances are held in the United States and Europe. At June 30, 2008, we had approximately $7.2 million and $81.0 million of cash and cash equivalents in the United States and Europe, respectively.</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a $15 million unsecured revolving credit agreement (“Credit Facility”) with Comerica Bank, which expires on August 31, 2009. Under the Credit Facility, the interest payable is variable and is based on the bank’s cost of funds or the LIBOR rate plus a fixed margin of 1.25%. The interest rate in effect as of June 30, 2008 using the LIBOR Rate option plus a fixed margin of 1.25% was 4.56%. We pay a commitment fee ranging from zero to a maximum rate of 1/4 of 1% per year on the unused portion of the credit line depending on the amount of cash investment retained with Comerica during each quarter. Under the terms of the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the Credit Facility are reduced by the outstanding balance of import letters of credit. As of June 30, 2008, we did not have any amounts outstanding under the Credit Facility or any outstanding import letters of credit. As of June 30, 2008, we had available $15 million on the line of credit. Furthermore we were in compliance with all financial covenants required by the Credit Facility as of June 30, 2008.</w:t>
      </w:r>
    </w:p>
    <w:p>
      <w:pPr>
        <w:spacing w:after="0" w:line="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As previously mentioned, we believe that cash generated from our operations and funds available from our borrowing facility will be sufficient to fund current business operations and anticipated growth at least over the next twelve months; however, there can be no assurance that such funds will be adequate for that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September 2006, the FASB issued SFAS No. 157, “Fair Value Measurements” (“SFAS 157”), which defines fair value, establishes a framework for measuring fair value in generally accepted accounting principles (“GAAP”), and expands disclosures about fair value measurements for assets and liabilities. SFAS 157 applies when other accounting pronouncements require or permit assets or liabilities to be measured at fair value. Accordingly, SFAS 157 does not require new fair value measurements. SFAS 157 is effective for fiscal years beginning after November 15, 2007. In February 2008, the FASB issued FASB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Additionally in February 2008 the FASB issued FASB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We will apply the provisions as necessary (i.e. annual year-end impairment review of goodwill and intangible assets). As a result, the adoption of SFAS 157 had no impact on our consolidated results of operations and financial condition during the six months ended June 30, 2008.</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 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The adoption of SFAS 159 had no impact on our consolidated results of operations and financial condition during the six months ended June 30, 2008.</w:t>
      </w:r>
    </w:p>
    <w:p>
      <w:pPr>
        <w:spacing w:after="0" w:line="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The adoption of EITF 07-3 did not have a material effect on our consolidated financial position, results of operations or cash flows.</w:t>
      </w:r>
    </w:p>
    <w:p>
      <w:pPr>
        <w:spacing w:after="0" w:line="5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We do not believe that the adoption of Statement 141R will have a material effect on our financial statements; however, the effect is dependent upon whether we make any future acquisitions and the specifics of those acquisitions.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in the arrangement and third parties.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an impact on our consolidated results of operations and financial condition.</w:t>
      </w:r>
    </w:p>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(“ARB 51”), “Consolidated Financial Statements,” by defining a new term-noncontrolling interests-to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currently do not believe that the adoption of SFAS 160 will have a significant effect on our financial statements as we do not have any noncontrolling equity interests of a consolidated subsidiary.</w:t>
      </w:r>
    </w:p>
    <w:p>
      <w:pPr>
        <w:spacing w:after="0" w:line="7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8"/>
          <w:szCs w:val="18"/>
          <w:i w:val="1"/>
          <w:iCs w:val="1"/>
          <w:color w:val="auto"/>
        </w:rPr>
        <w:t>,</w:t>
      </w:r>
      <w:r>
        <w:rPr>
          <w:rFonts w:ascii="Arial" w:cs="Arial" w:eastAsia="Arial" w:hAnsi="Arial"/>
          <w:sz w:val="18"/>
          <w:szCs w:val="18"/>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December 31, 2008. We are currently assessing the impact that SFAS 161 will have on our consolidated results of operations and financial condition.</w:t>
      </w:r>
    </w:p>
    <w:p>
      <w:pPr>
        <w:spacing w:after="0" w:line="8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No. 142, “Goodwill and Other Intangible Assets.” The intent of this FSP is to improve the consistency between the useful life of a recognized intangible asset under Statement 142 and the period of expected cash flows used to measure the fair value of the asset under FASB Statement No. 141 (revised 2007), “Business Combinations”, and other U.S. GAAP. FSP FAS 142-3 is effective for fiscal years and interim periods within those fiscal years beginning on or after December 15, 2008. The guidance for determining the useful life of a recognized intangible asset in paragraphs 7–11 of this FSP shall be applied prospectively to intangible assets acquired after the effective date. The disclosure requirements in paragraphs 13–15 shall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2008, the FASB issued SFAS No. 162, “The Hierarchy of Generally Accepted Accounting Principles” (“SFAS 162”). SFAS 162 identifies the sources of accounting principles and the framework for selecting the principles used in the preparation of financial statements of nongovernmental entities that are presented in conformity with generally accepted accounting principles (the GAAP hierarchy). Statement 162 will become effective 60 days following the SEC’s approval of the Public Company Accounting Oversight Board amendments to AU Section 411, “The Meaning of Present Fairly in Conformity With Generally Accepted Accounting Principles.” We do not expect the adoption of SFAS 162 to have a material effect on our consolidated results of operations and financial condition.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2008, the FASB issued FASB Staff Position on EITF 03-6,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 per share under FASB Statement No. 128, “Earnings per Share”. EITF 03-6-1 is effective for financial statements issued for fiscal years and interim periods beginning after December 15, 2008 and should be applied retrospectively to all prior periods. Early adoption is prohibited. FSP EITF 03-6-1 is effective for us beginning January 1, 2009. We do not expect the adoption of FSP EITF 03-6-1 to have a material effect on our consolidated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“Management’s Discussion and Analysis of Financial Condition and Results of Operations,” as well as those factors discussed in our 2007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5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 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our inability to obtain orders or maintain our order volume with new and existing customers; the possible dilutive effect our stock option and other stock-based compensation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 addition, we are working on product line extensions to our One For All</w:t>
      </w:r>
      <w:r>
        <w:rPr>
          <w:rFonts w:ascii="Arial" w:cs="Arial" w:eastAsia="Arial" w:hAnsi="Arial"/>
          <w:sz w:val="15"/>
          <w:szCs w:val="15"/>
          <w:color w:val="auto"/>
        </w:rPr>
        <w:t>®</w:t>
      </w:r>
      <w:r>
        <w:rPr>
          <w:rFonts w:ascii="Arial" w:cs="Arial" w:eastAsia="Arial" w:hAnsi="Arial"/>
          <w:sz w:val="18"/>
          <w:szCs w:val="18"/>
          <w:color w:val="auto"/>
        </w:rPr>
        <w:t xml:space="preserve"> branded products which include digital antennas, signal boosters, and other A/V accessories.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also seeking ways to increase our customer base worldwide, particularly in the areas of subscription broadcasting, OEM and One For All</w:t>
      </w:r>
      <w:r>
        <w:rPr>
          <w:rFonts w:ascii="Arial" w:cs="Arial" w:eastAsia="Arial" w:hAnsi="Arial"/>
          <w:sz w:val="15"/>
          <w:szCs w:val="15"/>
          <w:color w:val="auto"/>
        </w:rPr>
        <w:t>®</w:t>
      </w:r>
      <w:r>
        <w:rPr>
          <w:rFonts w:ascii="Arial" w:cs="Arial" w:eastAsia="Arial" w:hAnsi="Arial"/>
          <w:sz w:val="18"/>
          <w:szCs w:val="18"/>
          <w:color w:val="auto"/>
        </w:rPr>
        <w:t xml:space="preserve">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2008 we look to continue to build relationships with our customers in this category.</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2008,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3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August 31, 2006, we amended our credit facility to extend for an additional three years, expiring on August 31, 2009. The interest payable under our revolving Credit Facility with our bank is variable and based on either (i) the bank’s cost of funds or (ii) the LIBOR rate plus a fixed margin of 1.25%; the rate is affected by changes in market interest rates. At June 30, 2008, we had no borrowings on our credit facility. The interest rate in effect on the credit facility as of June 30, 2008 using the LIBOR Rate option plus a fixed margin of 1.25% was 4.56%.</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June 30, 2008 we had wholly owned subsidiaries in the Netherlands, United Kingdom, Germany, France, Argentina, Spain, Italy, Singapore, Hong Kong and India. Sales from these operations are typically denominated in local currencies such as the Euro and the British Pound,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w:t>
      </w:r>
    </w:p>
    <w:p>
      <w:pPr>
        <w:spacing w:after="0" w:line="70"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June 30, 2008, we believe that movements in foreign currency rates could have a material affect on our financial position. We estimate that if the exchange rates for the Euro and the British Pound relative to the U.S. Dollar fluctuate 10% from June 30, 2008, net income and cash flows in the third quarter of 2008 would fluctuate by approximately $0.2 million and $9.6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denial of all of our allegations. Also, as is typical, the Gibson companies counterclaimed that we breached various aspects of the software agreement and that they are seeking unspecified damages. We disagree vigorously with their denials of liability and with their counterclaims and will continue to pursue this matter. As we are in the early stages of discovery, we are unable to estimate the likely outcome of this matter and the amount, if any, of recovery of the balance due us at this time.</w:t>
      </w:r>
    </w:p>
    <w:p>
      <w:pPr>
        <w:spacing w:after="0" w:line="7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incidental to the ordinary course of our business, to which we or any of our subsidiaries is a party or of which our respective property is the subject. We do not believe that any of the claims made against us in any of the pending matters has merit and we intend to vigorously defend ourselves against each claim.</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For risk factors, see “Risk Factors” in Part 1, Item 1A, of our Annual Report on Form 10-K for the fiscal year ended December 31, 2007,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2008, we did not sell any equity securities that were not registered under the Securities Act of 1933.</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authority under the Credit Facility to acquire up to 2.0 million shares of our common stock in market purchases. Between August 31, 2006, the date of amendment of the Credit Facility, and June 30, 2008, we purchased 1,321,804 shares of our common stock leaving 678,196 remaining shares authorized for purchase under the Credit Facility. We repurchased 253,904 shares during the quarter ended June 30, 2008, and we may continue to repurchase shares of our common stock during the remainder of the year, if we believe conditions are favorable, or to manage dilution created by shares issued under the employee stock plans. Purchase information for the second quarter of 2008 is set forth by month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440" w:type="dxa"/>
            <w:vAlign w:val="bottom"/>
          </w:tcPr>
          <w:p>
            <w:pPr>
              <w:spacing w:after="0"/>
              <w:rPr>
                <w:sz w:val="14"/>
                <w:szCs w:val="14"/>
                <w:color w:val="auto"/>
              </w:rPr>
            </w:pPr>
          </w:p>
        </w:tc>
        <w:tc>
          <w:tcPr>
            <w:tcW w:w="1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4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2008 – April 30, 2008</w:t>
            </w:r>
          </w:p>
        </w:tc>
        <w:tc>
          <w:tcPr>
            <w:tcW w:w="440" w:type="dxa"/>
            <w:vAlign w:val="bottom"/>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3,904</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$24.21</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May 1, 2008 – May 31, 2008</w:t>
            </w:r>
          </w:p>
        </w:tc>
        <w:tc>
          <w:tcPr>
            <w:tcW w:w="1760" w:type="dxa"/>
            <w:vAlign w:val="bottom"/>
            <w:gridSpan w:val="4"/>
          </w:tcPr>
          <w:p>
            <w:pPr>
              <w:jc w:val="right"/>
              <w:ind w:right="360"/>
              <w:spacing w:after="0"/>
              <w:rPr>
                <w:sz w:val="20"/>
                <w:szCs w:val="20"/>
                <w:color w:val="auto"/>
              </w:rPr>
            </w:pPr>
            <w:r>
              <w:rPr>
                <w:rFonts w:ascii="Arial" w:cs="Arial" w:eastAsia="Arial" w:hAnsi="Arial"/>
                <w:sz w:val="18"/>
                <w:szCs w:val="18"/>
                <w:color w:val="auto"/>
              </w:rPr>
              <w:t>206,500</w:t>
            </w: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23.50</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June 1, 2008 – June 30, 2008</w:t>
            </w:r>
          </w:p>
        </w:tc>
        <w:tc>
          <w:tcPr>
            <w:tcW w:w="17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43,500</w:t>
            </w:r>
          </w:p>
        </w:tc>
        <w:tc>
          <w:tcPr>
            <w:tcW w:w="14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24.97</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Total Q2 2008</w:t>
            </w:r>
          </w:p>
        </w:tc>
        <w:tc>
          <w:tcPr>
            <w:tcW w:w="80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253,904</w:t>
            </w:r>
          </w:p>
        </w:tc>
        <w:tc>
          <w:tcPr>
            <w:tcW w:w="360" w:type="dxa"/>
            <w:vAlign w:val="bottom"/>
          </w:tcPr>
          <w:p>
            <w:pPr>
              <w:spacing w:after="0"/>
              <w:rPr>
                <w:sz w:val="19"/>
                <w:szCs w:val="19"/>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8"/>
                <w:szCs w:val="18"/>
                <w:color w:val="auto"/>
              </w:rPr>
              <w:t>$23.76</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held our Annual Meeting on June 12, 2008. The terms of all of our directors expired at the meeting. All of the directors nominated were re-elected by the stockholders for the term indicated. In addition, the stockholders ratified the appointment of our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the voting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4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Term Expiring in</w:t>
            </w:r>
          </w:p>
        </w:tc>
        <w:tc>
          <w:tcPr>
            <w:tcW w:w="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500" w:type="dxa"/>
            <w:vAlign w:val="bottom"/>
          </w:tcPr>
          <w:p>
            <w:pPr>
              <w:spacing w:after="0"/>
              <w:rPr>
                <w:sz w:val="14"/>
                <w:szCs w:val="14"/>
                <w:color w:val="auto"/>
              </w:rPr>
            </w:pP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 D. Arling</w:t>
            </w:r>
          </w:p>
        </w:tc>
        <w:tc>
          <w:tcPr>
            <w:tcW w:w="4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4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13,282,757</w:t>
            </w:r>
          </w:p>
        </w:tc>
        <w:tc>
          <w:tcPr>
            <w:tcW w:w="5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300,709</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Satjiv S. Chahil</w:t>
            </w:r>
          </w:p>
        </w:tc>
        <w:tc>
          <w:tcPr>
            <w:tcW w:w="174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2010</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13,422,870</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160,596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William C. Mulligan</w:t>
            </w:r>
          </w:p>
        </w:tc>
        <w:tc>
          <w:tcPr>
            <w:tcW w:w="17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2010</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13,174,917</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408,549</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 C. Sparkman</w:t>
            </w:r>
          </w:p>
        </w:tc>
        <w:tc>
          <w:tcPr>
            <w:tcW w:w="174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2010</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13,418,285</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165,181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Gregory P. Stapleton</w:t>
            </w:r>
          </w:p>
        </w:tc>
        <w:tc>
          <w:tcPr>
            <w:tcW w:w="174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9"/>
              </w:rPr>
              <w:t>2010</w:t>
            </w:r>
          </w:p>
        </w:tc>
        <w:tc>
          <w:tcPr>
            <w:tcW w:w="18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8"/>
              </w:rPr>
              <w:t>13,409,220</w:t>
            </w:r>
          </w:p>
        </w:tc>
        <w:tc>
          <w:tcPr>
            <w:tcW w:w="16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174,246</w:t>
            </w: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Edward K. Zinser</w:t>
            </w:r>
          </w:p>
        </w:tc>
        <w:tc>
          <w:tcPr>
            <w:tcW w:w="174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2010</w:t>
            </w:r>
          </w:p>
        </w:tc>
        <w:tc>
          <w:tcPr>
            <w:tcW w:w="188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13,422,170</w:t>
            </w:r>
          </w:p>
        </w:tc>
        <w:tc>
          <w:tcPr>
            <w:tcW w:w="1680" w:type="dxa"/>
            <w:vAlign w:val="bottom"/>
            <w:gridSpan w:val="2"/>
          </w:tcPr>
          <w:p>
            <w:pPr>
              <w:ind w:left="800"/>
              <w:spacing w:after="0"/>
              <w:rPr>
                <w:sz w:val="20"/>
                <w:szCs w:val="20"/>
                <w:color w:val="auto"/>
              </w:rPr>
            </w:pPr>
            <w:r>
              <w:rPr>
                <w:rFonts w:ascii="Arial" w:cs="Arial" w:eastAsia="Arial" w:hAnsi="Arial"/>
                <w:sz w:val="18"/>
                <w:szCs w:val="18"/>
                <w:color w:val="auto"/>
              </w:rPr>
              <w:t>161,296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Ratification of the appointment of Grant Thornton, as our independent registered public accounting firm for the year ending 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Opposed</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24"/>
        </w:trPr>
        <w:tc>
          <w:tcPr>
            <w:tcW w:w="3440" w:type="dxa"/>
            <w:vAlign w:val="bottom"/>
          </w:tcPr>
          <w:p>
            <w:pPr>
              <w:jc w:val="right"/>
              <w:ind w:right="1239"/>
              <w:spacing w:after="0"/>
              <w:rPr>
                <w:sz w:val="20"/>
                <w:szCs w:val="20"/>
                <w:color w:val="auto"/>
              </w:rPr>
            </w:pPr>
            <w:r>
              <w:rPr>
                <w:rFonts w:ascii="Arial" w:cs="Arial" w:eastAsia="Arial" w:hAnsi="Arial"/>
                <w:sz w:val="18"/>
                <w:szCs w:val="18"/>
                <w:color w:val="auto"/>
              </w:rPr>
              <w:t>13,574,583</w:t>
            </w:r>
          </w:p>
        </w:tc>
        <w:tc>
          <w:tcPr>
            <w:tcW w:w="5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4,885</w:t>
            </w:r>
          </w:p>
        </w:tc>
        <w:tc>
          <w:tcPr>
            <w:tcW w:w="560" w:type="dxa"/>
            <w:vAlign w:val="bottom"/>
          </w:tcPr>
          <w:p>
            <w:pPr>
              <w:spacing w:after="0"/>
              <w:rPr>
                <w:sz w:val="19"/>
                <w:szCs w:val="19"/>
                <w:color w:val="auto"/>
              </w:rPr>
            </w:pPr>
          </w:p>
        </w:tc>
        <w:tc>
          <w:tcPr>
            <w:tcW w:w="3420" w:type="dxa"/>
            <w:vAlign w:val="bottom"/>
          </w:tcPr>
          <w:p>
            <w:pPr>
              <w:jc w:val="right"/>
              <w:ind w:right="1419"/>
              <w:spacing w:after="0"/>
              <w:rPr>
                <w:sz w:val="20"/>
                <w:szCs w:val="20"/>
                <w:color w:val="auto"/>
              </w:rPr>
            </w:pPr>
            <w:r>
              <w:rPr>
                <w:rFonts w:ascii="Arial" w:cs="Arial" w:eastAsia="Arial" w:hAnsi="Arial"/>
                <w:sz w:val="18"/>
                <w:szCs w:val="18"/>
                <w:color w:val="auto"/>
              </w:rPr>
              <w:t>3,998</w:t>
            </w:r>
          </w:p>
        </w:tc>
      </w:tr>
      <w:tr>
        <w:trPr>
          <w:trHeight w:val="391"/>
        </w:trPr>
        <w:tc>
          <w:tcPr>
            <w:tcW w:w="344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35</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131" w:lineRule="exact"/>
        <w:rPr>
          <w:sz w:val="20"/>
          <w:szCs w:val="20"/>
          <w:color w:val="auto"/>
        </w:rPr>
      </w:pPr>
    </w:p>
    <w:p>
      <w:pPr>
        <w:ind w:left="900" w:right="160" w:hanging="674"/>
        <w:spacing w:after="0" w:line="277" w:lineRule="auto"/>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Hackworth, Chief Financial Officer (principal financial officer and principal accounting officer) of Universal Electronics Inc.</w:t>
      </w:r>
    </w:p>
    <w:p>
      <w:pPr>
        <w:spacing w:after="0" w:line="76" w:lineRule="exact"/>
        <w:rPr>
          <w:sz w:val="20"/>
          <w:szCs w:val="20"/>
          <w:color w:val="auto"/>
        </w:rPr>
      </w:pPr>
    </w:p>
    <w:p>
      <w:pPr>
        <w:jc w:val="both"/>
        <w:ind w:left="900" w:hanging="58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14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Certifications of Paul D. Arling, Chief Executive Officer (principal executive officer) of Universal Electronics Inc.</w:t>
      </w:r>
    </w:p>
    <w:p>
      <w:pPr>
        <w:spacing w:after="0" w:line="209" w:lineRule="exact"/>
        <w:rPr>
          <w:sz w:val="20"/>
          <w:szCs w:val="20"/>
          <w:color w:val="auto"/>
        </w:rPr>
      </w:pPr>
    </w:p>
    <w:p>
      <w:pPr>
        <w:ind w:left="1160" w:hanging="838"/>
        <w:spacing w:after="0" w:line="277" w:lineRule="auto"/>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Rule 13a-14(a) Certifications of Bryan M. Hackworth, Chief Financial Officer (principal financial officer and principal accounting officer) of Universal Electronics Inc.</w:t>
      </w:r>
    </w:p>
    <w:p>
      <w:pPr>
        <w:spacing w:after="0" w:line="170" w:lineRule="exact"/>
        <w:rPr>
          <w:sz w:val="20"/>
          <w:szCs w:val="20"/>
          <w:color w:val="auto"/>
        </w:rPr>
      </w:pPr>
    </w:p>
    <w:p>
      <w:pPr>
        <w:jc w:val="both"/>
        <w:ind w:left="1160" w:right="60" w:hanging="731"/>
        <w:spacing w:after="0" w:line="264"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19"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265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27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660" w:right="40" w:hanging="436"/>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8180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(i) Company’s Form 10-Q for the fiscal quarter ended June 30, 2008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Dated: August 8, 2008</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Paul D. Arling</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500" w:type="dxa"/>
            <w:vAlign w:val="bottom"/>
          </w:tcPr>
          <w:p>
            <w:pPr>
              <w:spacing w:after="0"/>
              <w:rPr>
                <w:sz w:val="24"/>
                <w:szCs w:val="24"/>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Bryan M. Hackworth</w:t>
            </w: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3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2019-12-11T14:37:58Z</dcterms:created>
  <dcterms:modified xsi:type="dcterms:W3CDTF">2019-12-11T14:37:58Z</dcterms:modified>
</cp:coreProperties>
</file>