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 </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80" w:after="283"/>
        <w:ind w:left="0" w:right="0" w:firstLine="495"/>
        <w:jc w:val="center"/>
        <w:rPr>
          <w:rFonts w:ascii="Times New Roman;sans-serif" w:hAnsi="Times New Roman;sans-serif"/>
          <w:b/>
          <w:color w:val="000000"/>
          <w:sz w:val="24"/>
        </w:rPr>
      </w:pPr>
      <w:r>
        <w:rPr>
          <w:rFonts w:ascii="Times New Roman;sans-serif" w:hAnsi="Times New Roman;sans-serif"/>
          <w:b/>
          <w:color w:val="000000"/>
          <w:sz w:val="24"/>
        </w:rPr>
        <w:t xml:space="preserve">For the quarterly period ended September 30, 2024 </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ind w:left="0" w:right="0" w:firstLine="495"/>
        <w:jc w:val="center"/>
        <w:rPr>
          <w:rFonts w:ascii="Times New Roman;sans-serif" w:hAnsi="Times New Roman;sans-serif"/>
          <w:b/>
          <w:color w:val="000000"/>
          <w:sz w:val="24"/>
        </w:rPr>
      </w:pPr>
      <w:r>
        <w:rPr>
          <w:rFonts w:ascii="Times New Roman;sans-serif" w:hAnsi="Times New Roman;sans-serif"/>
          <w:b/>
          <w:color w:val="000000"/>
          <w:sz w:val="24"/>
        </w:rPr>
        <w:t>For the transition period from            to            </w:t>
      </w:r>
    </w:p>
    <w:p>
      <w:pPr>
        <w:pStyle w:val="TextBody"/>
        <w:bidi w:val="0"/>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 xml:space="preserve">Commission File Number: 0-21044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 </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UNIVERSAL ELECTRONICS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5137" w:type="dxa"/>
        <w:jc w:val="center"/>
        <w:tblInd w:w="0" w:type="dxa"/>
        <w:tblLayout w:type="fixed"/>
        <w:tblCellMar>
          <w:top w:w="28" w:type="dxa"/>
          <w:left w:w="28" w:type="dxa"/>
          <w:bottom w:w="28" w:type="dxa"/>
          <w:right w:w="28" w:type="dxa"/>
        </w:tblCellMar>
      </w:tblPr>
      <w:tblGrid>
        <w:gridCol w:w="518"/>
        <w:gridCol w:w="454"/>
        <w:gridCol w:w="454"/>
        <w:gridCol w:w="454"/>
        <w:gridCol w:w="454"/>
        <w:gridCol w:w="469"/>
        <w:gridCol w:w="109"/>
        <w:gridCol w:w="109"/>
        <w:gridCol w:w="109"/>
        <w:gridCol w:w="109"/>
        <w:gridCol w:w="109"/>
        <w:gridCol w:w="109"/>
        <w:gridCol w:w="492"/>
        <w:gridCol w:w="492"/>
        <w:gridCol w:w="696"/>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33-0204817</w:t>
            </w:r>
          </w:p>
        </w:tc>
      </w:tr>
      <w:tr>
        <w:trPr/>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15147 N. Scottsdale Road, Suite H300, Scottsdale, Arizona 85254-2494</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and zip code)</w:t>
      </w:r>
    </w:p>
    <w:p>
      <w:pPr>
        <w:pStyle w:val="TextBody"/>
        <w:bidi w:val="0"/>
        <w:spacing w:lineRule="auto" w:line="288" w:before="40" w:after="283"/>
        <w:jc w:val="center"/>
        <w:rPr>
          <w:rFonts w:ascii="Times New Roman;sans-serif" w:hAnsi="Times New Roman;sans-serif"/>
          <w:b/>
          <w:color w:val="000000"/>
          <w:sz w:val="22"/>
        </w:rPr>
      </w:pPr>
      <w:r>
        <w:rPr>
          <w:rFonts w:ascii="Times New Roman;sans-serif" w:hAnsi="Times New Roman;sans-serif"/>
          <w:b/>
          <w:color w:val="000000"/>
          <w:sz w:val="22"/>
        </w:rPr>
        <w:t>(480) 530-3000</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bidi w:val="0"/>
        <w:spacing w:lineRule="auto" w:line="288" w:before="0" w:after="0"/>
        <w:jc w:val="center"/>
        <w:rPr/>
      </w:pPr>
      <w:r>
        <w:rPr>
          <w:rFonts w:ascii="Times New Roman;sans-serif" w:hAnsi="Times New Roman;sans-serif"/>
          <w:b w:val="false"/>
          <w:color w:val="000000"/>
          <w:sz w:val="20"/>
        </w:rPr>
        <w:t>_____________________</w:t>
      </w:r>
      <w:r>
        <w:rPr>
          <w:color w:val="000000"/>
        </w:rPr>
        <w:t> </w:t>
      </w:r>
    </w:p>
    <w:tbl>
      <w:tblPr>
        <w:tblW w:w="8820" w:type="dxa"/>
        <w:jc w:val="center"/>
        <w:tblInd w:w="0" w:type="dxa"/>
        <w:tblLayout w:type="fixed"/>
        <w:tblCellMar>
          <w:top w:w="28" w:type="dxa"/>
          <w:left w:w="28" w:type="dxa"/>
          <w:bottom w:w="28" w:type="dxa"/>
          <w:right w:w="28" w:type="dxa"/>
        </w:tblCellMar>
      </w:tblPr>
      <w:tblGrid>
        <w:gridCol w:w="1267"/>
        <w:gridCol w:w="1114"/>
        <w:gridCol w:w="1114"/>
        <w:gridCol w:w="540"/>
        <w:gridCol w:w="540"/>
        <w:gridCol w:w="540"/>
        <w:gridCol w:w="1085"/>
        <w:gridCol w:w="1085"/>
        <w:gridCol w:w="1535"/>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8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349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2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2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UEIC</w:t>
            </w:r>
          </w:p>
        </w:tc>
        <w:tc>
          <w:tcPr>
            <w:tcW w:w="370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6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082"/>
        <w:gridCol w:w="951"/>
        <w:gridCol w:w="953"/>
        <w:gridCol w:w="169"/>
        <w:gridCol w:w="169"/>
        <w:gridCol w:w="169"/>
        <w:gridCol w:w="169"/>
        <w:gridCol w:w="169"/>
        <w:gridCol w:w="169"/>
        <w:gridCol w:w="169"/>
        <w:gridCol w:w="169"/>
        <w:gridCol w:w="169"/>
        <w:gridCol w:w="169"/>
        <w:gridCol w:w="169"/>
        <w:gridCol w:w="169"/>
        <w:gridCol w:w="169"/>
        <w:gridCol w:w="169"/>
        <w:gridCol w:w="169"/>
        <w:gridCol w:w="169"/>
        <w:gridCol w:w="169"/>
        <w:gridCol w:w="169"/>
        <w:gridCol w:w="1195"/>
        <w:gridCol w:w="1195"/>
        <w:gridCol w:w="1202"/>
        <w:gridCol w:w="169"/>
        <w:gridCol w:w="169"/>
        <w:gridCol w:w="247"/>
      </w:tblGrid>
      <w:tr>
        <w:trPr/>
        <w:tc>
          <w:tcPr>
            <w:tcW w:w="108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Act).Yes ☐ No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 13,027,863 shares of Common Stock, par value $0.01 per share, of the registrant were outstanding on November 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8686" w:type="dxa"/>
        <w:jc w:val="left"/>
        <w:tblInd w:w="0" w:type="dxa"/>
        <w:tblLayout w:type="fixed"/>
        <w:tblCellMar>
          <w:top w:w="28" w:type="dxa"/>
          <w:left w:w="28" w:type="dxa"/>
          <w:bottom w:w="28" w:type="dxa"/>
          <w:right w:w="28" w:type="dxa"/>
        </w:tblCellMar>
      </w:tblPr>
      <w:tblGrid>
        <w:gridCol w:w="2880"/>
        <w:gridCol w:w="2529"/>
        <w:gridCol w:w="2541"/>
        <w:gridCol w:w="215"/>
        <w:gridCol w:w="215"/>
        <w:gridCol w:w="306"/>
      </w:tblGrid>
      <w:tr>
        <w:trPr/>
        <w:tc>
          <w:tcPr>
            <w:tcW w:w="2880"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6"/>
              </w:rPr>
            </w:pPr>
            <w:r>
              <w:rPr>
                <w:rFonts w:ascii="Times New Roman;sans-serif" w:hAnsi="Times New Roman;sans-serif"/>
                <w:b/>
                <w:color w:val="000000"/>
                <w:sz w:val="16"/>
              </w:rPr>
              <w:t>Page</w:t>
            </w:r>
          </w:p>
          <w:p>
            <w:pPr>
              <w:pStyle w:val="TableContents"/>
              <w:bidi w:val="0"/>
              <w:spacing w:lineRule="auto" w:line="240" w:before="0" w:after="0"/>
              <w:jc w:val="right"/>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10">
              <w:r>
                <w:rPr>
                  <w:rStyle w:val="InternetLink"/>
                  <w:rFonts w:ascii="Times New Roman;sans-serif" w:hAnsi="Times New Roman;sans-serif"/>
                  <w:b/>
                  <w:color w:val="0000FF"/>
                  <w:sz w:val="20"/>
                  <w:u w:val="single"/>
                </w:rPr>
                <w:t>PART I. FINANCIAL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10">
              <w:r>
                <w:rPr>
                  <w:rStyle w:val="InternetLink"/>
                  <w:rFonts w:ascii="Times New Roman;sans-serif" w:hAnsi="Times New Roman;sans-serif"/>
                  <w:b w:val="false"/>
                  <w:color w:val="0000FF"/>
                  <w:sz w:val="20"/>
                  <w:u w:val="singl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13">
              <w:r>
                <w:rPr>
                  <w:rStyle w:val="InternetLink"/>
                  <w:rFonts w:ascii="Times New Roman;sans-serif" w:hAnsi="Times New Roman;sans-serif"/>
                  <w:b w:val="false"/>
                  <w:color w:val="0000FF"/>
                  <w:sz w:val="20"/>
                  <w:u w:val="single"/>
                </w:rPr>
                <w:t>Item 1. Consolidated Financial Statements (Unaudited)</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13">
              <w:r>
                <w:rPr>
                  <w:rStyle w:val="InternetLink"/>
                  <w:rFonts w:ascii="Times New Roman;sans-serif" w:hAnsi="Times New Roman;sans-serif"/>
                  <w:b w:val="false"/>
                  <w:color w:val="0000FF"/>
                  <w:sz w:val="20"/>
                  <w:u w:val="singl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16">
              <w:r>
                <w:rPr>
                  <w:rStyle w:val="InternetLink"/>
                  <w:rFonts w:ascii="Times New Roman;sans-serif" w:hAnsi="Times New Roman;sans-serif"/>
                  <w:b w:val="false"/>
                  <w:color w:val="0000FF"/>
                  <w:sz w:val="20"/>
                  <w:u w:val="single"/>
                </w:rPr>
                <w:t>Consolidated Balance Sheets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16">
              <w:r>
                <w:rPr>
                  <w:rStyle w:val="InternetLink"/>
                  <w:rFonts w:ascii="Times New Roman;sans-serif" w:hAnsi="Times New Roman;sans-serif"/>
                  <w:b w:val="false"/>
                  <w:color w:val="0000FF"/>
                  <w:sz w:val="20"/>
                  <w:u w:val="singl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19">
              <w:r>
                <w:rPr>
                  <w:rStyle w:val="InternetLink"/>
                  <w:rFonts w:ascii="Times New Roman;sans-serif" w:hAnsi="Times New Roman;sans-serif"/>
                  <w:b w:val="false"/>
                  <w:color w:val="0000FF"/>
                  <w:sz w:val="20"/>
                  <w:u w:val="single"/>
                </w:rPr>
                <w:t>Consolidated Statements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19">
              <w:r>
                <w:rPr>
                  <w:rStyle w:val="InternetLink"/>
                  <w:rFonts w:ascii="Times New Roman;sans-serif" w:hAnsi="Times New Roman;sans-serif"/>
                  <w:b w:val="false"/>
                  <w:color w:val="0000FF"/>
                  <w:sz w:val="20"/>
                  <w:u w:val="single"/>
                </w:rPr>
                <w:t>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22">
              <w:r>
                <w:rPr>
                  <w:rStyle w:val="InternetLink"/>
                  <w:rFonts w:ascii="Times New Roman;sans-serif" w:hAnsi="Times New Roman;sans-serif"/>
                  <w:b w:val="false"/>
                  <w:color w:val="0000FF"/>
                  <w:sz w:val="20"/>
                  <w:u w:val="single"/>
                </w:rPr>
                <w:t>Consolidated Comprehensive Income (Loss) Statements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22">
              <w:r>
                <w:rPr>
                  <w:rStyle w:val="InternetLink"/>
                  <w:rFonts w:ascii="Times New Roman;sans-serif" w:hAnsi="Times New Roman;sans-serif"/>
                  <w:b w:val="false"/>
                  <w:color w:val="0000FF"/>
                  <w:sz w:val="20"/>
                  <w:u w:val="single"/>
                </w:rPr>
                <w:t>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25">
              <w:r>
                <w:rPr>
                  <w:rStyle w:val="InternetLink"/>
                  <w:rFonts w:ascii="Times New Roman;sans-serif" w:hAnsi="Times New Roman;sans-serif"/>
                  <w:b w:val="false"/>
                  <w:color w:val="0000FF"/>
                  <w:sz w:val="20"/>
                  <w:u w:val="single"/>
                </w:rPr>
                <w:t>Consolidated Statements of Stockholders' Equity</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25">
              <w:r>
                <w:rPr>
                  <w:rStyle w:val="InternetLink"/>
                  <w:rFonts w:ascii="Times New Roman;sans-serif" w:hAnsi="Times New Roman;sans-serif"/>
                  <w:b w:val="false"/>
                  <w:color w:val="0000FF"/>
                  <w:sz w:val="20"/>
                  <w:u w:val="single"/>
                </w:rPr>
                <w:t>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28">
              <w:r>
                <w:rPr>
                  <w:rStyle w:val="InternetLink"/>
                  <w:rFonts w:ascii="Times New Roman;sans-serif" w:hAnsi="Times New Roman;sans-serif"/>
                  <w:b w:val="false"/>
                  <w:color w:val="0000FF"/>
                  <w:sz w:val="20"/>
                  <w:u w:val="single"/>
                </w:rPr>
                <w:t>Consolidated Statements of Cash Flows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28">
              <w:r>
                <w:rPr>
                  <w:rStyle w:val="InternetLink"/>
                  <w:rFonts w:ascii="Times New Roman;sans-serif" w:hAnsi="Times New Roman;sans-serif"/>
                  <w:b w:val="false"/>
                  <w:color w:val="0000FF"/>
                  <w:sz w:val="20"/>
                  <w:u w:val="single"/>
                </w:rPr>
                <w:t>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31">
              <w:r>
                <w:rPr>
                  <w:rStyle w:val="InternetLink"/>
                  <w:rFonts w:ascii="Times New Roman;sans-serif" w:hAnsi="Times New Roman;sans-serif"/>
                  <w:b w:val="false"/>
                  <w:color w:val="0000FF"/>
                  <w:sz w:val="20"/>
                  <w:u w:val="single"/>
                </w:rPr>
                <w:t>Notes to Consolidated Financial Statements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31">
              <w:r>
                <w:rPr>
                  <w:rStyle w:val="InternetLink"/>
                  <w:rFonts w:ascii="Times New Roman;sans-serif" w:hAnsi="Times New Roman;sans-serif"/>
                  <w:b w:val="false"/>
                  <w:color w:val="0000FF"/>
                  <w:sz w:val="20"/>
                  <w:u w:val="single"/>
                </w:rPr>
                <w:t>9</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100">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100">
              <w:r>
                <w:rPr>
                  <w:rStyle w:val="InternetLink"/>
                  <w:rFonts w:ascii="Times New Roman;sans-serif" w:hAnsi="Times New Roman;sans-serif"/>
                  <w:b w:val="false"/>
                  <w:color w:val="0000FF"/>
                  <w:sz w:val="20"/>
                  <w:u w:val="single"/>
                </w:rPr>
                <w:t>27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109">
              <w:r>
                <w:rPr>
                  <w:rStyle w:val="InternetLink"/>
                  <w:rFonts w:ascii="Times New Roman;sans-serif" w:hAnsi="Times New Roman;sans-serif"/>
                  <w:b w:val="false"/>
                  <w:color w:val="0000FF"/>
                  <w:sz w:val="20"/>
                  <w:u w:val="single"/>
                </w:rPr>
                <w:t>Item 3. Quantitative and Qualitative Disclosures About Market Risk</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109">
              <w:r>
                <w:rPr>
                  <w:rStyle w:val="InternetLink"/>
                  <w:rFonts w:ascii="Times New Roman;sans-serif" w:hAnsi="Times New Roman;sans-serif"/>
                  <w:b w:val="false"/>
                  <w:color w:val="0000FF"/>
                  <w:sz w:val="20"/>
                  <w:u w:val="single"/>
                </w:rPr>
                <w:t>33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112">
              <w:r>
                <w:rPr>
                  <w:rStyle w:val="InternetLink"/>
                  <w:rFonts w:ascii="Times New Roman;sans-serif" w:hAnsi="Times New Roman;sans-serif"/>
                  <w:b w:val="false"/>
                  <w:color w:val="0000FF"/>
                  <w:sz w:val="20"/>
                  <w:u w:val="single"/>
                </w:rPr>
                <w:t>Item 4. Controls and Procedures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112">
              <w:r>
                <w:rPr>
                  <w:rStyle w:val="InternetLink"/>
                  <w:rFonts w:ascii="Times New Roman;sans-serif" w:hAnsi="Times New Roman;sans-serif"/>
                  <w:b w:val="false"/>
                  <w:color w:val="0000FF"/>
                  <w:sz w:val="20"/>
                  <w:u w:val="single"/>
                </w:rPr>
                <w:t>34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115">
              <w:r>
                <w:rPr>
                  <w:rStyle w:val="InternetLink"/>
                  <w:rFonts w:ascii="Times New Roman;sans-serif" w:hAnsi="Times New Roman;sans-serif"/>
                  <w:b/>
                  <w:color w:val="0000FF"/>
                  <w:sz w:val="20"/>
                  <w:u w:val="single"/>
                </w:rPr>
                <w:t>PART II. 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115">
              <w:r>
                <w:rPr>
                  <w:rStyle w:val="InternetLink"/>
                  <w:rFonts w:ascii="Times New Roman;sans-serif" w:hAnsi="Times New Roman;sans-serif"/>
                  <w:b w:val="false"/>
                  <w:color w:val="0000FF"/>
                  <w:sz w:val="20"/>
                  <w:u w:val="single"/>
                </w:rPr>
                <w:t>35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118">
              <w:r>
                <w:rPr>
                  <w:rStyle w:val="InternetLink"/>
                  <w:rFonts w:ascii="Times New Roman;sans-serif" w:hAnsi="Times New Roman;sans-serif"/>
                  <w:b w:val="false"/>
                  <w:color w:val="0000FF"/>
                  <w:sz w:val="20"/>
                  <w:u w:val="single"/>
                </w:rPr>
                <w:t>Item 1. Legal Proceedings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118">
              <w:r>
                <w:rPr>
                  <w:rStyle w:val="InternetLink"/>
                  <w:rFonts w:ascii="Times New Roman;sans-serif" w:hAnsi="Times New Roman;sans-serif"/>
                  <w:b w:val="false"/>
                  <w:color w:val="0000FF"/>
                  <w:sz w:val="20"/>
                  <w:u w:val="single"/>
                </w:rPr>
                <w:t>35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121">
              <w:r>
                <w:rPr>
                  <w:rStyle w:val="InternetLink"/>
                  <w:rFonts w:ascii="Times New Roman;sans-serif" w:hAnsi="Times New Roman;sans-serif"/>
                  <w:b w:val="false"/>
                  <w:color w:val="0000FF"/>
                  <w:sz w:val="20"/>
                  <w:u w:val="single"/>
                </w:rPr>
                <w:t>Item 1A. Risk Factors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121">
              <w:r>
                <w:rPr>
                  <w:rStyle w:val="InternetLink"/>
                  <w:rFonts w:ascii="Times New Roman;sans-serif" w:hAnsi="Times New Roman;sans-serif"/>
                  <w:b w:val="false"/>
                  <w:color w:val="0000FF"/>
                  <w:sz w:val="20"/>
                  <w:u w:val="single"/>
                </w:rPr>
                <w:t>35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124">
              <w:r>
                <w:rPr>
                  <w:rStyle w:val="InternetLink"/>
                  <w:rFonts w:ascii="Times New Roman;sans-serif" w:hAnsi="Times New Roman;sans-serif"/>
                  <w:b w:val="false"/>
                  <w:color w:val="0000FF"/>
                  <w:sz w:val="20"/>
                  <w:u w:val="single"/>
                </w:rPr>
                <w:t>Item 2. Unregistered Sales of Equity Securities and Use of Proceeds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124">
              <w:r>
                <w:rPr>
                  <w:rStyle w:val="InternetLink"/>
                  <w:rFonts w:ascii="Times New Roman;sans-serif" w:hAnsi="Times New Roman;sans-serif"/>
                  <w:b w:val="false"/>
                  <w:color w:val="0000FF"/>
                  <w:sz w:val="20"/>
                  <w:u w:val="single"/>
                </w:rPr>
                <w:t>35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127">
              <w:r>
                <w:rPr>
                  <w:rStyle w:val="InternetLink"/>
                  <w:rFonts w:ascii="Times New Roman;sans-serif" w:hAnsi="Times New Roman;sans-serif"/>
                  <w:b w:val="false"/>
                  <w:color w:val="0000FF"/>
                  <w:sz w:val="20"/>
                  <w:u w:val="single"/>
                </w:rPr>
                <w:t>Item 5. 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127">
              <w:r>
                <w:rPr>
                  <w:rStyle w:val="InternetLink"/>
                  <w:rFonts w:ascii="Times New Roman;sans-serif" w:hAnsi="Times New Roman;sans-serif"/>
                  <w:b w:val="false"/>
                  <w:color w:val="0000FF"/>
                  <w:sz w:val="20"/>
                  <w:u w:val="single"/>
                </w:rPr>
                <w:t>36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130">
              <w:r>
                <w:rPr>
                  <w:rStyle w:val="InternetLink"/>
                  <w:rFonts w:ascii="Times New Roman;sans-serif" w:hAnsi="Times New Roman;sans-serif"/>
                  <w:b w:val="false"/>
                  <w:color w:val="0000FF"/>
                  <w:sz w:val="20"/>
                  <w:u w:val="single"/>
                </w:rPr>
                <w:t>Item 6. Exhibits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130">
              <w:r>
                <w:rPr>
                  <w:rStyle w:val="InternetLink"/>
                  <w:rFonts w:ascii="Times New Roman;sans-serif" w:hAnsi="Times New Roman;sans-serif"/>
                  <w:b w:val="false"/>
                  <w:color w:val="0000FF"/>
                  <w:sz w:val="20"/>
                  <w:u w:val="single"/>
                </w:rPr>
                <w:t>37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404cb1bffa4995867c692cfe9024c1_133">
              <w:r>
                <w:rPr>
                  <w:rStyle w:val="InternetLink"/>
                  <w:rFonts w:ascii="Times New Roman;sans-serif" w:hAnsi="Times New Roman;sans-serif"/>
                  <w:b w:val="false"/>
                  <w:color w:val="0000FF"/>
                  <w:sz w:val="20"/>
                  <w:u w:val="single"/>
                </w:rPr>
                <w:t>Signatures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404cb1bffa4995867c692cfe9024c1_133">
              <w:r>
                <w:rPr>
                  <w:rStyle w:val="InternetLink"/>
                  <w:rFonts w:ascii="Times New Roman;sans-serif" w:hAnsi="Times New Roman;sans-serif"/>
                  <w:b w:val="false"/>
                  <w:color w:val="0000FF"/>
                  <w:sz w:val="20"/>
                  <w:u w:val="single"/>
                </w:rPr>
                <w:t>38</w:t>
              </w:r>
            </w:hyperlink>
          </w:p>
        </w:tc>
      </w:tr>
    </w:tbl>
    <w:p>
      <w:pPr>
        <w:pStyle w:val="TextBody"/>
        <w:bidi w:val="0"/>
        <w:spacing w:before="80" w:after="283"/>
        <w:jc w:val="left"/>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ITEM 1.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share-related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78"/>
        <w:gridCol w:w="2173"/>
        <w:gridCol w:w="2179"/>
        <w:gridCol w:w="247"/>
        <w:gridCol w:w="928"/>
        <w:gridCol w:w="137"/>
        <w:gridCol w:w="109"/>
        <w:gridCol w:w="109"/>
        <w:gridCol w:w="109"/>
        <w:gridCol w:w="240"/>
        <w:gridCol w:w="903"/>
        <w:gridCol w:w="193"/>
      </w:tblGrid>
      <w:tr>
        <w:trPr/>
        <w:tc>
          <w:tcPr>
            <w:tcW w:w="2878"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112,596 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 (Note 12)</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237,265 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258,851 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44,619 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321,255 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355,872 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57,033 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Lines of credit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sales discounts, rebates and royalties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147,745 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161,148 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160,069 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176,952 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5,000,000 shares authorized; none issued or outstanding</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50,000,000 shares authorized; 25,679,816 and 25,346,383 shares issued on September 30, 2024 and December 31, 2023, respectively</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342,889 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12,660,397 and 12,459,845 shares on September 30, 2024 and December 31, 2023, respectively</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(371,869)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(369,973)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212,960 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232,460 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161,186 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178,920 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321,255 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355,872 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w:t>
      </w:r>
    </w:p>
    <w:tbl>
      <w:tblPr>
        <w:tblW w:w="9535" w:type="dxa"/>
        <w:jc w:val="center"/>
        <w:tblInd w:w="0" w:type="dxa"/>
        <w:tblLayout w:type="fixed"/>
        <w:tblCellMar>
          <w:top w:w="28" w:type="dxa"/>
          <w:left w:w="28" w:type="dxa"/>
          <w:bottom w:w="28" w:type="dxa"/>
          <w:right w:w="28" w:type="dxa"/>
        </w:tblCellMar>
      </w:tblPr>
      <w:tblGrid>
        <w:gridCol w:w="1362"/>
        <w:gridCol w:w="1201"/>
        <w:gridCol w:w="1217"/>
        <w:gridCol w:w="218"/>
        <w:gridCol w:w="820"/>
        <w:gridCol w:w="121"/>
        <w:gridCol w:w="121"/>
        <w:gridCol w:w="121"/>
        <w:gridCol w:w="121"/>
        <w:gridCol w:w="218"/>
        <w:gridCol w:w="820"/>
        <w:gridCol w:w="121"/>
        <w:gridCol w:w="109"/>
        <w:gridCol w:w="109"/>
        <w:gridCol w:w="109"/>
        <w:gridCol w:w="211"/>
        <w:gridCol w:w="793"/>
        <w:gridCol w:w="117"/>
        <w:gridCol w:w="117"/>
        <w:gridCol w:w="117"/>
        <w:gridCol w:w="117"/>
        <w:gridCol w:w="211"/>
        <w:gridCol w:w="793"/>
        <w:gridCol w:w="117"/>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102,073 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284,425 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322,863 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Factory restructuring charges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(82,689)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(87,744)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(91,136)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per share:</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in computing earnings (loss) per share:</w:t>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15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12,839</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COMPREHENSIVE INCOME (LOSS)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w:t>
      </w:r>
    </w:p>
    <w:tbl>
      <w:tblPr>
        <w:tblW w:w="9286" w:type="dxa"/>
        <w:jc w:val="center"/>
        <w:tblInd w:w="0" w:type="dxa"/>
        <w:tblLayout w:type="fixed"/>
        <w:tblCellMar>
          <w:top w:w="28" w:type="dxa"/>
          <w:left w:w="28" w:type="dxa"/>
          <w:bottom w:w="28" w:type="dxa"/>
          <w:right w:w="28" w:type="dxa"/>
        </w:tblCellMar>
      </w:tblPr>
      <w:tblGrid>
        <w:gridCol w:w="1316"/>
        <w:gridCol w:w="1161"/>
        <w:gridCol w:w="1168"/>
        <w:gridCol w:w="229"/>
        <w:gridCol w:w="740"/>
        <w:gridCol w:w="127"/>
        <w:gridCol w:w="127"/>
        <w:gridCol w:w="127"/>
        <w:gridCol w:w="127"/>
        <w:gridCol w:w="229"/>
        <w:gridCol w:w="846"/>
        <w:gridCol w:w="127"/>
        <w:gridCol w:w="109"/>
        <w:gridCol w:w="109"/>
        <w:gridCol w:w="109"/>
        <w:gridCol w:w="213"/>
        <w:gridCol w:w="785"/>
        <w:gridCol w:w="118"/>
        <w:gridCol w:w="118"/>
        <w:gridCol w:w="118"/>
        <w:gridCol w:w="118"/>
        <w:gridCol w:w="213"/>
        <w:gridCol w:w="785"/>
        <w:gridCol w:w="167"/>
      </w:tblGrid>
      <w:tr>
        <w:trPr/>
        <w:tc>
          <w:tcPr>
            <w:tcW w:w="13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(91,136)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foreign currency translation adjustment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(20,863)</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(21,793)</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(93,838)</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summarizes the changes in total equity for the three and nine months ended September 30, 2024:</w:t>
      </w:r>
    </w:p>
    <w:tbl>
      <w:tblPr>
        <w:tblW w:w="11250" w:type="dxa"/>
        <w:jc w:val="left"/>
        <w:tblInd w:w="0" w:type="dxa"/>
        <w:tblLayout w:type="fixed"/>
        <w:tblCellMar>
          <w:top w:w="28" w:type="dxa"/>
          <w:left w:w="28" w:type="dxa"/>
          <w:bottom w:w="28" w:type="dxa"/>
          <w:right w:w="28" w:type="dxa"/>
        </w:tblCellMar>
      </w:tblPr>
      <w:tblGrid>
        <w:gridCol w:w="559"/>
        <w:gridCol w:w="268"/>
        <w:gridCol w:w="269"/>
        <w:gridCol w:w="323"/>
        <w:gridCol w:w="323"/>
        <w:gridCol w:w="196"/>
        <w:gridCol w:w="109"/>
        <w:gridCol w:w="109"/>
        <w:gridCol w:w="109"/>
        <w:gridCol w:w="196"/>
        <w:gridCol w:w="421"/>
        <w:gridCol w:w="109"/>
        <w:gridCol w:w="109"/>
        <w:gridCol w:w="109"/>
        <w:gridCol w:w="109"/>
        <w:gridCol w:w="330"/>
        <w:gridCol w:w="331"/>
        <w:gridCol w:w="196"/>
        <w:gridCol w:w="109"/>
        <w:gridCol w:w="109"/>
        <w:gridCol w:w="109"/>
        <w:gridCol w:w="196"/>
        <w:gridCol w:w="751"/>
        <w:gridCol w:w="109"/>
        <w:gridCol w:w="109"/>
        <w:gridCol w:w="109"/>
        <w:gridCol w:w="109"/>
        <w:gridCol w:w="196"/>
        <w:gridCol w:w="736"/>
        <w:gridCol w:w="109"/>
        <w:gridCol w:w="109"/>
        <w:gridCol w:w="109"/>
        <w:gridCol w:w="109"/>
        <w:gridCol w:w="246"/>
        <w:gridCol w:w="832"/>
        <w:gridCol w:w="138"/>
        <w:gridCol w:w="109"/>
        <w:gridCol w:w="109"/>
        <w:gridCol w:w="109"/>
        <w:gridCol w:w="196"/>
        <w:gridCol w:w="736"/>
        <w:gridCol w:w="109"/>
        <w:gridCol w:w="109"/>
        <w:gridCol w:w="109"/>
        <w:gridCol w:w="109"/>
        <w:gridCol w:w="196"/>
        <w:gridCol w:w="73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 and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shares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directors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 and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shares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directors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 and compensation</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shares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directors</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(12,660)</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(23,051)</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summarizes the changes in total equity for the three and nine months ended September 30, 2023:</w:t>
      </w:r>
    </w:p>
    <w:tbl>
      <w:tblPr>
        <w:tblW w:w="11880" w:type="dxa"/>
        <w:jc w:val="center"/>
        <w:tblInd w:w="0" w:type="dxa"/>
        <w:tblLayout w:type="fixed"/>
        <w:tblCellMar>
          <w:top w:w="28" w:type="dxa"/>
          <w:left w:w="28" w:type="dxa"/>
          <w:bottom w:w="28" w:type="dxa"/>
          <w:right w:w="28" w:type="dxa"/>
        </w:tblCellMar>
      </w:tblPr>
      <w:tblGrid>
        <w:gridCol w:w="559"/>
        <w:gridCol w:w="268"/>
        <w:gridCol w:w="269"/>
        <w:gridCol w:w="360"/>
        <w:gridCol w:w="361"/>
        <w:gridCol w:w="196"/>
        <w:gridCol w:w="109"/>
        <w:gridCol w:w="109"/>
        <w:gridCol w:w="109"/>
        <w:gridCol w:w="211"/>
        <w:gridCol w:w="466"/>
        <w:gridCol w:w="109"/>
        <w:gridCol w:w="109"/>
        <w:gridCol w:w="109"/>
        <w:gridCol w:w="109"/>
        <w:gridCol w:w="367"/>
        <w:gridCol w:w="369"/>
        <w:gridCol w:w="196"/>
        <w:gridCol w:w="109"/>
        <w:gridCol w:w="109"/>
        <w:gridCol w:w="109"/>
        <w:gridCol w:w="211"/>
        <w:gridCol w:w="841"/>
        <w:gridCol w:w="109"/>
        <w:gridCol w:w="109"/>
        <w:gridCol w:w="109"/>
        <w:gridCol w:w="109"/>
        <w:gridCol w:w="211"/>
        <w:gridCol w:w="826"/>
        <w:gridCol w:w="109"/>
        <w:gridCol w:w="109"/>
        <w:gridCol w:w="109"/>
        <w:gridCol w:w="109"/>
        <w:gridCol w:w="242"/>
        <w:gridCol w:w="847"/>
        <w:gridCol w:w="127"/>
        <w:gridCol w:w="109"/>
        <w:gridCol w:w="109"/>
        <w:gridCol w:w="109"/>
        <w:gridCol w:w="211"/>
        <w:gridCol w:w="826"/>
        <w:gridCol w:w="109"/>
        <w:gridCol w:w="109"/>
        <w:gridCol w:w="109"/>
        <w:gridCol w:w="109"/>
        <w:gridCol w:w="211"/>
        <w:gridCol w:w="82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 and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shares</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directors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 and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shares</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directors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 and compensation</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shares</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directors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(23,889)</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color w:val="000000"/>
        </w:rPr>
      </w:pPr>
      <w:r>
        <w:rPr>
          <w:color w:val="000000"/>
        </w:rPr>
        <w:t> </w:t>
      </w:r>
    </w:p>
    <w:tbl>
      <w:tblPr>
        <w:tblW w:w="9625" w:type="dxa"/>
        <w:jc w:val="left"/>
        <w:tblInd w:w="0" w:type="dxa"/>
        <w:tblLayout w:type="fixed"/>
        <w:tblCellMar>
          <w:top w:w="28" w:type="dxa"/>
          <w:left w:w="28" w:type="dxa"/>
          <w:bottom w:w="28" w:type="dxa"/>
          <w:right w:w="28" w:type="dxa"/>
        </w:tblCellMar>
      </w:tblPr>
      <w:tblGrid>
        <w:gridCol w:w="2532"/>
        <w:gridCol w:w="2220"/>
        <w:gridCol w:w="2238"/>
        <w:gridCol w:w="213"/>
        <w:gridCol w:w="785"/>
        <w:gridCol w:w="118"/>
        <w:gridCol w:w="118"/>
        <w:gridCol w:w="118"/>
        <w:gridCol w:w="118"/>
        <w:gridCol w:w="213"/>
        <w:gridCol w:w="785"/>
        <w:gridCol w:w="167"/>
      </w:tblGrid>
      <w:tr>
        <w:trPr/>
        <w:tc>
          <w:tcPr>
            <w:tcW w:w="2532"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(91,136)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for)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contract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operating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property, plant and equipment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intangible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investing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lines of credit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on lines of credit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purchased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financing activities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exchange rates on cash and cash equivalents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cash flow information: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 Basis of Presentation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except for the impairment and restructuring charges, as described in notes 6 and 12 to the consolidated financial statements.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for the three and nine months ended September 30, 2024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Estimates and Assumptions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and stock-based compensation expense. Actual results may differ from these assumptions and estimates, and they may be adjusted as more information becomes available. Any adjustment may be 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With the exception of the following policy, our significant accounting policies are unchanged from those disclosed in Note 2 to the consolidated financial statements included in our Annual Report on Form 10-K for the year ended December 31, 2023</w:t>
      </w:r>
      <w:r>
        <w:rPr>
          <w:rFonts w:ascii="Times New Roman;sans-serif" w:hAnsi="Times New Roman;sans-serif"/>
          <w:b/>
          <w:i/>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grant date fair value of stock-based compensation awards as expense in proportion to vesting during the derived service period, which ranges from one to three years. Forfeitures of stock-based awards are accounted for as they occur. Upon the exercise of stock options, the vesting of restricted stock awards or the vesting of performance stock awards, newly issued shares of our common stock are issued. Our stock-based compensation awards are made at the discretion of the Compensation Committee and are not timed or coordinated with the release of material, non-public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the fair value of restricted stock awards with a service condition utilizing the average of the high and low trading prices of our common shares on the date they were granted.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performance stock awards with a market condition is determined utilizing a Monte Carlo simulation model as of the grant date. The assumptions utilized in a Monte Carlo simulation model include the risk-free interest rate, expected volatility, term of the award and dividend yield. The risk-free interest rate over the expected term is equal to the prevailing U.S. Treasury note rate over the same period. Expected volatility is determined utilizing historical volatility. The dividend yield is assumed to be zero since we have not historically declared dividends and do not have any plans to declare dividends in the future.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stock options granted to employees and directors is determined utilizing the Black-Scholes option pricing model. The assumptions utilized in the Black-Scholes model include the risk-free interest rate, expected volatility, expected life in years and dividend yield.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yield is assumed to be zero since we have not historically declared dividends and do not have any plans to declare dividends in the future. See Note 14 for further information concerning 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Updates Not Yet Effective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 Improvements to Reportable Segments Disclosures." The guidance enhances disclosures of significant segment expenses by requiring the disclosure of significant segment expenses regularly provided to the chief operating decision maker, extends certain annual disclosures to interim periods, and permits more than one measure of segment profit or loss to be reported under certain conditions. All disclosure requirements are also required for companies with a single reportable segment. The guidance is effective in fiscal years beginning after December 15, 2023, and interim periods within fiscal years beginning after December 15, 2024. Early adoption of the guidance is permitted, including adoption in any interim periods for which financial statements have not been issued. The Company expects this ASU to only impact our disclosures, with no impact to our consolidated balance sheets, statements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 Improvements to Tax Disclosures." The guidance expands disclosures in an entity’s income tax rate reconciliation table and regarding cash taxes paid both in the U.S. and foreign jurisdictions. The guidance will be effective for annual periods beginning after December 15, 2024. The Company is currently evaluating the guidance and its impact to the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assessed all other ASUs issued but not yet adopted and concluded that those not disclosed are not relevant to the Company or are not expected to have a material impact.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Cash and Cash Equivalents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were held in the following geographic regions:</w:t>
      </w:r>
    </w:p>
    <w:tbl>
      <w:tblPr>
        <w:tblW w:w="6431" w:type="dxa"/>
        <w:jc w:val="left"/>
        <w:tblInd w:w="0" w:type="dxa"/>
        <w:tblLayout w:type="fixed"/>
        <w:tblCellMar>
          <w:top w:w="28" w:type="dxa"/>
          <w:left w:w="28" w:type="dxa"/>
          <w:bottom w:w="28" w:type="dxa"/>
          <w:right w:w="28" w:type="dxa"/>
        </w:tblCellMar>
      </w:tblPr>
      <w:tblGrid>
        <w:gridCol w:w="1089"/>
        <w:gridCol w:w="962"/>
        <w:gridCol w:w="964"/>
        <w:gridCol w:w="313"/>
        <w:gridCol w:w="1070"/>
        <w:gridCol w:w="161"/>
        <w:gridCol w:w="109"/>
        <w:gridCol w:w="109"/>
        <w:gridCol w:w="109"/>
        <w:gridCol w:w="300"/>
        <w:gridCol w:w="1026"/>
        <w:gridCol w:w="219"/>
      </w:tblGrid>
      <w:tr>
        <w:trPr/>
        <w:tc>
          <w:tcPr>
            <w:tcW w:w="108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 ("PRC")</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(excluding the PRC)</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America</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12,617</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Revenue and Accounts Receivable,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Details    </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pattern of revenue recognition was as follows:</w:t>
      </w:r>
    </w:p>
    <w:tbl>
      <w:tblPr>
        <w:tblW w:w="9676" w:type="dxa"/>
        <w:jc w:val="center"/>
        <w:tblInd w:w="0" w:type="dxa"/>
        <w:tblLayout w:type="fixed"/>
        <w:tblCellMar>
          <w:top w:w="28" w:type="dxa"/>
          <w:left w:w="28" w:type="dxa"/>
          <w:bottom w:w="28" w:type="dxa"/>
          <w:right w:w="28" w:type="dxa"/>
        </w:tblCellMar>
      </w:tblPr>
      <w:tblGrid>
        <w:gridCol w:w="1447"/>
        <w:gridCol w:w="1277"/>
        <w:gridCol w:w="1280"/>
        <w:gridCol w:w="216"/>
        <w:gridCol w:w="847"/>
        <w:gridCol w:w="111"/>
        <w:gridCol w:w="111"/>
        <w:gridCol w:w="111"/>
        <w:gridCol w:w="111"/>
        <w:gridCol w:w="216"/>
        <w:gridCol w:w="847"/>
        <w:gridCol w:w="111"/>
        <w:gridCol w:w="109"/>
        <w:gridCol w:w="109"/>
        <w:gridCol w:w="109"/>
        <w:gridCol w:w="211"/>
        <w:gridCol w:w="826"/>
        <w:gridCol w:w="109"/>
        <w:gridCol w:w="109"/>
        <w:gridCol w:w="109"/>
        <w:gridCol w:w="109"/>
        <w:gridCol w:w="211"/>
        <w:gridCol w:w="826"/>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Goods and services transferred at a point in time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Goods and services transferred over time</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107,095 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Our net sales to external customers by geographic area were as follows:</w:t>
      </w:r>
    </w:p>
    <w:tbl>
      <w:tblPr>
        <w:tblW w:w="7561" w:type="dxa"/>
        <w:jc w:val="left"/>
        <w:tblInd w:w="0" w:type="dxa"/>
        <w:tblLayout w:type="fixed"/>
        <w:tblCellMar>
          <w:top w:w="28" w:type="dxa"/>
          <w:left w:w="28" w:type="dxa"/>
          <w:bottom w:w="28" w:type="dxa"/>
          <w:right w:w="28" w:type="dxa"/>
        </w:tblCellMar>
      </w:tblPr>
      <w:tblGrid>
        <w:gridCol w:w="682"/>
        <w:gridCol w:w="602"/>
        <w:gridCol w:w="605"/>
        <w:gridCol w:w="216"/>
        <w:gridCol w:w="847"/>
        <w:gridCol w:w="111"/>
        <w:gridCol w:w="111"/>
        <w:gridCol w:w="111"/>
        <w:gridCol w:w="111"/>
        <w:gridCol w:w="216"/>
        <w:gridCol w:w="847"/>
        <w:gridCol w:w="111"/>
        <w:gridCol w:w="109"/>
        <w:gridCol w:w="109"/>
        <w:gridCol w:w="109"/>
        <w:gridCol w:w="211"/>
        <w:gridCol w:w="826"/>
        <w:gridCol w:w="109"/>
        <w:gridCol w:w="109"/>
        <w:gridCol w:w="109"/>
        <w:gridCol w:w="109"/>
        <w:gridCol w:w="211"/>
        <w:gridCol w:w="82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(excluding PRC)</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68,598</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PRC</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49,082</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24,408</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16,375</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107,095 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Specific identification of the customer billing location was the basis used for attributing revenues from external customers to geographic areas.</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Net sales to the following customers totaled more than 10% of our net sales:</w:t>
      </w:r>
    </w:p>
    <w:tbl>
      <w:tblPr>
        <w:tblW w:w="7790" w:type="dxa"/>
        <w:jc w:val="left"/>
        <w:tblInd w:w="0" w:type="dxa"/>
        <w:tblLayout w:type="fixed"/>
        <w:tblCellMar>
          <w:top w:w="28" w:type="dxa"/>
          <w:left w:w="28" w:type="dxa"/>
          <w:bottom w:w="28" w:type="dxa"/>
          <w:right w:w="28" w:type="dxa"/>
        </w:tblCellMar>
      </w:tblPr>
      <w:tblGrid>
        <w:gridCol w:w="701"/>
        <w:gridCol w:w="615"/>
        <w:gridCol w:w="619"/>
        <w:gridCol w:w="219"/>
        <w:gridCol w:w="748"/>
        <w:gridCol w:w="113"/>
        <w:gridCol w:w="109"/>
        <w:gridCol w:w="109"/>
        <w:gridCol w:w="109"/>
        <w:gridCol w:w="261"/>
        <w:gridCol w:w="261"/>
        <w:gridCol w:w="649"/>
        <w:gridCol w:w="109"/>
        <w:gridCol w:w="109"/>
        <w:gridCol w:w="109"/>
        <w:gridCol w:w="219"/>
        <w:gridCol w:w="748"/>
        <w:gridCol w:w="113"/>
        <w:gridCol w:w="109"/>
        <w:gridCol w:w="109"/>
        <w:gridCol w:w="109"/>
        <w:gridCol w:w="261"/>
        <w:gridCol w:w="261"/>
        <w:gridCol w:w="649"/>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Daikin Industries Ltd.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Sony Corporation</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tbl>
      <w:tblPr>
        <w:tblW w:w="7790" w:type="dxa"/>
        <w:jc w:val="left"/>
        <w:tblInd w:w="0" w:type="dxa"/>
        <w:tblLayout w:type="fixed"/>
        <w:tblCellMar>
          <w:top w:w="28" w:type="dxa"/>
          <w:left w:w="28" w:type="dxa"/>
          <w:bottom w:w="28" w:type="dxa"/>
          <w:right w:w="28" w:type="dxa"/>
        </w:tblCellMar>
      </w:tblPr>
      <w:tblGrid>
        <w:gridCol w:w="701"/>
        <w:gridCol w:w="615"/>
        <w:gridCol w:w="619"/>
        <w:gridCol w:w="219"/>
        <w:gridCol w:w="748"/>
        <w:gridCol w:w="113"/>
        <w:gridCol w:w="109"/>
        <w:gridCol w:w="109"/>
        <w:gridCol w:w="109"/>
        <w:gridCol w:w="261"/>
        <w:gridCol w:w="261"/>
        <w:gridCol w:w="649"/>
        <w:gridCol w:w="109"/>
        <w:gridCol w:w="109"/>
        <w:gridCol w:w="109"/>
        <w:gridCol w:w="219"/>
        <w:gridCol w:w="748"/>
        <w:gridCol w:w="113"/>
        <w:gridCol w:w="109"/>
        <w:gridCol w:w="109"/>
        <w:gridCol w:w="109"/>
        <w:gridCol w:w="261"/>
        <w:gridCol w:w="261"/>
        <w:gridCol w:w="649"/>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Daikin Industries Ltd. </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Comcast Corporation</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Sales associated with this customer did not total more than 10% of our net sales for the indicated period.</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Net</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were as follows:</w:t>
      </w:r>
    </w:p>
    <w:tbl>
      <w:tblPr>
        <w:tblW w:w="5711" w:type="dxa"/>
        <w:jc w:val="center"/>
        <w:tblInd w:w="0" w:type="dxa"/>
        <w:tblLayout w:type="fixed"/>
        <w:tblCellMar>
          <w:top w:w="28" w:type="dxa"/>
          <w:left w:w="28" w:type="dxa"/>
          <w:bottom w:w="28" w:type="dxa"/>
          <w:right w:w="28" w:type="dxa"/>
        </w:tblCellMar>
      </w:tblPr>
      <w:tblGrid>
        <w:gridCol w:w="829"/>
        <w:gridCol w:w="732"/>
        <w:gridCol w:w="734"/>
        <w:gridCol w:w="284"/>
        <w:gridCol w:w="1114"/>
        <w:gridCol w:w="147"/>
        <w:gridCol w:w="109"/>
        <w:gridCol w:w="109"/>
        <w:gridCol w:w="109"/>
        <w:gridCol w:w="273"/>
        <w:gridCol w:w="1072"/>
        <w:gridCol w:w="199"/>
      </w:tblGrid>
      <w:tr>
        <w:trPr/>
        <w:tc>
          <w:tcPr>
            <w:tcW w:w="8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gross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106,182 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sales returns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106,629 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112,596 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Other accounts receivable is primarily comprised of value added tax receivables, interest receivable and supplier rebate receivables.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allowance for credit losses were as follows:</w:t>
      </w:r>
    </w:p>
    <w:tbl>
      <w:tblPr>
        <w:tblW w:w="6374" w:type="dxa"/>
        <w:jc w:val="center"/>
        <w:tblInd w:w="0" w:type="dxa"/>
        <w:tblLayout w:type="fixed"/>
        <w:tblCellMar>
          <w:top w:w="28" w:type="dxa"/>
          <w:left w:w="28" w:type="dxa"/>
          <w:bottom w:w="28" w:type="dxa"/>
          <w:right w:w="28" w:type="dxa"/>
        </w:tblCellMar>
      </w:tblPr>
      <w:tblGrid>
        <w:gridCol w:w="1350"/>
        <w:gridCol w:w="1191"/>
        <w:gridCol w:w="1194"/>
        <w:gridCol w:w="286"/>
        <w:gridCol w:w="633"/>
        <w:gridCol w:w="148"/>
        <w:gridCol w:w="148"/>
        <w:gridCol w:w="148"/>
        <w:gridCol w:w="148"/>
        <w:gridCol w:w="286"/>
        <w:gridCol w:w="633"/>
        <w:gridCol w:w="209"/>
      </w:tblGrid>
      <w:tr>
        <w:trP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7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735" w:type="dxa"/>
            <w:gridSpan w:val="3"/>
            <w:vMerge w:val="continue"/>
            <w:tcBorders/>
            <w:tcMar>
              <w:top w:w="0" w:type="dxa"/>
              <w:left w:w="0" w:type="dxa"/>
              <w:bottom w:w="0" w:type="dxa"/>
              <w:right w:w="0" w:type="dxa"/>
            </w:tcMar>
            <w:vAlign w:val="center"/>
          </w:tcPr>
          <w:p>
            <w:pPr>
              <w:pStyle w:val="Normal"/>
              <w:bidi w:val="0"/>
              <w:jc w:val="left"/>
              <w:rPr/>
            </w:pPr>
            <w:r>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(reductions) to costs and expenses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Write-offs/Foreign exchange effects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customers that totaled more than 10% of our accounts receivable at September 30, 2024 or December 31, 2023.</w:t>
      </w:r>
    </w:p>
    <w:p>
      <w:pPr>
        <w:pStyle w:val="TextBody"/>
        <w:bidi w:val="0"/>
        <w:spacing w:before="0" w:after="6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current and non-current contract liability balances primarily relating to our firmware update provisioning and digital rights management validation services. Contract liabilities are included within other accrued liabilities in our consolidated balance sheets.</w: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contract liabilities were as follows: </w:t>
      </w:r>
    </w:p>
    <w:tbl>
      <w:tblPr>
        <w:tblW w:w="8287" w:type="dxa"/>
        <w:jc w:val="left"/>
        <w:tblInd w:w="0" w:type="dxa"/>
        <w:tblLayout w:type="fixed"/>
        <w:tblCellMar>
          <w:top w:w="28" w:type="dxa"/>
          <w:left w:w="28" w:type="dxa"/>
          <w:bottom w:w="28" w:type="dxa"/>
          <w:right w:w="28" w:type="dxa"/>
        </w:tblCellMar>
      </w:tblPr>
      <w:tblGrid>
        <w:gridCol w:w="954"/>
        <w:gridCol w:w="842"/>
        <w:gridCol w:w="844"/>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6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640" w:type="dxa"/>
            <w:gridSpan w:val="3"/>
            <w:vMerge w:val="continue"/>
            <w:tcBorders/>
            <w:tcMar>
              <w:top w:w="0" w:type="dxa"/>
              <w:left w:w="0" w:type="dxa"/>
              <w:bottom w:w="0" w:type="dxa"/>
              <w:right w:w="0" w:type="dxa"/>
            </w:tcMar>
            <w:vAlign w:val="center"/>
          </w:tcPr>
          <w:p>
            <w:pPr>
              <w:pStyle w:val="Normal"/>
              <w:bidi w:val="0"/>
              <w:jc w:val="left"/>
              <w:rPr/>
            </w:pPr>
            <w:r>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received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effects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Inventories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were as follows:</w:t>
      </w:r>
    </w:p>
    <w:tbl>
      <w:tblPr>
        <w:tblW w:w="4840" w:type="dxa"/>
        <w:jc w:val="left"/>
        <w:tblInd w:w="0" w:type="dxa"/>
        <w:tblLayout w:type="fixed"/>
        <w:tblCellMar>
          <w:top w:w="28" w:type="dxa"/>
          <w:left w:w="28" w:type="dxa"/>
          <w:bottom w:w="28" w:type="dxa"/>
          <w:right w:w="28" w:type="dxa"/>
        </w:tblCellMar>
      </w:tblPr>
      <w:tblGrid>
        <w:gridCol w:w="514"/>
        <w:gridCol w:w="454"/>
        <w:gridCol w:w="456"/>
        <w:gridCol w:w="313"/>
        <w:gridCol w:w="1070"/>
        <w:gridCol w:w="161"/>
        <w:gridCol w:w="109"/>
        <w:gridCol w:w="109"/>
        <w:gridCol w:w="109"/>
        <w:gridCol w:w="300"/>
        <w:gridCol w:w="1026"/>
        <w:gridCol w:w="219"/>
      </w:tblGrid>
      <w:tr>
        <w:trPr/>
        <w:tc>
          <w:tcPr>
            <w:tcW w:w="5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88,939 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Supplier</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purchases from suppliers that totaled more than 10% of our total inventory purchases for the three and nine months ended September 30, 2024 and 2023.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trade payable balances to suppliers that totaled more than 10% of our total accounts payable at September 30, 2024 and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 Long-lived Tangible Assets</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tangible assets by geographic area, which include property, plant, and equipment, net and operating lease right-of-use assets, were as follows:</w:t>
      </w:r>
    </w:p>
    <w:tbl>
      <w:tblPr>
        <w:tblW w:w="6100" w:type="dxa"/>
        <w:jc w:val="left"/>
        <w:tblInd w:w="0" w:type="dxa"/>
        <w:tblLayout w:type="fixed"/>
        <w:tblCellMar>
          <w:top w:w="28" w:type="dxa"/>
          <w:left w:w="28" w:type="dxa"/>
          <w:bottom w:w="28" w:type="dxa"/>
          <w:right w:w="28" w:type="dxa"/>
        </w:tblCellMar>
      </w:tblPr>
      <w:tblGrid>
        <w:gridCol w:w="969"/>
        <w:gridCol w:w="856"/>
        <w:gridCol w:w="859"/>
        <w:gridCol w:w="313"/>
        <w:gridCol w:w="1070"/>
        <w:gridCol w:w="161"/>
        <w:gridCol w:w="109"/>
        <w:gridCol w:w="109"/>
        <w:gridCol w:w="109"/>
        <w:gridCol w:w="300"/>
        <w:gridCol w:w="1026"/>
        <w:gridCol w:w="219"/>
      </w:tblGrid>
      <w:tr>
        <w:trPr/>
        <w:tc>
          <w:tcPr>
            <w:tcW w:w="96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PRC</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Vietnam</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tangible assets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shown net of accumulated depreciation of $166.8 million and $163.3 million at September 30, 2024 and December 31,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$3.0 million and $4.6 million for the three months ended September 30, 2024 and 2023, respectively. Depreciation expense was $9.7 million and $13.9 million for the nine months ended September 30, 2024 and 2023,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 Goodwill and Intangible Assets,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a decline in our financial performance, overall negative trend in the video service provider channel and an uncertain economic environment contributed to a significant decline in our market capitalization. We considered this to be an impairment trigger. We, therefore, performed a quantitative valuation analysis under an income approach to estimate our reporting unit's fair value. The income approach used projections of estimated operating results and cash flows that were discounted using a discount rate based on the weighted-average cost of capital. The main assumptions supporting the cash flow projections include, but are not limited to, revenue growth, margins, discount rate, and terminal growth rate. The financial projections reflect our best estimate of economic and market conditions over the projected period, including forecasted revenue growth, margins, capital expenditures, depreciation and amortization. In addition to our valuation analysis under an income approach, we also considered the implied control premium compared to our market capitalization. We determined that the implied control premium over our market capitalization to be substantial; therefore, we recorded an impairment charge of $49.1 million during the nine months ended September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intangible assets, net were as follows:</w:t>
      </w:r>
    </w:p>
    <w:tbl>
      <w:tblPr>
        <w:tblW w:w="10205" w:type="dxa"/>
        <w:jc w:val="left"/>
        <w:tblInd w:w="0" w:type="dxa"/>
        <w:tblLayout w:type="fixed"/>
        <w:tblCellMar>
          <w:top w:w="28" w:type="dxa"/>
          <w:left w:w="28" w:type="dxa"/>
          <w:bottom w:w="28" w:type="dxa"/>
          <w:right w:w="28" w:type="dxa"/>
        </w:tblCellMar>
      </w:tblPr>
      <w:tblGrid>
        <w:gridCol w:w="745"/>
        <w:gridCol w:w="656"/>
        <w:gridCol w:w="663"/>
        <w:gridCol w:w="211"/>
        <w:gridCol w:w="721"/>
        <w:gridCol w:w="109"/>
        <w:gridCol w:w="109"/>
        <w:gridCol w:w="109"/>
        <w:gridCol w:w="109"/>
        <w:gridCol w:w="220"/>
        <w:gridCol w:w="812"/>
        <w:gridCol w:w="113"/>
        <w:gridCol w:w="109"/>
        <w:gridCol w:w="109"/>
        <w:gridCol w:w="109"/>
        <w:gridCol w:w="211"/>
        <w:gridCol w:w="721"/>
        <w:gridCol w:w="109"/>
        <w:gridCol w:w="109"/>
        <w:gridCol w:w="109"/>
        <w:gridCol w:w="109"/>
        <w:gridCol w:w="211"/>
        <w:gridCol w:w="721"/>
        <w:gridCol w:w="109"/>
        <w:gridCol w:w="109"/>
        <w:gridCol w:w="109"/>
        <w:gridCol w:w="109"/>
        <w:gridCol w:w="220"/>
        <w:gridCol w:w="812"/>
        <w:gridCol w:w="113"/>
        <w:gridCol w:w="109"/>
        <w:gridCol w:w="109"/>
        <w:gridCol w:w="109"/>
        <w:gridCol w:w="211"/>
        <w:gridCol w:w="721"/>
        <w:gridCol w:w="161"/>
      </w:tblGrid>
      <w:tr>
        <w:trPr/>
        <w:tc>
          <w:tcPr>
            <w:tcW w:w="74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Gross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pPr>
            <w:r>
              <w:rPr>
                <w:rFonts w:ascii="Times New Roman;sans-serif" w:hAnsi="Times New Roman;sans-serif"/>
                <w:b/>
                <w:color w:val="000000"/>
                <w:sz w:val="16"/>
              </w:rPr>
              <w:t xml:space="preserve">Amortization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Gross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pPr>
            <w:r>
              <w:rPr>
                <w:rFonts w:ascii="Times New Roman;sans-serif" w:hAnsi="Times New Roman;sans-serif"/>
                <w:b/>
                <w:color w:val="000000"/>
                <w:sz w:val="16"/>
              </w:rPr>
              <w:t xml:space="preserve">Amortization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Developed and core technology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(19,914)</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(21,017)</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This table excludes the gross value of fully amortized intangible assets totaling $49.3 million and $45.0 million at September 30, 2024 and December 31, 2023,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is recorded in selling, general and administrative expenses, except amortization expense related to capitalized software development costs, which is recorded in cost of sales. Amortization expense by statement of operations caption was as follows: </w:t>
      </w:r>
    </w:p>
    <w:tbl>
      <w:tblPr>
        <w:tblW w:w="9382" w:type="dxa"/>
        <w:jc w:val="left"/>
        <w:tblInd w:w="0" w:type="dxa"/>
        <w:tblLayout w:type="fixed"/>
        <w:tblCellMar>
          <w:top w:w="28" w:type="dxa"/>
          <w:left w:w="28" w:type="dxa"/>
          <w:bottom w:w="28" w:type="dxa"/>
          <w:right w:w="28" w:type="dxa"/>
        </w:tblCellMar>
      </w:tblPr>
      <w:tblGrid>
        <w:gridCol w:w="1348"/>
        <w:gridCol w:w="1189"/>
        <w:gridCol w:w="1198"/>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134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7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735" w:type="dxa"/>
            <w:gridSpan w:val="3"/>
            <w:vMerge w:val="continue"/>
            <w:tcBorders/>
            <w:tcMar>
              <w:top w:w="0" w:type="dxa"/>
              <w:left w:w="0" w:type="dxa"/>
              <w:bottom w:w="0" w:type="dxa"/>
              <w:right w:w="0" w:type="dxa"/>
            </w:tcMar>
            <w:vAlign w:val="center"/>
          </w:tcPr>
          <w:p>
            <w:pPr>
              <w:pStyle w:val="Normal"/>
              <w:bidi w:val="0"/>
              <w:jc w:val="left"/>
              <w:rPr/>
            </w:pPr>
            <w:r>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Estimated future annual amortization expense related to our intangible assets at September 30, 2024, was as follows:</w:t>
      </w:r>
    </w:p>
    <w:tbl>
      <w:tblPr>
        <w:tblW w:w="3410" w:type="dxa"/>
        <w:jc w:val="left"/>
        <w:tblInd w:w="0" w:type="dxa"/>
        <w:tblLayout w:type="fixed"/>
        <w:tblCellMar>
          <w:top w:w="28" w:type="dxa"/>
          <w:left w:w="28" w:type="dxa"/>
          <w:bottom w:w="28" w:type="dxa"/>
          <w:right w:w="28" w:type="dxa"/>
        </w:tblCellMar>
      </w:tblPr>
      <w:tblGrid>
        <w:gridCol w:w="840"/>
        <w:gridCol w:w="741"/>
        <w:gridCol w:w="743"/>
        <w:gridCol w:w="211"/>
        <w:gridCol w:w="721"/>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 3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various operating lease agreements for automobiles, offices and manufacturing facilities throughout the world. At September 30, 2024, our operating leases had remaining lease terms of up to 36 years, including any reasonably probable extensions.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balances within our consolidated balance sheet were as follows:</w:t>
      </w:r>
    </w:p>
    <w:tbl>
      <w:tblPr>
        <w:tblW w:w="6641" w:type="dxa"/>
        <w:jc w:val="center"/>
        <w:tblInd w:w="0" w:type="dxa"/>
        <w:tblLayout w:type="fixed"/>
        <w:tblCellMar>
          <w:top w:w="28" w:type="dxa"/>
          <w:left w:w="28" w:type="dxa"/>
          <w:bottom w:w="28" w:type="dxa"/>
          <w:right w:w="28" w:type="dxa"/>
        </w:tblCellMar>
      </w:tblPr>
      <w:tblGrid>
        <w:gridCol w:w="1166"/>
        <w:gridCol w:w="1028"/>
        <w:gridCol w:w="1031"/>
        <w:gridCol w:w="313"/>
        <w:gridCol w:w="1070"/>
        <w:gridCol w:w="161"/>
        <w:gridCol w:w="109"/>
        <w:gridCol w:w="109"/>
        <w:gridCol w:w="109"/>
        <w:gridCol w:w="300"/>
        <w:gridCol w:w="1026"/>
        <w:gridCol w:w="219"/>
      </w:tblGrid>
      <w:tr>
        <w:trPr/>
        <w:tc>
          <w:tcPr>
            <w:tcW w:w="11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obligations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expense, including variable and short-term lease costs which were insignificant to the total, operating lease cash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flows and supplemental cash flow information were as follows:</w:t>
      </w:r>
    </w:p>
    <w:tbl>
      <w:tblPr>
        <w:tblW w:w="10205" w:type="dxa"/>
        <w:jc w:val="center"/>
        <w:tblInd w:w="0" w:type="dxa"/>
        <w:tblLayout w:type="fixed"/>
        <w:tblCellMar>
          <w:top w:w="28" w:type="dxa"/>
          <w:left w:w="28" w:type="dxa"/>
          <w:bottom w:w="28" w:type="dxa"/>
          <w:right w:w="28" w:type="dxa"/>
        </w:tblCellMar>
      </w:tblPr>
      <w:tblGrid>
        <w:gridCol w:w="1741"/>
        <w:gridCol w:w="1535"/>
        <w:gridCol w:w="1547"/>
        <w:gridCol w:w="242"/>
        <w:gridCol w:w="710"/>
        <w:gridCol w:w="125"/>
        <w:gridCol w:w="125"/>
        <w:gridCol w:w="125"/>
        <w:gridCol w:w="125"/>
        <w:gridCol w:w="242"/>
        <w:gridCol w:w="710"/>
        <w:gridCol w:w="125"/>
        <w:gridCol w:w="109"/>
        <w:gridCol w:w="109"/>
        <w:gridCol w:w="109"/>
        <w:gridCol w:w="236"/>
        <w:gridCol w:w="691"/>
        <w:gridCol w:w="122"/>
        <w:gridCol w:w="122"/>
        <w:gridCol w:w="122"/>
        <w:gridCol w:w="122"/>
        <w:gridCol w:w="236"/>
        <w:gridCol w:w="691"/>
        <w:gridCol w:w="184"/>
      </w:tblGrid>
      <w:tr>
        <w:trPr/>
        <w:tc>
          <w:tcPr>
            <w:tcW w:w="1741"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8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823"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expense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obtained in exchange for lease obligations</w:t>
            </w:r>
          </w:p>
        </w:tc>
        <w:tc>
          <w:tcPr>
            <w:tcW w:w="2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1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liability term and the weighted average discount rate were as follows:</w:t>
      </w:r>
    </w:p>
    <w:tbl>
      <w:tblPr>
        <w:tblW w:w="7362" w:type="dxa"/>
        <w:jc w:val="center"/>
        <w:tblInd w:w="0" w:type="dxa"/>
        <w:tblLayout w:type="fixed"/>
        <w:tblCellMar>
          <w:top w:w="28" w:type="dxa"/>
          <w:left w:w="28" w:type="dxa"/>
          <w:bottom w:w="28" w:type="dxa"/>
          <w:right w:w="28" w:type="dxa"/>
        </w:tblCellMar>
      </w:tblPr>
      <w:tblGrid>
        <w:gridCol w:w="1430"/>
        <w:gridCol w:w="1253"/>
        <w:gridCol w:w="1262"/>
        <w:gridCol w:w="344"/>
        <w:gridCol w:w="344"/>
        <w:gridCol w:w="857"/>
        <w:gridCol w:w="109"/>
        <w:gridCol w:w="109"/>
        <w:gridCol w:w="109"/>
        <w:gridCol w:w="314"/>
        <w:gridCol w:w="314"/>
        <w:gridCol w:w="917"/>
      </w:tblGrid>
      <w:tr>
        <w:trPr/>
        <w:tc>
          <w:tcPr>
            <w:tcW w:w="143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lease liability term (in years)</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6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the undiscounted cash flows for each of the first five years and thereafter to the operating lease liabilities recognized in our consolidated balance sheet at September 30, 2024. The reconciliation excludes short-term leases that are not recorded on the balance sheet. </w:t>
      </w:r>
    </w:p>
    <w:tbl>
      <w:tblPr>
        <w:tblW w:w="3914" w:type="dxa"/>
        <w:jc w:val="center"/>
        <w:tblInd w:w="0" w:type="dxa"/>
        <w:tblLayout w:type="fixed"/>
        <w:tblCellMar>
          <w:top w:w="28" w:type="dxa"/>
          <w:left w:w="28" w:type="dxa"/>
          <w:bottom w:w="28" w:type="dxa"/>
          <w:right w:w="28" w:type="dxa"/>
        </w:tblCellMar>
      </w:tblPr>
      <w:tblGrid>
        <w:gridCol w:w="840"/>
        <w:gridCol w:w="741"/>
        <w:gridCol w:w="743"/>
        <w:gridCol w:w="309"/>
        <w:gridCol w:w="1056"/>
        <w:gridCol w:w="225"/>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 3 months)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we did not have any operating leases that had not yet commenced.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Lines of Credit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 Line of Credit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13, 2024, we executed an amendment to our Second Amended and Restated Credit Agreement ("Second Amended Credit Agreement") with U.S. Bank National Association ("U.S. Bank"), which provides for a revolving line of credit ("U.S. Credit Line") through April 30, 2025. We expect to renew our credit agreement with U.S. Bank prior to its expiration; however, no assurance can be given that future financing will be available or, if available, that we will be offered terms satisfactory to us. The U.S. Credit Line may be used for working capital and other general corporate purposes including acquisitions, share repurchases and capital expenditures.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Credit Line has a maximum availability up to $100.0 million, subject to meeting certain financial conditions, including an accounts receivable coverage ratio ("AR Ratio"). This AR Ratio is calculated monthly and adjusts the current U.S. Credit Line total availability. At September 30, 2024, the U.S. Credit Line total availability was $65.6 million based upon the AR Ratio. At October 11, 2024, the U.S. Credit Line total availability was $67.0 million based upon the AR Ratio.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available for borrowing under the U.S. Credit Line are reduced by the balance of any outstanding letters of credit, of which there were none at September 30, 2024 and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obligations under the U.S. Credit Line are secured by substantially all of our U.S. personal property and tangible and intangible assets, as well as a guaranty of the U.S. Credit Line by our wholly-owned subsidiary, Universal Electronics BV.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Second Amended Credit Agreement, we may elect to pay interest on the U.S. Credit Line based on the Secured Overnight Financing Rate ("SOFR") plus a 3.00% margin. The amendment also introduces a facility fee of 0.25%. The interest rates in effect at September 30, 2024 and December 31, 2023 were 7.83% and 8.06%,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 Amended Credit Agreement includes financial covenants and contains other customary affirmative and negative covenants and events of default. From January 1, 2024 to September 30, 2024, our covenants are based upon EBITDA. From October 1, 2024 to December 31, 2024, our covenants will be based upon a minimum fixed charge coverage ratio. Subsequent to December 31, 2024, our covenants will be based upon a minimum fixed charge coverage ratio and a maximum cash flow leverage ratio. At September 30, 2024, we were in compliance with the covenants and conditions of the Second Amended Credit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and December 31, 2023, we had $37.0 million and $55.0 million outstanding under the U.S. Credit Line, respectively. At September 30, 2024, our remaining availability under our U.S. Credit Line was $28.6 million. Our total interest expense on borrowings under the U.S. Credit Line was $1.0 million and $1.6 million during the three months ended September 30, 2024 and 2023, respectively. Our total interest expense on borrowings under the U.S. Credit Line was $3.5 million and $4.5 million during the nine months ended September 30, 2024 and 2023,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China Line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2024, our subsidiary Gemstar Technology (Yangzhou) Co. Ltd. ("GTY"), executed a Line of Credit Agreement (the "Line of Credit Agreement") with the Bank of China, which provides for a revolving line of credit ("China Credit Line") through July 24, 2025. We expect to renew our Line of Credit Agreement with the Bank of China prior to its expiration; however, no assurance can be given that future financing will be available or, if available, that we will be offered terms satisfactory to us. The China Credit Line may be used for working capital purposes.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China Credit Line has a maximum availability up to RMB 80.0 million (approximately $11.4 million), subject to meeting certain financial conditions.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available for borrowing under the China Credit Line are reduced by the balance of any outstanding letters of credit, of which there were none at September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obligations under the China Credit Line are secured by the mortgage of GTY's buildings and land use rights.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Line of Credit Agreement, we may elect to pay interest on the China Credit Line based on the one-year rate from the National Interbank Funding Center less a 0.1% margin. There are no associated commitment fees on the China Credit Line. The interest rate in effect at September 30, 2024 was 3.10%.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Line of Credit Agreement includes financial covenants and contains other customary affirmative and negative covenants and events of default. Our covenants are based on a debt to asset ratio and a dividends paid to net income ratio. At September 30, 2024, we were in compliance with the covenants and conditions of the Line of Credit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we had RMB 20.0 million (approximately $2.9 million) outstanding under the China Credit Line. At September 30, 2024, our remaining availability under our China Credit Line was RMB 60.0 million (approximately $8.6 million). Our total interest expense on borrowings under the China Credit Line was RMB 20.7 thousand (approximately $3.0 thousand) during the three and nine months ended September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income tax expense of $2.5 million and $3.3 million for the three months ended September 30, 2024 and 2023, respectively. We recorded income tax expense of $6.0 million and $3.4 million for the nine months ended September 30, 2024 and 2023, respectively. The income tax expense recorded for the nine months ended September 30, 2024 and 2023 is primarily attributable to the mix of pre-tax income among jurisdictions, including losses not benefited as a result of a valuation allowance.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Company's effective tax rate and the 21.0% U.S. federal statutory rate for the nine months ended September 30, 2024 primarily related to the mix of pre-tax income and loss among jurisdictions and permanent tax items, including a tax on global intangible low-taxed income. The Company's income tax provision can be affected by other factors, including changes in the tax laws and regulations in the jurisdictions in which we operate, changes in the valuation allowances on deferred tax assets, and other discrete items.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taxable income in making this assessment. At December 31, 2023, we had a three-year cumulative operating loss for our U.S. operations and, accordingly, have provided a full valuation allowance on our U.S. federal and state deferred tax assets. During the nine months ended September 30, 2024, there was no change to our U.S. valuation allowance position.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we had gross unrecognized tax benefits of $3.5 million, including interest and penalties, which, if not for the valuation allowance recorded against the state Research and Experimentation income tax credit, would affect the annual effective tax rate if these tax benefits are realized. Further, we are unaware of any positions for which it is reasonably possible that the total amounts of unrecognized tax benefits will significantly increase within the next twelve months. Based on U.S.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classify interest and penalties as a component of tax expense. Accrued interest and penalties are immaterial at September 30, 2024 and December 31, 2023 and are included in the unrecognized tax benefits.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 Accrued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accrued compensation were as follows:</w:t>
      </w:r>
    </w:p>
    <w:tbl>
      <w:tblPr>
        <w:tblW w:w="5935" w:type="dxa"/>
        <w:jc w:val="left"/>
        <w:tblInd w:w="0" w:type="dxa"/>
        <w:tblLayout w:type="fixed"/>
        <w:tblCellMar>
          <w:top w:w="28" w:type="dxa"/>
          <w:left w:w="28" w:type="dxa"/>
          <w:bottom w:w="28" w:type="dxa"/>
          <w:right w:w="28" w:type="dxa"/>
        </w:tblCellMar>
      </w:tblPr>
      <w:tblGrid>
        <w:gridCol w:w="910"/>
        <w:gridCol w:w="804"/>
        <w:gridCol w:w="805"/>
        <w:gridCol w:w="313"/>
        <w:gridCol w:w="1070"/>
        <w:gridCol w:w="161"/>
        <w:gridCol w:w="109"/>
        <w:gridCol w:w="109"/>
        <w:gridCol w:w="109"/>
        <w:gridCol w:w="300"/>
        <w:gridCol w:w="1026"/>
        <w:gridCol w:w="219"/>
      </w:tblGrid>
      <w:tr>
        <w:trPr/>
        <w:tc>
          <w:tcPr>
            <w:tcW w:w="91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salary/wages </w:t>
            </w:r>
            <w:r>
              <w:rPr>
                <w:rFonts w:ascii="Times New Roman;sans-serif" w:hAnsi="Times New Roman;sans-serif"/>
                <w:b w:val="false"/>
                <w:color w:val="000000"/>
                <w:sz w:val="13"/>
              </w:rPr>
              <w:t>(1)</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social insurance </w:t>
            </w:r>
            <w:r>
              <w:rPr>
                <w:rFonts w:ascii="Times New Roman;sans-serif" w:hAnsi="Times New Roman;sans-serif"/>
                <w:b w:val="false"/>
                <w:color w:val="000000"/>
                <w:sz w:val="13"/>
              </w:rPr>
              <w:t>(2)(3)</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vacation/holiday</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compensation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compensation</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$0.6 million of accrued severance expenses at September 30, 2024 related to our Mexico manufacturing footprint optimization efforts. See Note 12 for further information related to our restructuring activities.</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$17 thousand and $0.1 million of accrued severance expenses at September 30, 2024 and December 31, 2023, respectively, related to our Asia manufacturing footprint optimization efforts. See Note 12 for further information related to our restructuring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September 30, 2024 and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 Other Accrued Liabilities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other accrued liabilities were as follows:</w:t>
      </w:r>
    </w:p>
    <w:tbl>
      <w:tblPr>
        <w:tblW w:w="8245" w:type="dxa"/>
        <w:jc w:val="left"/>
        <w:tblInd w:w="0" w:type="dxa"/>
        <w:tblLayout w:type="fixed"/>
        <w:tblCellMar>
          <w:top w:w="28" w:type="dxa"/>
          <w:left w:w="28" w:type="dxa"/>
          <w:bottom w:w="28" w:type="dxa"/>
          <w:right w:w="28" w:type="dxa"/>
        </w:tblCellMar>
      </w:tblPr>
      <w:tblGrid>
        <w:gridCol w:w="1746"/>
        <w:gridCol w:w="1540"/>
        <w:gridCol w:w="1543"/>
        <w:gridCol w:w="313"/>
        <w:gridCol w:w="1070"/>
        <w:gridCol w:w="161"/>
        <w:gridCol w:w="109"/>
        <w:gridCol w:w="109"/>
        <w:gridCol w:w="109"/>
        <w:gridCol w:w="300"/>
        <w:gridCol w:w="1026"/>
        <w:gridCol w:w="219"/>
      </w:tblGrid>
      <w:tr>
        <w:trPr/>
        <w:tc>
          <w:tcPr>
            <w:tcW w:w="174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associated with fulfilled performance obligations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Freight and handling fees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warranty claims costs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value added taxes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accrued liabilities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$0.4 million and $0.2 million at September 30, 2024 and December 31, 2023, respectively, associated with the purchase of property, plant and equipment.</w:t>
      </w:r>
    </w:p>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Warranties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liability for product warranty claims costs were as follows:</w:t>
      </w:r>
    </w:p>
    <w:tbl>
      <w:tblPr>
        <w:tblW w:w="6733" w:type="dxa"/>
        <w:jc w:val="left"/>
        <w:tblInd w:w="0" w:type="dxa"/>
        <w:tblLayout w:type="fixed"/>
        <w:tblCellMar>
          <w:top w:w="28" w:type="dxa"/>
          <w:left w:w="28" w:type="dxa"/>
          <w:bottom w:w="28" w:type="dxa"/>
          <w:right w:w="28" w:type="dxa"/>
        </w:tblCellMar>
      </w:tblPr>
      <w:tblGrid>
        <w:gridCol w:w="1479"/>
        <w:gridCol w:w="1306"/>
        <w:gridCol w:w="1309"/>
        <w:gridCol w:w="286"/>
        <w:gridCol w:w="633"/>
        <w:gridCol w:w="148"/>
        <w:gridCol w:w="148"/>
        <w:gridCol w:w="148"/>
        <w:gridCol w:w="148"/>
        <w:gridCol w:w="286"/>
        <w:gridCol w:w="633"/>
        <w:gridCol w:w="209"/>
      </w:tblGrid>
      <w:tr>
        <w:trPr/>
        <w:tc>
          <w:tcPr>
            <w:tcW w:w="147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0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094" w:type="dxa"/>
            <w:gridSpan w:val="3"/>
            <w:vMerge w:val="continue"/>
            <w:tcBorders/>
            <w:tcMar>
              <w:top w:w="0" w:type="dxa"/>
              <w:left w:w="0" w:type="dxa"/>
              <w:bottom w:w="0" w:type="dxa"/>
              <w:right w:w="0" w:type="dxa"/>
            </w:tcMar>
            <w:vAlign w:val="center"/>
          </w:tcPr>
          <w:p>
            <w:pPr>
              <w:pStyle w:val="Normal"/>
              <w:bidi w:val="0"/>
              <w:jc w:val="left"/>
              <w:rPr/>
            </w:pPr>
            <w:r>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warranties issued during the period</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(in cash or in kind) during the period</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Activities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our plan to restructure and optimize our manufacturing footprint while reducing our concentration risk in the PRC, we stopped all production activities and began to shut down our southwestern China factory beginning in the third quarter of 2023. We incurred no severance or other exit costs during the three months ended September 30, 2024 and $3.4 million of severance and $0.3 million of other exit costs for the three months ended September 30, 2023. We incurred $0.1 million of severance and $0.1 million of other exit costs during the nine months ended September 30, 2024 and $3.4 million of severance and $0.3 million of other exit costs for the nine months ended September 30, 2023. These costs are included within factory restructuring charges on our consolidated statements of operations. We have recognized a total of $4.2 million in factory restructuring charges since September 2023. This factory restructuring was completed in the second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quarter of 2024 and we do not expect any further expenses associated with this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Mexico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plan to restructure and optimize our factory footprint, we are working to downsize our factory in Mexico due to decreased demand in the U.S. market and our Vietnam facility's ability to supply our North American customers. We have leased a smaller facility and reduced our factory headcount during the nine months ended September 30, 2024. We revised our severance accrual downward by $0.1 million and incurred $0.2 million of other exit costs during the three months ended September 30, 2024. We incurred $1.3 million of severance and $1.3 million of other exit costs during the nine months ended September 30, 2024. These costs are included within factory restructuring charges on our consolidated statements of operations. We expect this factory restructuring to be completed in the fourth quarter of 2024 with total estimated restructuring charges of $2.6 million, including $41.0 thousand expected to be recognized subsequent to September 30,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liabilities are included in accrued compensation, accounts payable and other accrued liabilities on our consolidated balance sheets. Total restructuring activities for the nine months ended September 30, 2024 are as follows: </w:t>
      </w:r>
    </w:p>
    <w:p>
      <w:pPr>
        <w:pStyle w:val="TextBody"/>
        <w:bidi w:val="0"/>
        <w:spacing w:before="0" w:after="0"/>
        <w:jc w:val="both"/>
        <w:rPr/>
      </w:pPr>
      <w:r>
        <w:rPr/>
      </w:r>
    </w:p>
    <w:tbl>
      <w:tblPr>
        <w:tblW w:w="9672" w:type="dxa"/>
        <w:jc w:val="left"/>
        <w:tblInd w:w="0" w:type="dxa"/>
        <w:tblLayout w:type="fixed"/>
        <w:tblCellMar>
          <w:top w:w="28" w:type="dxa"/>
          <w:left w:w="28" w:type="dxa"/>
          <w:bottom w:w="28" w:type="dxa"/>
          <w:right w:w="28" w:type="dxa"/>
        </w:tblCellMar>
      </w:tblPr>
      <w:tblGrid>
        <w:gridCol w:w="2229"/>
        <w:gridCol w:w="1965"/>
        <w:gridCol w:w="1971"/>
        <w:gridCol w:w="211"/>
        <w:gridCol w:w="616"/>
        <w:gridCol w:w="109"/>
        <w:gridCol w:w="109"/>
        <w:gridCol w:w="109"/>
        <w:gridCol w:w="109"/>
        <w:gridCol w:w="211"/>
        <w:gridCol w:w="616"/>
        <w:gridCol w:w="109"/>
        <w:gridCol w:w="109"/>
        <w:gridCol w:w="109"/>
        <w:gridCol w:w="109"/>
        <w:gridCol w:w="211"/>
        <w:gridCol w:w="616"/>
        <w:gridCol w:w="154"/>
      </w:tblGrid>
      <w:tr>
        <w:trPr/>
        <w:tc>
          <w:tcPr>
            <w:tcW w:w="222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Costs</w:t>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Exit</w:t>
              <w:br/>
              <w:t>Expense</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incurred inception to date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remaining expected expense to be incurred as of September 30,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Roku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2018 Lawsuit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requests for Inter Partes Review ("IPR") and with respect to the International Trade Commission Investigation. At this time, we are only waiting for the decision of the U.S. Supreme Court with respect to Roku's appeal request (see discussion below) and once received, we expect to be able to ask the District Court to lift this stay.</w:t>
      </w:r>
    </w:p>
    <w:p>
      <w:pPr>
        <w:pStyle w:val="TextBody"/>
        <w:bidi w:val="0"/>
        <w:spacing w:before="0" w:after="0"/>
        <w:jc w:val="both"/>
        <w:rPr/>
      </w:pPr>
      <w:r>
        <w:rPr/>
      </w:r>
    </w:p>
    <w:p>
      <w:pPr>
        <w:pStyle w:val="TextBody"/>
        <w:bidi w:val="0"/>
        <w:spacing w:lineRule="auto" w:line="288" w:before="0" w:after="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International Trade Commission Investigation of Roku, TCL, Hisense and Funai</w:t>
      </w:r>
    </w:p>
    <w:p>
      <w:pPr>
        <w:pStyle w:val="TextBody"/>
        <w:bidi w:val="0"/>
        <w:spacing w:before="0" w:after="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Prior to the trial, which ended on April 23, 2021, we dismissed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TCL, Hisense and Funai from this investigation as they either removed or limited the amount of our technology from their televisions as compared to our patent claims that we asserted at the time. On July 9, 2021, the Administrative Law Judge (the "ALJ") issued his Initial Determination (the "ID") finding that Roku is infringing our patents and as a result is in violation of §337 of the Tariff Act of 1930, as amended (the "Tariff Act"). On July 23, 2021, Roku and we filed petitions to appeal certain portions of the ID. On November 10, 2021, the full ITC issued its final determination affirming the ID and issuing a Limited Exclusion Order (the "LEO") and Cease and Desist Order (the "CDO") against Roku, which became effective on January 9, 2022. In January 2022, Roku filed its appeal of the ITC ruling with the U.S. Court of Appeals for the Federal Circuit (the "USCAFC"). Oral argument for this appeal was held on September 5, 2023 and in January 2024 the USCAFC issued its decision affirming the ITC ruling in full. On March 4, 2024, Roku filed a petition for rehearing and rehearing en banc and on April 3, 2024, the USCAFC denied Roku’s petition. In June 2024, Roku advised us that they would file an appeal of the adverse ruling against them in this investigation to the U.S. Supreme Court, and on June 12, 2024, Roku filed an application seeking a 45-day extension (to August 16, 2024) to file their Writ of Certiorari. This extension was approved. Initially, we opted to waive our right to file a response to Roku’s Writ, however, the U.S. Supreme Court requested our response. We have until November 27, 2024 to file our response. Thereafter, we expect the U.S. Supreme Court to make its decision whether or not to hear Roku’s appeal.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2020 Lawsuit</w:t>
      </w:r>
    </w:p>
    <w:p>
      <w:pPr>
        <w:pStyle w:val="TextBody"/>
        <w:bidi w:val="0"/>
        <w:spacing w:before="0" w:after="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 Court stayed this lawsuit pending action by the PTAB with respect to Roku's requests for IPR and with respect to the International Trade Commission Investigation. At this time, we are only waiting for the decision of the U.S. Supreme Court with respect to Roku’s appeal request (see discussion above) and once received, we expect to be able to ask the District Court to lift this stay.</w:t>
      </w:r>
    </w:p>
    <w:p>
      <w:pPr>
        <w:pStyle w:val="TextBody"/>
        <w:bidi w:val="0"/>
        <w:spacing w:before="0" w:after="0"/>
        <w:jc w:val="both"/>
        <w:rPr/>
      </w:pPr>
      <w:r>
        <w:rPr/>
      </w:r>
    </w:p>
    <w:p>
      <w:pPr>
        <w:pStyle w:val="TextBody"/>
        <w:bidi w:val="0"/>
        <w:spacing w:lineRule="auto" w:line="288" w:before="0" w:after="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 Partes Reviews</w:t>
      </w:r>
    </w:p>
    <w:p>
      <w:pPr>
        <w:pStyle w:val="TextBody"/>
        <w:bidi w:val="0"/>
        <w:spacing w:before="0" w:after="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these litigation matters against Roku and the others identified above, Roku has filed multiple IPR requests with the PTAB on all patents at issue in the 2018 Lawsuit, the ITC Action, and the 2020 Lawsuit (see discussion above). To date, the PTAB has denied Roku's request fourteen times, and granted Roku's request twelve times. Roku has since filed two IPRs on two of our patents not yet asserted against it, and we are awaiting the PTAB's institution decision with respect to those new IPR requests. Of the twelve IPR requests granted by the PTAB, the results were mixed, with the PTAB upholding the validity of many of our patent claims and invalidating others. Most of these PTAB actions have been completed, and as soon as we learn the decision of the U.S. Supreme Court, we expect to be able to petition the District Court to lift the stay on the 2018 and 2020 cases.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International Trade Commission Investigation Request Made by Roku against UEI and certain UEI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8, 2021, Roku made a request to the ITC to initiate an investigation against us and certain of our customers claiming that certain of our and those customers' remote control devices and televisions infringe two of Roku's recently acquired patents, the '511 patent and the '875 patent. On May 10, 2021, the ITC announced its decision to initiate the requested investigation. Immediately prior to trial Roku stipulated to summary determination as to its complaint against us and two of our customers with respect to one of the two patents at issue. This stipulation resulted in the complaint against us and two of our customers with respect to that patent not going to trial. The trial was thus shortened and ended on January 24, 2022. On June 24, 2022, the ALJ, pursuant to Roku's stipulation, found the '511 patent invalid as indefinite. Thereafter, on June 28, 2022, the ALJ issued an ID fully exonerating us and our customers finding the '875 patent invalid and that Roku failed to prove it established the requisite domestic industry and thus no violation of the Tariff Act. In advance of the full Commission's review, Roku and we filed petitions to appeal certain portions of the ID. In addition, the PTAB granted our request for an IPR with respect to the '875 patent. On October 28, 2022, the full ITC issued its final determination affirming the ID, ruling there was no violation of the Tariff Act and terminated the investigation. In December 2022, Roku filed an appeal, which remains pending. In addition, Roku, along with the ITC, filed a joint motion to dismiss the '511 patent as moot as it recently expired. We are opposing this motion. Further, on October 23, 2023, the PTAB issued its Final Written Decision invalidating all of the claims Roku alleges we infringe. As a companion to its ITC request, on April 8, 2021, Roku also filed a lawsuit against us in Federal District Court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Central District of California alleging that we are infringing the same two patents they alleged being infringed in the ITC investigation explained above. This District Court case has been stayed pending the ITC case, and will likely continue to be stayed pending the conclusion of Roku's appeal of the ITC case.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Court of International Trade Action against the United States of America, et. al.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this complaint, Ecolink, RCS and we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Ecolink, RCS and we also allege that the manner in which the Lists 3 and 4A tariff actions were implemented violated the Administrative Procedures Act (the "APA") by failing to provide adequate opportunity for comments, failing to consider relevant factors when making its decision and failing to connect the record facts to the choices it made by not explaining how the comments received by USTR came to shape the final implementation of Lists 3 and 4A.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Ecolink, RCS and we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Ecolink, RCS and us; to permanently enjoin the U.S. government from applying Lists 3 and 4A duties against Ecolink, RCS and us; and award Ecolink, RCS and us our costs and reasonable attorney's fees.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CIT issued a preliminary injunction suspending liquidation of all unliquidated entries subject to Lists 3 and 4A duties and has asked the parties to develop a process to keep track of the entries to efficiently and effectively deal with liquidation process and duties to be paid or refunded when finally adjudicated. On February 5, 2022, the CIT heard oral arguments on dispositive motions filed on behalf of plaintiffs and defendants. On April 1, 2022, the CIT issued its opinion on these dispositive motions, ruling that the USTR had the legal authority to promulgate List 3 and List 4A under Section 307(a)(1)(B) of the Trade Act, but that the USTR violated the APA when it promulgated List 3 and List 4A concluding that the USTR failed to adequately explain its decision as required under the APA. The Court ordered that List 3 and List 4A be remanded to the USTR for reconsideration or further explanation regarding its rationale for imposing the tariffs. The Court declined to vacate List 3 and List 4A, which means that they are still in place while on remand. The Court's preliminary injunction regarding liquidation of entries also remains in effect. The Court initially set a deadline of June 30, 2022, for the USTR to complete this process, which was extended to August 1,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2022, the USTR provided the Court with that further explanation and also purported to respond to the significant comments received during the original notice-and-comment process. On September 14, 2022, the lead plaintiff filed its comments to the USTR's August 1, 2022 filing, asserting that the USTR did not adequately respond to the Court's remand order and requested the Court to vacate the List 3 and List 4A tariffs and issue refunds immediately. On March 17, 2023, the CIT sustained the List 3 and List 4 tariffs, concluding that USTR’s rationale in support of the tariffs was not impermissibly post hoc. The Court also concluded that USTR adequately explained its reliance on presidential direction and adequately responded to significant comments regarding the harm to the U.S. economy, efficacy of the tariffs, and alternatives to the tariffs. Lead plaintiffs have appealed this decision. The parties have fully briefed their positions on this appeal and oral argument is expected to be set for later in 2024 and a decision sometime in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Tongshun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23, 2024, Tongshun Company ("TS") filed suit against one of our subsidiaries, GTY, claiming among other things, breach of an employment agency contract, and as is standard in Chinese litigation matters such as these, TS has also requested the court to order a hold on GTY's bank account for the total claimed amount of RMB 35 million. This asset protection order is a standard request and routinely granted. On February 5, 2024, we learned that the court accepted the lawsuit filed by TS.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8, 2024, we deposited RMB 35 million (approximately $5.0 million) with the court. On July 12, 2024, we were refunded RMB 10 million (approximately $1.4 million) of the original deposit. This deposit is included in prepaid expenses and other current assets on our consolidated balance sheets. We have ongoing settlement discussions and while such discussions continue, the hearing on this matter has been stayed.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directors' and officers' liability insurance which insures our individual directors and officers against certain claims, as well as attorney's fees and related expenses incurred in connection with the defense of such claims.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Treasury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Board of Directors authorizes management to repurchase shares of our issued and outstanding common stock. On October 26, 2023, our Board approved a share repurchase program with an effective date of November 7, 2023 (the "October 2023 Program"). Pursuant to the October 2023 Program, we are authorized to repurchase up to 1,000,000 shares of our common stock. At September 30, 2024, we had 778,362 shares available for repurchase under the October 2023 Program. Per the terms of the October 2023 Program, we may utilize various methods to effect the repurchases, including open market repurchases, negotiated block transactions, accelerated share repurchases or open market solicitations for shares, some or all of which could be effected through Rule 10b5-1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repurchase shares of our issued and outstanding common stock to satisfy the cost of stock option exercises and/or income tax withholding obligations relating to the stock-based compensation of our employees and directors.</w: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Repurchased shares of our common stock were as follows: </w:t>
      </w:r>
    </w:p>
    <w:tbl>
      <w:tblPr>
        <w:tblW w:w="7692" w:type="dxa"/>
        <w:jc w:val="left"/>
        <w:tblInd w:w="0" w:type="dxa"/>
        <w:tblLayout w:type="fixed"/>
        <w:tblCellMar>
          <w:top w:w="28" w:type="dxa"/>
          <w:left w:w="28" w:type="dxa"/>
          <w:bottom w:w="28" w:type="dxa"/>
          <w:right w:w="28" w:type="dxa"/>
        </w:tblCellMar>
      </w:tblPr>
      <w:tblGrid>
        <w:gridCol w:w="1827"/>
        <w:gridCol w:w="1612"/>
        <w:gridCol w:w="1616"/>
        <w:gridCol w:w="266"/>
        <w:gridCol w:w="776"/>
        <w:gridCol w:w="137"/>
        <w:gridCol w:w="137"/>
        <w:gridCol w:w="137"/>
        <w:gridCol w:w="137"/>
        <w:gridCol w:w="266"/>
        <w:gridCol w:w="587"/>
        <w:gridCol w:w="194"/>
      </w:tblGrid>
      <w:tr>
        <w:trPr/>
        <w:tc>
          <w:tcPr>
            <w:tcW w:w="1827"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market shares repurchased</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related shares repurchased</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repurchased</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open market shares repurchased</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stock-based compensation related shares repurchased</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shares repurchased</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Repurchased shares are recorded as shares held in treasury at cost. We hold these shares for future use as management and the Board of Directors deem appropriate.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 Stock-Based Compensation</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each employee and director is presented in the same statement of operations caption as their cash compensation. Stock-based compensation expense by statement of operations caption and the related income tax benefit were as follows:</w:t>
      </w:r>
    </w:p>
    <w:tbl>
      <w:tblPr>
        <w:tblW w:w="10205" w:type="dxa"/>
        <w:jc w:val="left"/>
        <w:tblInd w:w="0" w:type="dxa"/>
        <w:tblLayout w:type="fixed"/>
        <w:tblCellMar>
          <w:top w:w="28" w:type="dxa"/>
          <w:left w:w="28" w:type="dxa"/>
          <w:bottom w:w="28" w:type="dxa"/>
          <w:right w:w="28" w:type="dxa"/>
        </w:tblCellMar>
      </w:tblPr>
      <w:tblGrid>
        <w:gridCol w:w="1704"/>
        <w:gridCol w:w="1486"/>
        <w:gridCol w:w="1501"/>
        <w:gridCol w:w="249"/>
        <w:gridCol w:w="731"/>
        <w:gridCol w:w="129"/>
        <w:gridCol w:w="129"/>
        <w:gridCol w:w="129"/>
        <w:gridCol w:w="129"/>
        <w:gridCol w:w="249"/>
        <w:gridCol w:w="731"/>
        <w:gridCol w:w="129"/>
        <w:gridCol w:w="109"/>
        <w:gridCol w:w="109"/>
        <w:gridCol w:w="109"/>
        <w:gridCol w:w="242"/>
        <w:gridCol w:w="707"/>
        <w:gridCol w:w="125"/>
        <w:gridCol w:w="125"/>
        <w:gridCol w:w="125"/>
        <w:gridCol w:w="125"/>
        <w:gridCol w:w="242"/>
        <w:gridCol w:w="707"/>
        <w:gridCol w:w="184"/>
      </w:tblGrid>
      <w:tr>
        <w:trPr/>
        <w:tc>
          <w:tcPr>
            <w:tcW w:w="170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Outside directors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employee and director stock-based compensation expense</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award activity was as follows:</w:t>
      </w:r>
    </w:p>
    <w:tbl>
      <w:tblPr>
        <w:tblW w:w="7584" w:type="dxa"/>
        <w:jc w:val="left"/>
        <w:tblInd w:w="0" w:type="dxa"/>
        <w:tblLayout w:type="fixed"/>
        <w:tblCellMar>
          <w:top w:w="28" w:type="dxa"/>
          <w:left w:w="28" w:type="dxa"/>
          <w:bottom w:w="28" w:type="dxa"/>
          <w:right w:w="28" w:type="dxa"/>
        </w:tblCellMar>
      </w:tblPr>
      <w:tblGrid>
        <w:gridCol w:w="1055"/>
        <w:gridCol w:w="926"/>
        <w:gridCol w:w="928"/>
        <w:gridCol w:w="374"/>
        <w:gridCol w:w="374"/>
        <w:gridCol w:w="376"/>
        <w:gridCol w:w="109"/>
        <w:gridCol w:w="109"/>
        <w:gridCol w:w="109"/>
        <w:gridCol w:w="693"/>
        <w:gridCol w:w="2023"/>
        <w:gridCol w:w="508"/>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September 30, 2024</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expect to recognize $6.0 million of total unrecognized pre-tax stock-based compensation expense related to non-vested restricted stock awards over a weighted-average life of 1.8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Stock</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Non-vested performance stock award activity was as follows:</w:t>
      </w:r>
    </w:p>
    <w:tbl>
      <w:tblPr>
        <w:tblW w:w="7585" w:type="dxa"/>
        <w:jc w:val="left"/>
        <w:tblInd w:w="0" w:type="dxa"/>
        <w:tblLayout w:type="fixed"/>
        <w:tblCellMar>
          <w:top w:w="28" w:type="dxa"/>
          <w:left w:w="28" w:type="dxa"/>
          <w:bottom w:w="28" w:type="dxa"/>
          <w:right w:w="28" w:type="dxa"/>
        </w:tblCellMar>
      </w:tblPr>
      <w:tblGrid>
        <w:gridCol w:w="1055"/>
        <w:gridCol w:w="926"/>
        <w:gridCol w:w="928"/>
        <w:gridCol w:w="374"/>
        <w:gridCol w:w="374"/>
        <w:gridCol w:w="376"/>
        <w:gridCol w:w="109"/>
        <w:gridCol w:w="109"/>
        <w:gridCol w:w="109"/>
        <w:gridCol w:w="776"/>
        <w:gridCol w:w="1881"/>
        <w:gridCol w:w="568"/>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September 30, 2024</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we utilized in the Monte Carlo simulation model and the resulting weighted average fair value of performance stock grants were the following:</w:t>
      </w:r>
    </w:p>
    <w:tbl>
      <w:tblPr>
        <w:tblW w:w="9237" w:type="dxa"/>
        <w:jc w:val="left"/>
        <w:tblInd w:w="0" w:type="dxa"/>
        <w:tblLayout w:type="fixed"/>
        <w:tblCellMar>
          <w:top w:w="28" w:type="dxa"/>
          <w:left w:w="28" w:type="dxa"/>
          <w:bottom w:w="28" w:type="dxa"/>
          <w:right w:w="28" w:type="dxa"/>
        </w:tblCellMar>
      </w:tblPr>
      <w:tblGrid>
        <w:gridCol w:w="1142"/>
        <w:gridCol w:w="1001"/>
        <w:gridCol w:w="1007"/>
        <w:gridCol w:w="638"/>
        <w:gridCol w:w="1228"/>
        <w:gridCol w:w="819"/>
        <w:gridCol w:w="109"/>
        <w:gridCol w:w="109"/>
        <w:gridCol w:w="109"/>
        <w:gridCol w:w="551"/>
        <w:gridCol w:w="1335"/>
        <w:gridCol w:w="708"/>
        <w:gridCol w:w="109"/>
        <w:gridCol w:w="109"/>
        <w:gridCol w:w="109"/>
        <w:gridCol w:w="154"/>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fair value of grants</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expect to recognize $0.4 million of total unrecognized pre-tax stock-based compensation expense related to non-vested performance stock awards over a weighted-average life of 2.1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was as follows:    </w:t>
      </w:r>
    </w:p>
    <w:tbl>
      <w:tblPr>
        <w:tblW w:w="10205" w:type="dxa"/>
        <w:jc w:val="left"/>
        <w:tblInd w:w="0" w:type="dxa"/>
        <w:tblLayout w:type="fixed"/>
        <w:tblCellMar>
          <w:top w:w="28" w:type="dxa"/>
          <w:left w:w="28" w:type="dxa"/>
          <w:bottom w:w="28" w:type="dxa"/>
          <w:right w:w="28" w:type="dxa"/>
        </w:tblCellMar>
      </w:tblPr>
      <w:tblGrid>
        <w:gridCol w:w="939"/>
        <w:gridCol w:w="801"/>
        <w:gridCol w:w="802"/>
        <w:gridCol w:w="363"/>
        <w:gridCol w:w="363"/>
        <w:gridCol w:w="365"/>
        <w:gridCol w:w="109"/>
        <w:gridCol w:w="109"/>
        <w:gridCol w:w="109"/>
        <w:gridCol w:w="425"/>
        <w:gridCol w:w="1245"/>
        <w:gridCol w:w="221"/>
        <w:gridCol w:w="109"/>
        <w:gridCol w:w="109"/>
        <w:gridCol w:w="109"/>
        <w:gridCol w:w="779"/>
        <w:gridCol w:w="779"/>
        <w:gridCol w:w="780"/>
        <w:gridCol w:w="109"/>
        <w:gridCol w:w="109"/>
        <w:gridCol w:w="109"/>
        <w:gridCol w:w="369"/>
        <w:gridCol w:w="713"/>
        <w:gridCol w:w="280"/>
      </w:tblGrid>
      <w:tr>
        <w:trPr/>
        <w:tc>
          <w:tcPr>
            <w:tcW w:w="93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br/>
              <w:t>(in thousands)</w:t>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Forfeited/canceled/expired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Outstanding at September 30, 2024</w:t>
            </w:r>
            <w:r>
              <w:rPr>
                <w:color w:val="000000"/>
              </w:rPr>
              <w:t xml:space="preserve"> </w:t>
            </w:r>
            <w:r>
              <w:rPr>
                <w:rFonts w:ascii="Times New Roman;sans-serif" w:hAnsi="Times New Roman;sans-serif"/>
                <w:b w:val="false"/>
                <w:color w:val="000000"/>
                <w:sz w:val="13"/>
              </w:rPr>
              <w:t>(1)</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Vested and expected to vest at September 30, 2024</w:t>
            </w:r>
            <w:r>
              <w:rPr>
                <w:color w:val="000000"/>
              </w:rPr>
              <w:t xml:space="preserve"> </w:t>
            </w:r>
            <w:r>
              <w:rPr>
                <w:rFonts w:ascii="Times New Roman;sans-serif" w:hAnsi="Times New Roman;sans-serif"/>
                <w:b w:val="false"/>
                <w:color w:val="000000"/>
                <w:sz w:val="13"/>
              </w:rPr>
              <w:t>(1)</w:t>
            </w:r>
          </w:p>
        </w:tc>
        <w:tc>
          <w:tcPr>
            <w:tcW w:w="7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3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Exercisable at September 30, 2024</w:t>
            </w:r>
            <w:r>
              <w:rPr>
                <w:color w:val="000000"/>
              </w:rPr>
              <w:t xml:space="preserve"> </w:t>
            </w:r>
            <w:r>
              <w:rPr>
                <w:rFonts w:ascii="Times New Roman;sans-serif" w:hAnsi="Times New Roman;sans-serif"/>
                <w:b w:val="false"/>
                <w:color w:val="000000"/>
                <w:sz w:val="13"/>
              </w:rPr>
              <w:t>(1)</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The aggregate intrinsic value represents the total pre-tax value (the difference between our closing stock price on the last trading day of the third quarter of 2024 and the exercise price, multiplied by the number of in-the-money options) that would have been received by the option holders had they all exercised their options on September 30, 2024. This amount will change based on the fair market value of our stock. </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we utilized in the Black-Scholes option pricing model and the resulting weighted average fair value of stock option grants were the following:</w:t>
      </w:r>
    </w:p>
    <w:tbl>
      <w:tblPr>
        <w:tblW w:w="9020" w:type="dxa"/>
        <w:jc w:val="left"/>
        <w:tblInd w:w="0" w:type="dxa"/>
        <w:tblLayout w:type="fixed"/>
        <w:tblCellMar>
          <w:top w:w="28" w:type="dxa"/>
          <w:left w:w="28" w:type="dxa"/>
          <w:bottom w:w="28" w:type="dxa"/>
          <w:right w:w="28" w:type="dxa"/>
        </w:tblCellMar>
      </w:tblPr>
      <w:tblGrid>
        <w:gridCol w:w="1142"/>
        <w:gridCol w:w="1001"/>
        <w:gridCol w:w="1007"/>
        <w:gridCol w:w="638"/>
        <w:gridCol w:w="1228"/>
        <w:gridCol w:w="819"/>
        <w:gridCol w:w="109"/>
        <w:gridCol w:w="109"/>
        <w:gridCol w:w="109"/>
        <w:gridCol w:w="109"/>
        <w:gridCol w:w="109"/>
        <w:gridCol w:w="487"/>
        <w:gridCol w:w="1423"/>
        <w:gridCol w:w="730"/>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fair value of grants</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8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expect to recognize $1.3 million of total unrecognized pre-tax stock-based compensation expense related to non-vested stock options over a remaining weighted-average life of 1.2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 Other Income (Expense), Net</w:t>
      </w:r>
    </w:p>
    <w:p>
      <w:pPr>
        <w:pStyle w:val="TextBody"/>
        <w:bidi w:val="0"/>
        <w:spacing w:before="0" w:after="0"/>
        <w:jc w:val="left"/>
        <w:rPr/>
      </w:pPr>
      <w:r>
        <w:rPr/>
      </w:r>
    </w:p>
    <w:p>
      <w:pPr>
        <w:pStyle w:val="TextBody"/>
        <w:bidi w:val="0"/>
        <w:spacing w:lineRule="auto" w:line="288" w:before="0" w:after="60"/>
        <w:jc w:val="left"/>
        <w:rPr/>
      </w:pPr>
      <w:r>
        <w:rPr>
          <w:rFonts w:ascii="Times New Roman;sans-serif" w:hAnsi="Times New Roman;sans-serif"/>
          <w:b w:val="false"/>
          <w:color w:val="000000"/>
          <w:sz w:val="20"/>
        </w:rPr>
        <w:t>Other income (expense), net consisted of the following:</w:t>
      </w:r>
      <w:r>
        <w:rPr>
          <w:color w:val="000000"/>
        </w:rPr>
        <w:t> </w:t>
      </w:r>
    </w:p>
    <w:tbl>
      <w:tblPr>
        <w:tblW w:w="10205" w:type="dxa"/>
        <w:jc w:val="left"/>
        <w:tblInd w:w="0" w:type="dxa"/>
        <w:tblLayout w:type="fixed"/>
        <w:tblCellMar>
          <w:top w:w="28" w:type="dxa"/>
          <w:left w:w="28" w:type="dxa"/>
          <w:bottom w:w="28" w:type="dxa"/>
          <w:right w:w="28" w:type="dxa"/>
        </w:tblCellMar>
      </w:tblPr>
      <w:tblGrid>
        <w:gridCol w:w="1674"/>
        <w:gridCol w:w="1467"/>
        <w:gridCol w:w="1471"/>
        <w:gridCol w:w="283"/>
        <w:gridCol w:w="626"/>
        <w:gridCol w:w="146"/>
        <w:gridCol w:w="146"/>
        <w:gridCol w:w="146"/>
        <w:gridCol w:w="146"/>
        <w:gridCol w:w="283"/>
        <w:gridCol w:w="725"/>
        <w:gridCol w:w="146"/>
        <w:gridCol w:w="109"/>
        <w:gridCol w:w="109"/>
        <w:gridCol w:w="109"/>
        <w:gridCol w:w="254"/>
        <w:gridCol w:w="562"/>
        <w:gridCol w:w="131"/>
        <w:gridCol w:w="131"/>
        <w:gridCol w:w="131"/>
        <w:gridCol w:w="131"/>
        <w:gridCol w:w="254"/>
        <w:gridCol w:w="832"/>
        <w:gridCol w:w="193"/>
      </w:tblGrid>
      <w:tr>
        <w:trPr/>
        <w:tc>
          <w:tcPr>
            <w:tcW w:w="167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Net gain (loss) on foreign currency exchange contracts </w:t>
            </w:r>
            <w:r>
              <w:rPr>
                <w:rFonts w:ascii="Times New Roman;sans-serif" w:hAnsi="Times New Roman;sans-serif"/>
                <w:b w:val="false"/>
                <w:color w:val="000000"/>
                <w:sz w:val="13"/>
              </w:rPr>
              <w:t>(1)</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foreign currency exchange transactions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This represents the gains (losses) incurred on foreign currency hedging derivatives (see Note 17 for further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 Earnings (Loss) Per Share</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was calculated as follows:</w:t>
      </w:r>
    </w:p>
    <w:tbl>
      <w:tblPr>
        <w:tblW w:w="10205" w:type="dxa"/>
        <w:jc w:val="left"/>
        <w:tblInd w:w="0" w:type="dxa"/>
        <w:tblLayout w:type="fixed"/>
        <w:tblCellMar>
          <w:top w:w="28" w:type="dxa"/>
          <w:left w:w="28" w:type="dxa"/>
          <w:bottom w:w="28" w:type="dxa"/>
          <w:right w:w="28" w:type="dxa"/>
        </w:tblCellMar>
      </w:tblPr>
      <w:tblGrid>
        <w:gridCol w:w="1823"/>
        <w:gridCol w:w="1432"/>
        <w:gridCol w:w="1438"/>
        <w:gridCol w:w="224"/>
        <w:gridCol w:w="722"/>
        <w:gridCol w:w="116"/>
        <w:gridCol w:w="116"/>
        <w:gridCol w:w="116"/>
        <w:gridCol w:w="116"/>
        <w:gridCol w:w="224"/>
        <w:gridCol w:w="834"/>
        <w:gridCol w:w="116"/>
        <w:gridCol w:w="109"/>
        <w:gridCol w:w="109"/>
        <w:gridCol w:w="109"/>
        <w:gridCol w:w="212"/>
        <w:gridCol w:w="787"/>
        <w:gridCol w:w="109"/>
        <w:gridCol w:w="109"/>
        <w:gridCol w:w="109"/>
        <w:gridCol w:w="109"/>
        <w:gridCol w:w="212"/>
        <w:gridCol w:w="787"/>
        <w:gridCol w:w="167"/>
      </w:tblGrid>
      <w:tr>
        <w:trPr/>
        <w:tc>
          <w:tcPr>
            <w:tcW w:w="182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per-share amounts)</w:t>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(91,136)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9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12,911 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12,839 </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(loss) per share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(91,136)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for basic</w:t>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12,911 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12,839 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restricted stock and performance stock</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on a diluted basis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(loss) per share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number of stock options, shares of restricted stock and shares of performance stock were excluded from the computation of diluted earnings per common share as their inclusion would have been anti-dilutive: </w:t>
      </w:r>
    </w:p>
    <w:tbl>
      <w:tblPr>
        <w:tblW w:w="7849" w:type="dxa"/>
        <w:jc w:val="left"/>
        <w:tblInd w:w="0" w:type="dxa"/>
        <w:tblLayout w:type="fixed"/>
        <w:tblCellMar>
          <w:top w:w="28" w:type="dxa"/>
          <w:left w:w="28" w:type="dxa"/>
          <w:bottom w:w="28" w:type="dxa"/>
          <w:right w:w="28" w:type="dxa"/>
        </w:tblCellMar>
      </w:tblPr>
      <w:tblGrid>
        <w:gridCol w:w="797"/>
        <w:gridCol w:w="703"/>
        <w:gridCol w:w="704"/>
        <w:gridCol w:w="298"/>
        <w:gridCol w:w="298"/>
        <w:gridCol w:w="298"/>
        <w:gridCol w:w="298"/>
        <w:gridCol w:w="298"/>
        <w:gridCol w:w="298"/>
        <w:gridCol w:w="298"/>
        <w:gridCol w:w="298"/>
        <w:gridCol w:w="298"/>
        <w:gridCol w:w="109"/>
        <w:gridCol w:w="109"/>
        <w:gridCol w:w="109"/>
        <w:gridCol w:w="280"/>
        <w:gridCol w:w="280"/>
        <w:gridCol w:w="280"/>
        <w:gridCol w:w="280"/>
        <w:gridCol w:w="280"/>
        <w:gridCol w:w="280"/>
        <w:gridCol w:w="280"/>
        <w:gridCol w:w="280"/>
        <w:gridCol w:w="396"/>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awards</w:t>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 Derivatives</w:t>
      </w:r>
    </w:p>
    <w:p>
      <w:pPr>
        <w:pStyle w:val="TextBody"/>
        <w:bidi w:val="0"/>
        <w:spacing w:before="0" w:after="0"/>
        <w:jc w:val="left"/>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net fair value of derivatives:</w:t>
      </w:r>
    </w:p>
    <w:tbl>
      <w:tblPr>
        <w:tblW w:w="10205" w:type="dxa"/>
        <w:jc w:val="center"/>
        <w:tblInd w:w="0" w:type="dxa"/>
        <w:tblLayout w:type="fixed"/>
        <w:tblCellMar>
          <w:top w:w="28" w:type="dxa"/>
          <w:left w:w="28" w:type="dxa"/>
          <w:bottom w:w="28" w:type="dxa"/>
          <w:right w:w="28" w:type="dxa"/>
        </w:tblCellMar>
      </w:tblPr>
      <w:tblGrid>
        <w:gridCol w:w="559"/>
        <w:gridCol w:w="454"/>
        <w:gridCol w:w="455"/>
        <w:gridCol w:w="109"/>
        <w:gridCol w:w="109"/>
        <w:gridCol w:w="109"/>
        <w:gridCol w:w="211"/>
        <w:gridCol w:w="406"/>
        <w:gridCol w:w="109"/>
        <w:gridCol w:w="109"/>
        <w:gridCol w:w="109"/>
        <w:gridCol w:w="109"/>
        <w:gridCol w:w="211"/>
        <w:gridCol w:w="466"/>
        <w:gridCol w:w="109"/>
        <w:gridCol w:w="109"/>
        <w:gridCol w:w="109"/>
        <w:gridCol w:w="109"/>
        <w:gridCol w:w="211"/>
        <w:gridCol w:w="406"/>
        <w:gridCol w:w="109"/>
        <w:gridCol w:w="109"/>
        <w:gridCol w:w="109"/>
        <w:gridCol w:w="109"/>
        <w:gridCol w:w="233"/>
        <w:gridCol w:w="515"/>
        <w:gridCol w:w="120"/>
        <w:gridCol w:w="109"/>
        <w:gridCol w:w="109"/>
        <w:gridCol w:w="109"/>
        <w:gridCol w:w="211"/>
        <w:gridCol w:w="406"/>
        <w:gridCol w:w="109"/>
        <w:gridCol w:w="109"/>
        <w:gridCol w:w="109"/>
        <w:gridCol w:w="109"/>
        <w:gridCol w:w="211"/>
        <w:gridCol w:w="391"/>
        <w:gridCol w:w="109"/>
        <w:gridCol w:w="109"/>
        <w:gridCol w:w="109"/>
        <w:gridCol w:w="109"/>
        <w:gridCol w:w="211"/>
        <w:gridCol w:w="406"/>
        <w:gridCol w:w="109"/>
        <w:gridCol w:w="109"/>
        <w:gridCol w:w="109"/>
        <w:gridCol w:w="109"/>
        <w:gridCol w:w="235"/>
        <w:gridCol w:w="441"/>
        <w:gridCol w:w="176"/>
      </w:tblGrid>
      <w:tr>
        <w:trPr/>
        <w:tc>
          <w:tcPr>
            <w:tcW w:w="55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Balance</w:t>
            </w:r>
          </w:p>
        </w:tc>
      </w:tr>
      <w:tr>
        <w:trPr/>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held foreign currency exchange contracts, which resulted in a net pre-tax gain of $0.4 million and net pre-tax gain of $19 thousand for the three months ended September 30, 2024 and 2023, respectively. For the nine months ended September 30, 2024 and 2023, we had a net pre-tax gain of $0.2 million and a net pre-tax loss of $2.8 million, respectively.</w:t>
      </w:r>
    </w:p>
    <w:p>
      <w:pPr>
        <w:pStyle w:val="TextBody"/>
        <w:bidi w:val="0"/>
        <w:spacing w:before="0" w:after="0"/>
        <w:jc w:val="both"/>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Details of foreign currency exchange contracts held were as follows: </w:t>
      </w:r>
    </w:p>
    <w:tbl>
      <w:tblPr>
        <w:tblW w:w="10205" w:type="dxa"/>
        <w:jc w:val="left"/>
        <w:tblInd w:w="0" w:type="dxa"/>
        <w:tblLayout w:type="fixed"/>
        <w:tblCellMar>
          <w:top w:w="28" w:type="dxa"/>
          <w:left w:w="28" w:type="dxa"/>
          <w:bottom w:w="28" w:type="dxa"/>
          <w:right w:w="28" w:type="dxa"/>
        </w:tblCellMar>
      </w:tblPr>
      <w:tblGrid>
        <w:gridCol w:w="435"/>
        <w:gridCol w:w="383"/>
        <w:gridCol w:w="391"/>
        <w:gridCol w:w="109"/>
        <w:gridCol w:w="109"/>
        <w:gridCol w:w="109"/>
        <w:gridCol w:w="468"/>
        <w:gridCol w:w="468"/>
        <w:gridCol w:w="474"/>
        <w:gridCol w:w="109"/>
        <w:gridCol w:w="109"/>
        <w:gridCol w:w="109"/>
        <w:gridCol w:w="269"/>
        <w:gridCol w:w="269"/>
        <w:gridCol w:w="270"/>
        <w:gridCol w:w="109"/>
        <w:gridCol w:w="109"/>
        <w:gridCol w:w="109"/>
        <w:gridCol w:w="239"/>
        <w:gridCol w:w="580"/>
        <w:gridCol w:w="123"/>
        <w:gridCol w:w="109"/>
        <w:gridCol w:w="109"/>
        <w:gridCol w:w="109"/>
        <w:gridCol w:w="379"/>
        <w:gridCol w:w="353"/>
        <w:gridCol w:w="290"/>
        <w:gridCol w:w="109"/>
        <w:gridCol w:w="109"/>
        <w:gridCol w:w="109"/>
        <w:gridCol w:w="471"/>
        <w:gridCol w:w="1044"/>
        <w:gridCol w:w="246"/>
        <w:gridCol w:w="109"/>
        <w:gridCol w:w="109"/>
        <w:gridCol w:w="109"/>
        <w:gridCol w:w="316"/>
        <w:gridCol w:w="316"/>
        <w:gridCol w:w="459"/>
      </w:tblGrid>
      <w:tr>
        <w:trPr/>
        <w:tc>
          <w:tcPr>
            <w:tcW w:w="4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Forward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Unrealized Gain/(Loss) Recorded at Balance Sheet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p>
            <w:pPr>
              <w:pStyle w:val="TableContents"/>
              <w:bidi w:val="0"/>
              <w:spacing w:lineRule="auto" w:line="240" w:before="0" w:after="0"/>
              <w:jc w:val="center"/>
              <w:rPr/>
            </w:pPr>
            <w:r>
              <w:rPr>
                <w:rFonts w:ascii="Times New Roman;sans-serif" w:hAnsi="Times New Roman;sans-serif"/>
                <w:b/>
                <w:color w:val="000000"/>
                <w:sz w:val="16"/>
              </w:rPr>
              <w:t>(in thousands)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 Date</w:t>
            </w:r>
          </w:p>
        </w:tc>
      </w:tr>
      <w:tr>
        <w:trPr/>
        <w:tc>
          <w:tcPr>
            <w:tcW w:w="1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USD/Chinese Yuan Renminbi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7.0991 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8, 2024</w:t>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USD/Euro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4, 2024</w:t>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USD/Chinese Yuan Renminbi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5, 2024</w:t>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USD/Euro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5, 2024</w:t>
            </w:r>
          </w:p>
        </w:tc>
      </w:tr>
      <w:tr>
        <w:trPr/>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Unrealized gains on foreign currency exchange contracts are recorded in prepaid expenses and other current assets. Unrealized losses on foreign currency exchange contracts are recorded in other accrued liabilities.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the Consolidated Financial Statements and the related notes that appear elsewhere in this report.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Cautionary Statement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statements in this report are made as of the date this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Form 10-Q is filed with the SEC. Forward-looking statements include supply chain issues; other future demand and recovery trends and expectations; the delay by or failure of our customers to order products from us; continued availability of cash through borrowing under our revolving lines of credit; the effects of natural or other events beyond our control, including the effects of political unrest, war, terrorist activities, other hostilities, or the outbreak of infectious diseases may have on us or the economy; the economic environments, including increases in interest rates and recessionary effects on us or our customers; the effects of doing business internationally, including expanded use of tariffs, pertaining to the importation of our products, particularly in light of the recent U.S. Presidential election; our expectations regarding our ability to meet our liquidity requirements; our capital expenditures and other investment spending expectations;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2023 ("2023 Form 10-K"), Part II, Item 1A of this report, and other factors we describe from time to time in our periodic filings with the SEC.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design, develop, manufacture, ship and support control and sensor technology solutions and a broad line of universal control systems, audio-video ("AV") accessories, wireless security and smart home products that are used by the world's leading brands in the video services, consumer electronics, climate control, security, home automation and home appliance markets. Our product and technology offerings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easy-to-use, voice-enabled, automatically-programmed universal, two-way radio frequency ("RF") as well as infrared ("IR") remote controls, sold primarily to video service providers (cable, satellite, Internet Protocol television ("IPTV") and Over the Top ("OTT") services), original equipment manufacturers ("OEMs"), retailers, and private label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wall-mount and handheld thermostat controllers and connected accessories for smart energy management systems, primarily to OEM customers, as well as hotels, hospitality and system integrators;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proprietary and standards-based RF sensors designed for residential security, safety and home automation applications;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integrated circuits ("ICs"), on which our software and universal device control database is embedded, sold primarily to OEMs, video service providers, and private label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software, firmware and technology solutions that can enable devices such as Smart TVs, hybrid set-top boxes, audio systems, smart speakers, game consoles and other consumer electronic and smart home devices to wirelessly connect and interoperate within home networks to enable control and delivery of home entertainment, smart home services and device or system information;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cloud-services that support our embedded software and hardware solutions (directly or indirectly) enabling real-time device identification and system control;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intellectual property that we license primarily to OEMs and video service providers;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embedded and cloud-enabled software for reliable firmware update provisioning and digital rights management validation services to major consumer electronics brands;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AV accessories sold, directly and indirectly, to consumers including universal remote controls, television wall mounts and stands and digital television antennas.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key factor in creating products and software for control of entertainment devices is our proprietary device knowledge. Each year our device discovery and control libraries continue to grow across AV and smart home platforms, supporting many common smart home protocols, including IR, HDMI-CEC, Zigbee (Rf4CE), Z-Wave, IP, as well as Home Network and Cloud Control.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Internet of Things ("IoT") devices. These control codes are captured directly from original control devices or from the manufacturer's written specifications to ensure the accuracy and integrity of the library.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as one business segment. We have one domestic subsidiary and 24 international subsidiaries located in Brazil, British Virgin Islands, France, Germany, Hong Kong (3), India, Italy, Japan, Korea, Mexico (2), the Netherlands, People's Republic of China (the "PRC") (6), Singapore, Spain, United Kingdom and Vietnam.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recap our results for the three months ended September 30, 2024: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Net sales decreased 4.7% to $102.1 million for the three months ended September 30, 2024 from $107.1 million for the three months ended September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gross margin percentage increased to 30.1% for the three months ended September 30, 2024 from 19.1% for the three months ended September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Operating expenses, as a percentage of net sales, decreased to 29.7% for the three months ended September 30, 2024 from 32.2% for the three months ended September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operating income was $0.4 million for the three months ended September 30, 2024 compared to operating loss of $14.0 million for the three months ended September 30, 2023. Our operating income percentage was 0.4% for the three months ended September 30, 2024, compared to an operating loss percentage of 13.1% for the three months ended September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Income tax expense was $2.5 million for the three months ended September 30, 2024 compared to $3.3 million for the three months ended September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strategic business objectives for 2024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deliver new standard products, as well as custom variants, currently on our project development backlog, specifically in the climate control channel;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broaden our home control and home automation product offerings with the aim of acquiring new customers that represent market share leaders in their respective channels and regions;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expand our software and service platform, QuickSet, to deliver new features that enhance the personalization and engagement of users on smart entertainment and smart home platforms;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execute go-to-market strategies that help position our sustainable technology in our major verticals;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seek acquisitions or strategic partners that complement and strengthen our existing business;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expedite our long-term factory planning strategy to optimize our manufacturing footprint.</w:t>
      </w:r>
    </w:p>
    <w:p>
      <w:pPr>
        <w:pStyle w:val="TextBody"/>
        <w:bidi w:val="0"/>
        <w:spacing w:before="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Macroeconomic Conditions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negatively impacted and we expect to continue to be negatively impacted by adverse macroeconomic conditions, in particular reduced consumer spending on durable goods. We have also been adversely impacted by inflationary pressures, including increased component and logistics costs and increases in wages and costs of borrowing funds. To help offset these negative impacts, we have implemented cost saving measures including rightsizing our manufacturing footprint and reducing operational and administrative headcount; however, such measures may not fully offset the impact of lower sales demand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increases, which would negatively impact our gross margins and overall financial results. Management will continue to seek ways to lessen the impact these pressures may have on our margins and overall financial results by executing on our plan to reduce our manufacturing overhead and to locate alternative and less expensive sources of component parts and materials.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Manufacturing Footprint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evaluating our global manufacturing footprint based upon our long-term factory planning strategy to reduce our manufacturing capacity due to decreased demand and a change in mix of our products. As part of this evaluation, we are working to downsize and streamline the Mexico operations by moving to a smaller, more efficient facility. We commenced operations in this downsized facility in the second quarter of 2024. We continue to evaluate our global factory footprint to identify ways to operate more efficiently. Decisions may result in charges that could have a material effect on the consolidated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income taxes. Actual results may differ from these judgments and estimates, and they may be adjusted as more information becomes available. Any adjustment may be significant and may have a material impact on our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nine months ended September 30, 2024 to the items that we disclosed as our critical accounting policies and estimates in Item 7, "Management's Discussion and Analysis of Financial Condition and Results of Operations" contained in our 2023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contained in the "Notes to Consolidated Financial Statements" for a discussion of recent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reported results of operations expressed as a percentage of net sales for the periods indicated.</w:t>
      </w:r>
    </w:p>
    <w:tbl>
      <w:tblPr>
        <w:tblW w:w="10205" w:type="dxa"/>
        <w:jc w:val="left"/>
        <w:tblInd w:w="0" w:type="dxa"/>
        <w:tblLayout w:type="fixed"/>
        <w:tblCellMar>
          <w:top w:w="28" w:type="dxa"/>
          <w:left w:w="28" w:type="dxa"/>
          <w:bottom w:w="28" w:type="dxa"/>
          <w:right w:w="28" w:type="dxa"/>
        </w:tblCellMar>
      </w:tblPr>
      <w:tblGrid>
        <w:gridCol w:w="1602"/>
        <w:gridCol w:w="1136"/>
        <w:gridCol w:w="1149"/>
        <w:gridCol w:w="308"/>
        <w:gridCol w:w="308"/>
        <w:gridCol w:w="549"/>
        <w:gridCol w:w="220"/>
        <w:gridCol w:w="220"/>
        <w:gridCol w:w="220"/>
        <w:gridCol w:w="308"/>
        <w:gridCol w:w="308"/>
        <w:gridCol w:w="549"/>
        <w:gridCol w:w="109"/>
        <w:gridCol w:w="109"/>
        <w:gridCol w:w="109"/>
        <w:gridCol w:w="308"/>
        <w:gridCol w:w="308"/>
        <w:gridCol w:w="523"/>
        <w:gridCol w:w="210"/>
        <w:gridCol w:w="210"/>
        <w:gridCol w:w="210"/>
        <w:gridCol w:w="308"/>
        <w:gridCol w:w="308"/>
        <w:gridCol w:w="616"/>
      </w:tblGrid>
      <w:tr>
        <w:trPr/>
        <w:tc>
          <w:tcPr>
            <w:tcW w:w="160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Factory restructuring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Three Months Ended September 30, 2024 versus Three Months Ended September 30, 2023</w:t>
      </w:r>
    </w:p>
    <w:p>
      <w:pPr>
        <w:pStyle w:val="TextBody"/>
        <w:bidi w:val="0"/>
        <w:spacing w:lineRule="auto" w:line="288" w:before="0" w:after="0"/>
        <w:jc w:val="both"/>
        <w:rPr/>
      </w:pPr>
      <w:r>
        <w:rPr>
          <w:rFonts w:ascii="Times New Roman;sans-serif" w:hAnsi="Times New Roman;sans-serif"/>
          <w:b w:val="false"/>
          <w:i/>
          <w:color w:val="000000"/>
          <w:sz w:val="20"/>
        </w:rPr>
        <w:t xml:space="preserve">Net sales. </w:t>
      </w:r>
      <w:r>
        <w:rPr>
          <w:rFonts w:ascii="Times New Roman;sans-serif" w:hAnsi="Times New Roman;sans-serif"/>
          <w:b w:val="false"/>
          <w:color w:val="000000"/>
          <w:sz w:val="20"/>
        </w:rPr>
        <w:t>Net sales for the three months ended September 30, 2024 were $102.1 million compared to $107.1 million for the three months ended September 30, 2023. We have experienced lower customer demand in both our home entertainment and climate control channels. Our home entertainment channel continues to be adversely affected by cord cutting, while our climate control channel is experiencing a decrease in demand in Europe, which we believe is a result of recent reductions in governmental subsidies for heat pump technology.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 xml:space="preserve">Gross profit for the three months ended September 30, 2024 was $30.7 million compared to $20.4 million for the three months ended September 30, 2023. Gross profit as a percentage of sales increased to 30.1% for the three months ended September 30, 2024 from 19.1% for the three months ended September 30, 2023. During the three months ended September 30, 2023, we took a charge of $7.7 million for the impairment of fixed assets related to the execution of our factory footprint optimization plan, which negatively impacted the gross profit rate for that period by 700 basis points. The execution of our factory footprint optimization plan has resulted in a significant reduction of excess manufacturing capacity, yielding a gross margin rate improvement of approximately 400 basis points.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Research and development ("R&amp;D") expenses. </w:t>
      </w:r>
      <w:r>
        <w:rPr>
          <w:rFonts w:ascii="Times New Roman;sans-serif" w:hAnsi="Times New Roman;sans-serif"/>
          <w:b w:val="false"/>
          <w:color w:val="000000"/>
          <w:sz w:val="20"/>
        </w:rPr>
        <w:t>R&amp;D expenses decreased to $7.3 million for the three months ended September 30, 2024 from $7.7 million for the three months ended September 30, 2023 due primarily to reduced third-party product development costs and a reduction in headcount.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Selling, general and administrative ("SG&amp;A") expenses.</w:t>
      </w:r>
      <w:r>
        <w:rPr>
          <w:color w:val="000000"/>
        </w:rPr>
        <w:t xml:space="preserve"> </w:t>
      </w:r>
      <w:r>
        <w:rPr>
          <w:rFonts w:ascii="Times New Roman;sans-serif" w:hAnsi="Times New Roman;sans-serif"/>
          <w:b w:val="false"/>
          <w:color w:val="000000"/>
          <w:sz w:val="20"/>
        </w:rPr>
        <w:t>SG&amp;A expenses decreased slightly to $22.9 million for the three months ended September 30, 2024 from $23.1 million for the three months ended September 30, 2023, due primarily to a decrease in variable expenses associated with lower sales volume.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Factory restructuring charges. </w:t>
      </w:r>
      <w:r>
        <w:rPr>
          <w:rFonts w:ascii="Times New Roman;sans-serif" w:hAnsi="Times New Roman;sans-serif"/>
          <w:b w:val="false"/>
          <w:color w:val="000000"/>
          <w:sz w:val="20"/>
        </w:rPr>
        <w:t>During the three months ended September 30, 2024, we recorded $0.1 million in expense, including severance and moving costs associated with the streamlining of our factory in Mexico. During the three months ended September 30, 2023, we recorded $3.7 million in expense, which included severance and non-severance closure expenses in our southern China factory, as well as expenses to move equipment from our Mexico factory to our Vietnam factory.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Interest income (expense), net. </w:t>
      </w:r>
      <w:r>
        <w:rPr>
          <w:rFonts w:ascii="Times New Roman;sans-serif" w:hAnsi="Times New Roman;sans-serif"/>
          <w:b w:val="false"/>
          <w:color w:val="000000"/>
          <w:sz w:val="20"/>
        </w:rPr>
        <w:t>Interest expense, net decreased to $0.9 million for the three months ended September 30, 2024 from $1.2 million for the three months ended September 30, 2023, primarily as a result of a lower average loan balance.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Other income, net was $0.3 million for the three months ended September 30, 2024 compared to other expense, net $0.9 million for the three months ended September 30, 2023. The improvement was primarily due to a reduction in net foreign currency losses, partially offset by less gains from the sale of manufacturing assets.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Provision for income taxes.</w:t>
      </w:r>
      <w:r>
        <w:rPr>
          <w:color w:val="000000"/>
        </w:rPr>
        <w:t xml:space="preserve"> </w:t>
      </w:r>
      <w:r>
        <w:rPr>
          <w:rFonts w:ascii="Times New Roman;sans-serif" w:hAnsi="Times New Roman;sans-serif"/>
          <w:b w:val="false"/>
          <w:color w:val="000000"/>
          <w:sz w:val="20"/>
        </w:rPr>
        <w:t xml:space="preserve">Income tax expense was $2.5 million for the three months ended September 30, 2024, relative to a pre-tax loss of $0.2 million, compared to income tax expense of $3.3 million for the three months ended September 30, 2023, relative to a pre-tax loss of $16.1 million. Consistent with 2023, we expect the U.S. to be in a pre-tax loss position without benefit for the full year 2024, resulting in an elevated effective tax rate.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Nine Months Ended September 30, 2024 versus Nine Months Ended September 30,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Net sales. </w:t>
      </w:r>
      <w:r>
        <w:rPr>
          <w:rFonts w:ascii="Times New Roman;sans-serif" w:hAnsi="Times New Roman;sans-serif"/>
          <w:b w:val="false"/>
          <w:color w:val="000000"/>
          <w:sz w:val="20"/>
        </w:rPr>
        <w:t>Net sales for the nine months ended September 30, 2024 were $284.4 million compared to $322.9 million for the nine months ended September 30, 2023. We have experienced lower customer demand in both our home entertainment and climate control channels. Our home entertainment channel continues to be adversely affected by cord cutting, while our climate control channel is experiencing a decrease in demand in Europe, which we believe is a result of recent reductions in governmental subsidies for heat pump technology.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Gross profit for the nine months ended September 30, 2024 was $82.7 million compared to $69.7 million for the nine months ended September 30, 2023. Gross profit as a percentage of sales increased to 29.1% for the nine months ended September 30, 2024 from 21.6% for the nine months ended September 30, 2023. The execution of our factory footprint optimization plan has resulted in a significant reduction of excess manufacturing capacity, yielding a gross margin rate improvement of approximately 360 basis points. During the nine months ended September 30, 2023, we took a charge of $7.7 million for the impairment of fixed assets related to the execution of our factory footprint optimization plan, which negatively impacted the gross profit rate for that period by 240 basis points. In addition, favorable product mix and a stronger U.S. dollar resulted in a 90 basis point and 60 basis point improvement, respectively, in our gross margin rate.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pPr>
      <w:r>
        <w:rPr>
          <w:rFonts w:ascii="Times New Roman;sans-serif" w:hAnsi="Times New Roman;sans-serif"/>
          <w:b w:val="false"/>
          <w:i/>
          <w:color w:val="000000"/>
          <w:sz w:val="20"/>
        </w:rPr>
        <w:t xml:space="preserve">R&amp;D expenses. </w:t>
      </w:r>
      <w:r>
        <w:rPr>
          <w:rFonts w:ascii="Times New Roman;sans-serif" w:hAnsi="Times New Roman;sans-serif"/>
          <w:b w:val="false"/>
          <w:color w:val="000000"/>
          <w:sz w:val="20"/>
        </w:rPr>
        <w:t>R&amp;D expenses decreased to $22.7 million for the nine months ended September 30, 2024 from $24.5 million for the nine months ended September 30, 2023 due primarily to reduced third-party product development costs and a reduction in headcount.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SG&amp;A expenses.</w:t>
      </w:r>
      <w:r>
        <w:rPr>
          <w:color w:val="000000"/>
        </w:rPr>
        <w:t xml:space="preserve"> </w:t>
      </w:r>
      <w:r>
        <w:rPr>
          <w:rFonts w:ascii="Times New Roman;sans-serif" w:hAnsi="Times New Roman;sans-serif"/>
          <w:b w:val="false"/>
          <w:color w:val="000000"/>
          <w:sz w:val="20"/>
        </w:rPr>
        <w:t>SG&amp;A expenses decreased to $68.2 million for the nine months ended September 30, 2024 compared to $75.1 million for the nine months ended September 30, 2023, due primarily to a reduction in headcount, a decrease in outside legal expenses related to a specific legal matter, and a decrease in variable expenses associated with lower sales volume.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Factory restructuring charges. </w:t>
      </w:r>
      <w:r>
        <w:rPr>
          <w:rFonts w:ascii="Times New Roman;sans-serif" w:hAnsi="Times New Roman;sans-serif"/>
          <w:b w:val="false"/>
          <w:color w:val="000000"/>
          <w:sz w:val="20"/>
        </w:rPr>
        <w:t>During the nine months ended September 30, 2024, we recorded $2.7 million in expense, including severance and moving costs associated with the streamlining of our factory in Mexico and the closure of our southern China factory. During the nine months ended September 30, 2023, we recorded $3.7 million in expense, which included severance and non-severance closure expenses in our southern China factory, as well as expenses to move equipment from our Mexico factory to our Vietnam factory.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Goodwill impairment.</w:t>
      </w:r>
      <w:r>
        <w:rPr>
          <w:color w:val="000000"/>
        </w:rPr>
        <w:t xml:space="preserve"> </w:t>
      </w:r>
      <w:r>
        <w:rPr>
          <w:rFonts w:ascii="Times New Roman;sans-serif" w:hAnsi="Times New Roman;sans-serif"/>
          <w:b w:val="false"/>
          <w:color w:val="000000"/>
          <w:sz w:val="20"/>
        </w:rPr>
        <w:t>During the nine months ended September 30, 2023, we recorded a non-cash goodwill impairment charge of $49.1 million due to our market capitalization being significantly less than the carrying value of our equity.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Interest income (expense), net. </w:t>
      </w:r>
      <w:r>
        <w:rPr>
          <w:rFonts w:ascii="Times New Roman;sans-serif" w:hAnsi="Times New Roman;sans-serif"/>
          <w:b w:val="false"/>
          <w:color w:val="000000"/>
          <w:sz w:val="20"/>
        </w:rPr>
        <w:t>Interest expense, net decreased to $2.7 million for the nine months ended September 30, 2024 from $3.3 million for the nine months ended September 30, 2023, primarily as a result of a lower average loan balance.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Other income, net was $0.1 million for the nine months ended September 30, 2024 compared to other expense, net $1.8 million for the nine months ended September 30, 2023. The improvement was primarily due to a reduction in net foreign currency losses.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Provision for income taxes.</w:t>
      </w:r>
      <w:r>
        <w:rPr>
          <w:color w:val="000000"/>
        </w:rPr>
        <w:t xml:space="preserve"> </w:t>
      </w:r>
      <w:r>
        <w:rPr>
          <w:rFonts w:ascii="Times New Roman;sans-serif" w:hAnsi="Times New Roman;sans-serif"/>
          <w:b w:val="false"/>
          <w:color w:val="000000"/>
          <w:sz w:val="20"/>
        </w:rPr>
        <w:t xml:space="preserve">Income tax expense was $6.0 million for the nine months ended September 30, 2024, relative to a pre-tax loss of $13.5 million, compared to income tax expense of $3.4 million for the nine months ended September 30, 2023, relative to a pre-tax loss of $87.7 million. Consistent with 2023, we expect the U.S. to be in a pre-tax loss position without benefit for the full year 2024, resulting in an elevated effective tax rate.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Sources of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utilized cash provided from operations as our primary source of liquidity, as internally generated cash flows have been sufficient to support our business operations, capital expenditures and discretionary share repurchases. In addition, we have utilized our credit line to fund share repurchases and past acquisitions. We anticipate that we will continue to utilize both cash flows from operations and our revolving lines of credit to support ongoing business operations, capital expenditures, expenses associated with our long-term factory planning strategy, future discretionary share repurchases and potential future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lines of credit or take on additional debt until we are able to transfer cash among our various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is subject to various risks including the risks discussed under "Item 3. Quantitative and Qualitative Disclosures about Market Risk." </w:t>
      </w:r>
    </w:p>
    <w:p>
      <w:pPr>
        <w:pStyle w:val="TextBody"/>
        <w:bidi w:val="0"/>
        <w:spacing w:before="0" w:after="0"/>
        <w:jc w:val="both"/>
        <w:rPr/>
      </w:pPr>
      <w:r>
        <w:rPr/>
      </w:r>
    </w:p>
    <w:tbl>
      <w:tblPr>
        <w:tblW w:w="6010" w:type="dxa"/>
        <w:jc w:val="left"/>
        <w:tblInd w:w="0" w:type="dxa"/>
        <w:tblLayout w:type="fixed"/>
        <w:tblCellMar>
          <w:top w:w="28" w:type="dxa"/>
          <w:left w:w="28" w:type="dxa"/>
          <w:bottom w:w="28" w:type="dxa"/>
          <w:right w:w="28" w:type="dxa"/>
        </w:tblCellMar>
      </w:tblPr>
      <w:tblGrid>
        <w:gridCol w:w="937"/>
        <w:gridCol w:w="827"/>
        <w:gridCol w:w="830"/>
        <w:gridCol w:w="313"/>
        <w:gridCol w:w="1070"/>
        <w:gridCol w:w="161"/>
        <w:gridCol w:w="109"/>
        <w:gridCol w:w="109"/>
        <w:gridCol w:w="109"/>
        <w:gridCol w:w="300"/>
        <w:gridCol w:w="1026"/>
        <w:gridCol w:w="219"/>
      </w:tblGrid>
      <w:tr>
        <w:trP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borrowing resources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Cash and cash equivalents </w:t>
      </w:r>
      <w:r>
        <w:rPr>
          <w:color w:val="000000"/>
        </w:rPr>
        <w:t xml:space="preserve">– </w:t>
      </w:r>
      <w:r>
        <w:rPr>
          <w:rFonts w:ascii="Times New Roman;sans-serif" w:hAnsi="Times New Roman;sans-serif"/>
          <w:b w:val="false"/>
          <w:color w:val="000000"/>
          <w:sz w:val="20"/>
        </w:rPr>
        <w:t>On September 30, 2024, we had $2.2 million, $10.7 million, $2.7 million, $5.7 million and $5.0 million of cash and cash 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Available Borrowing Resources</w:t>
      </w:r>
      <w:r>
        <w:rPr>
          <w:color w:val="000000"/>
        </w:rPr>
        <w:t xml:space="preserve"> – </w:t>
      </w:r>
      <w:r>
        <w:rPr>
          <w:rFonts w:ascii="Times New Roman;sans-serif" w:hAnsi="Times New Roman;sans-serif"/>
          <w:b w:val="false"/>
          <w:color w:val="000000"/>
          <w:sz w:val="20"/>
        </w:rPr>
        <w:t>Our Second Amended and Restated Credit Agreement ("Second Amended Credit Agreement") with U.S. Bank National Association ("U.S. Bank") provides for a revolving line of credit ("U.S. Credit Line") that expires on April 30, 2025. We expect to renew our credit agreement with U.S. Bank prior to its expiration; however no assurance can be given that future financing will be available or, if available, that we will be offered terms satisfactory to us. The U.S. Credit Line has a maximum availability up to $100.0 million, subject to meeting certain financial conditions, including an accounts receivable coverage ratio ("AR Ratio"). This AR Ratio is calculated monthly and adjusts the current U.S. Credit Line total availability. At September 30, 2024, the U.S. Credit Line total availability was $65.6 million based upon the AR Ratio. At October 11, 2024, the U.S. Credit Line total availability was $67.0 million based upon the AR Ratio.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Credit Line may be used for working capital and other general corporate purposes including acquisitions, share repurchases and capital expenditures. Amounts available for borrowing under the U.S. Credit Line are reduced by the balance of any outstanding letters of credit, of which there were none at September 30, 2024. At September 30, 2024, we had an outstanding balance of $37.0 million on our U.S. Credit Line and $28.6 million of availability.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subsidiary, Gemstar Technology (Yangzhou) Co. Ltd. ("GTY"), has a Line of Credit Agreement ("Line of Credit Agreement") with the Bank of China, which provides for a revolving line of credit ("China Credit Line" and, together with the U.S. Credit Line, "Credit Lines") through July 24, 2025. We expect to renew the Line of Credit Agreement with the Bank of China prior to its expiration; however, no assurance can be given that future financing will be available or, if available, that we will be offered terms satisfactory to us. The China Credit Line has a maximum availability up to RMB 80.0 million (approximately $11.4 million), subject to meeting certain financial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China Credit Line may be used for working capital purposes. Amounts available for borrowing under the China Credit Line are reduced by the balance of any outstanding letters of credit, of which there were none at September 30, 2024. At September 30, 2024, we had an outstanding balance of RMB 20.0 million (approximately $2.9 million) on our China Credit Line and RMB 60.0 million (approximately $8.6 million) of availability.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8 contained in the "Notes to Consolidated Financial Statements" for further information regarding our Credit Lines.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Sources and Uses of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were as follows:</w:t>
      </w:r>
    </w:p>
    <w:tbl>
      <w:tblPr>
        <w:tblW w:w="10205" w:type="dxa"/>
        <w:jc w:val="left"/>
        <w:tblInd w:w="0" w:type="dxa"/>
        <w:tblLayout w:type="fixed"/>
        <w:tblCellMar>
          <w:top w:w="28" w:type="dxa"/>
          <w:left w:w="28" w:type="dxa"/>
          <w:bottom w:w="28" w:type="dxa"/>
          <w:right w:w="28" w:type="dxa"/>
        </w:tblCellMar>
      </w:tblPr>
      <w:tblGrid>
        <w:gridCol w:w="1485"/>
        <w:gridCol w:w="1232"/>
        <w:gridCol w:w="1236"/>
        <w:gridCol w:w="426"/>
        <w:gridCol w:w="1586"/>
        <w:gridCol w:w="220"/>
        <w:gridCol w:w="109"/>
        <w:gridCol w:w="109"/>
        <w:gridCol w:w="109"/>
        <w:gridCol w:w="211"/>
        <w:gridCol w:w="772"/>
        <w:gridCol w:w="109"/>
        <w:gridCol w:w="109"/>
        <w:gridCol w:w="109"/>
        <w:gridCol w:w="109"/>
        <w:gridCol w:w="441"/>
        <w:gridCol w:w="1508"/>
        <w:gridCol w:w="325"/>
      </w:tblGrid>
      <w:tr>
        <w:trPr/>
        <w:tc>
          <w:tcPr>
            <w:tcW w:w="148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 operating activities</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20,076 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 investing activities</w:t>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(11,483)</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 financing activities</w:t>
            </w:r>
          </w:p>
        </w:tc>
        <w:tc>
          <w:tcPr>
            <w:tcW w:w="2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(17,102)</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rates on cash and cash equivalents</w:t>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(16,464)</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tbl>
      <w:tblPr>
        <w:tblW w:w="7123" w:type="dxa"/>
        <w:jc w:val="left"/>
        <w:tblInd w:w="0" w:type="dxa"/>
        <w:tblLayout w:type="fixed"/>
        <w:tblCellMar>
          <w:top w:w="28" w:type="dxa"/>
          <w:left w:w="28" w:type="dxa"/>
          <w:bottom w:w="28" w:type="dxa"/>
          <w:right w:w="28" w:type="dxa"/>
        </w:tblCellMar>
      </w:tblPr>
      <w:tblGrid>
        <w:gridCol w:w="820"/>
        <w:gridCol w:w="720"/>
        <w:gridCol w:w="724"/>
        <w:gridCol w:w="313"/>
        <w:gridCol w:w="1070"/>
        <w:gridCol w:w="161"/>
        <w:gridCol w:w="109"/>
        <w:gridCol w:w="109"/>
        <w:gridCol w:w="109"/>
        <w:gridCol w:w="211"/>
        <w:gridCol w:w="796"/>
        <w:gridCol w:w="109"/>
        <w:gridCol w:w="109"/>
        <w:gridCol w:w="109"/>
        <w:gridCol w:w="109"/>
        <w:gridCol w:w="300"/>
        <w:gridCol w:w="1026"/>
        <w:gridCol w:w="21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Net cash provided by operating activities</w:t>
      </w:r>
      <w:r>
        <w:rPr>
          <w:color w:val="000000"/>
        </w:rPr>
        <w:t xml:space="preserve"> </w:t>
      </w:r>
      <w:r>
        <w:rPr>
          <w:rFonts w:ascii="Times New Roman;sans-serif" w:hAnsi="Times New Roman;sans-serif"/>
          <w:b w:val="false"/>
          <w:color w:val="000000"/>
          <w:sz w:val="20"/>
        </w:rPr>
        <w:t xml:space="preserve">was $8.3 million during the nine months ended September 30, 2024 compared to $20.1 million during the nine months ended September 30, 2023. Net loss was $19.5 million for the nine months ended September 30, 2024 compared to net loss of $91.1 million for the nine months ended September 30, 2023, which includes the impairment of goodwill of $49.1 million and long-lived assets of $7.8 million. Depreciation and amortization was $13.5 million for the nine months ended September 30, 2024 compared to $17.5 million for the nine months ended September 30, 2023, due to decreased purchases of property, plant and equipment over recent years. Inventories increased by $0.5 million during the nine months ended September 30, 2024 compared to a decrease of $45.0 million during the nine months ended September 30, 2023. The significant decrease in inventories during the nine months ended September 30, 2023 is primarily the result of cord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cutting, as there was less demand for our video service products. In addition, lead times for components and raw materials have normalized, enabling more efficient production planning. Our inventory turns increased to 3.2 turns at September 30, 2024 from 2.9 turns at September 30, 2023. Changes in accounts receivable and contract assets resulted in cash inflows of $5.4 million during the nine months ended September 30, 2024, largely as a result of a decrease in sales. Days sales outstanding were 91 days at September 30, 2024 compared to 92 days at September 30, 2023. Changes in accounts payable and accrued liabilities resulted in cash outflows of $0.1 million during the nine months ended September 30, 2024 due to a decrease in inventory purchases and timing of payments throughout the quarter. Changes in accounts payable and accrued liabilities resulted in cash outflows of $21.3 million during the nine months ended September 30, 2023 due primarily to a decrease in inventory purchases.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Net cash used for investing activities</w:t>
      </w:r>
      <w:r>
        <w:rPr>
          <w:color w:val="000000"/>
        </w:rPr>
        <w:t xml:space="preserve"> </w:t>
      </w:r>
      <w:r>
        <w:rPr>
          <w:rFonts w:ascii="Times New Roman;sans-serif" w:hAnsi="Times New Roman;sans-serif"/>
          <w:b w:val="false"/>
          <w:color w:val="000000"/>
          <w:sz w:val="20"/>
        </w:rPr>
        <w:t xml:space="preserve">during the nine months ended September 30, 2024 was $6.7 million, of which $3.5 million and $3.2 million was used for capital expenditures and the development of patents, respectively. Net cash used for investing activities during the nine months ended September 30, 2023 was $11.5 million, of which $6.8 million and $4.7 million was used for capital expenditures and the development of patents,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cash flows used for investing activities are largely dependent on the timing and amount of capital expenditures. We estimate that we will incur between $1.0 million and $2.0 million during the remainder of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Net cash used for financing activities</w:t>
      </w:r>
      <w:r>
        <w:rPr>
          <w:color w:val="000000"/>
        </w:rPr>
        <w:t xml:space="preserve"> </w:t>
      </w:r>
      <w:r>
        <w:rPr>
          <w:rFonts w:ascii="Times New Roman;sans-serif" w:hAnsi="Times New Roman;sans-serif"/>
          <w:b w:val="false"/>
          <w:color w:val="000000"/>
          <w:sz w:val="20"/>
        </w:rPr>
        <w:t>was $17.1 million during the nine months ended September 30, 2024 compared to $13.9 million during the nine months ended September 30, 2023. The primary financing activities during the nine months ended September 30, 2024 and 2023 were borrowings and repayments on our Credit Lines and repurchases of shares of our common stock. Net repayments on our Credit Lines were $15.2 million during the nine months ended September 30, 2024 compared to $13.0 million during the nine months ended September 30, 2023. During the nine months ended September 30, 2024, we repurchased 200,552 shares of our common stock at a cost of $1.9 million compared to our repurchase of 61,298 shares at a cost of $0.9 million during the nine months ended September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Note 13 contained in the "Notes to Consolidated Financial Statements" for further information regarding our share repurchase programs.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Material Cash Commitments</w:t>
      </w:r>
      <w:r>
        <w:rPr>
          <w:color w:val="000000"/>
        </w:rPr>
        <w:t xml:space="preserve"> – </w:t>
      </w:r>
      <w:r>
        <w:rPr>
          <w:rFonts w:ascii="Times New Roman;sans-serif" w:hAnsi="Times New Roman;sans-serif"/>
          <w:b w:val="false"/>
          <w:color w:val="000000"/>
          <w:sz w:val="20"/>
        </w:rPr>
        <w:t>The following table summarizes our material cash commitments and the effect these commitments are expected to have on our cash flows in future periods:</w:t>
      </w:r>
      <w:r>
        <w:rPr>
          <w:color w:val="000000"/>
        </w:rPr>
        <w:t> </w:t>
      </w:r>
    </w:p>
    <w:p>
      <w:pPr>
        <w:pStyle w:val="TextBody"/>
        <w:bidi w:val="0"/>
        <w:spacing w:before="0" w:after="0"/>
        <w:ind w:left="0" w:right="0" w:firstLine="720"/>
        <w:jc w:val="both"/>
        <w:rPr/>
      </w:pPr>
      <w:r>
        <w:rPr/>
      </w:r>
    </w:p>
    <w:tbl>
      <w:tblPr>
        <w:tblW w:w="9708" w:type="dxa"/>
        <w:jc w:val="left"/>
        <w:tblInd w:w="0" w:type="dxa"/>
        <w:tblLayout w:type="fixed"/>
        <w:tblCellMar>
          <w:top w:w="28" w:type="dxa"/>
          <w:left w:w="28" w:type="dxa"/>
          <w:bottom w:w="28" w:type="dxa"/>
          <w:right w:w="28" w:type="dxa"/>
        </w:tblCellMar>
      </w:tblPr>
      <w:tblGrid>
        <w:gridCol w:w="1253"/>
        <w:gridCol w:w="1104"/>
        <w:gridCol w:w="110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w:t>
              <w:br/>
              <w:t>5 years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Lines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material cash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meeting our material cash commitments with our cash generated from operations and available borrowing resources, including our Credit Lines.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interest rate risk related to our debt. From time to time, we borrow amounts on our Credit Lines for working capital and other liquidity needs. Under the Second Amended Credit Agreement with U.S. Bank, we may elect to pay interest on outstanding borrowings on our U.S. Credit Line based on the Secured Overnight Financing Rate ("SOFR") plus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margin as defined in the Second Amended Credit Agreement. Under our Line of Credit Agreement with the Bank of China, we may elect to pay interest on outstanding borrowings on our China Credit Line based on the one-year rate from the National Interbank Funding Center, less a 0.1% margin. Accordingly, changes in interest rates would impact our results of operations in future periods. A 100 basis point increase in interest rates would have an approximately $0.3 million annual impact on net income based on our outstanding Credit Lines balance at September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make any assurances that we will not need to borrow additional amounts in the future or that funds from the existing Credit Lines will continue to be available to us or that other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we had wholly-owned subsidiaries in Brazil, the British Virgin Islands, France, Germany, Hong Kong, India, Italy, Japan, Korea, Mexico, the Netherlands, the PRC, Singapore, Spain, United Kingdom and Vietnam.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Vietnamese Dong, Indian Rupee, Hong Kong Dollar, Brazilian Real, Japanese Yen and Korean Won. Our most significant foreign currency exposure is to the Chinese Yuan Renminbi as this is the functional currency of our China-based factories where the majority of our products originate. If the Chinese Yuan Renminbi were to strengthen against the U.S. Dollar, our manufacturing costs would increase. We are generally a net payor of the Chinese Yuan Renminbi, Mexican Peso, Vietnamese Dong, Indian Rupee, Hong Kong Dollar, Japanese Yen and Korean Won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September 30, 2024, we believe that movements in foreign currency rates may have a material effect on our financial position and results of operations. We estimate that if the exchange rates for the Chinese Yuan Renminbi, Euro, British Pound, Mexican Peso, Indian Rupee, Hong Kong Dollar, Brazilian Real, Japanese Yen, Korean Won and Vietnamese Dong relative to the U.S. Dollar fluctuate 10% from September 30, 2024, net income in the fourth quarter of 2024 would fluctuate by approximately $6.0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Quarterly Report on Form 10-Q.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lawsuits arising out of the conduct of our business. The discussion of our litigation matters contained in "Notes to Consolidated Financial Statements - Note 12"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reader should carefully consider, in connection with the other information in this report, the risk factors discussed in "Part I, Item 1A: Risk Factors" of the Company's 2023 Form 10-K and in the periodic reports we have filed since then. These factors may cause our actual results to differ materially from those stated in forward-looking statements contained in this Quarterly Report on Form 10-Q and elsewhere.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three months ended September 30, 2024, our total stock repurchases, average price paid per share and the maximum number of shares that may yet be purchased on the open market under our plans or programs:</w:t>
      </w:r>
    </w:p>
    <w:tbl>
      <w:tblPr>
        <w:tblW w:w="10205" w:type="dxa"/>
        <w:jc w:val="left"/>
        <w:tblInd w:w="0" w:type="dxa"/>
        <w:tblLayout w:type="fixed"/>
        <w:tblCellMar>
          <w:top w:w="28" w:type="dxa"/>
          <w:left w:w="28" w:type="dxa"/>
          <w:bottom w:w="28" w:type="dxa"/>
          <w:right w:w="28" w:type="dxa"/>
        </w:tblCellMar>
      </w:tblPr>
      <w:tblGrid>
        <w:gridCol w:w="822"/>
        <w:gridCol w:w="400"/>
        <w:gridCol w:w="404"/>
        <w:gridCol w:w="109"/>
        <w:gridCol w:w="109"/>
        <w:gridCol w:w="109"/>
        <w:gridCol w:w="506"/>
        <w:gridCol w:w="506"/>
        <w:gridCol w:w="507"/>
        <w:gridCol w:w="109"/>
        <w:gridCol w:w="109"/>
        <w:gridCol w:w="109"/>
        <w:gridCol w:w="211"/>
        <w:gridCol w:w="616"/>
        <w:gridCol w:w="109"/>
        <w:gridCol w:w="109"/>
        <w:gridCol w:w="109"/>
        <w:gridCol w:w="109"/>
        <w:gridCol w:w="779"/>
        <w:gridCol w:w="779"/>
        <w:gridCol w:w="782"/>
        <w:gridCol w:w="109"/>
        <w:gridCol w:w="109"/>
        <w:gridCol w:w="109"/>
        <w:gridCol w:w="885"/>
        <w:gridCol w:w="657"/>
        <w:gridCol w:w="934"/>
      </w:tblGrid>
      <w:tr>
        <w:trPr/>
        <w:tc>
          <w:tcPr>
            <w:tcW w:w="82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Maximum Number of Shares that May Yet Be Purchased Under the Plans or Programs </w:t>
            </w:r>
            <w:r>
              <w:rPr>
                <w:rFonts w:ascii="Times New Roman;sans-serif" w:hAnsi="Times New Roman;sans-serif"/>
                <w:b/>
                <w:color w:val="000000"/>
                <w:sz w:val="10"/>
              </w:rPr>
              <w:t>(2)</w:t>
            </w:r>
          </w:p>
        </w:tc>
      </w:tr>
      <w:tr>
        <w:trPr/>
        <w:tc>
          <w:tcPr>
            <w:tcW w:w="1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2024 -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778,362 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2024 - 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778,362 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2024 -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778,362 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5,427 </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10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Of the repurchases in July and August, 256 and 5,171 shares, respectively, represent common shares of the Company that were owned and tendered by employees to satisfy tax withholding obligations in connection with the vesting of restricted shares.</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On October 26, 2023, our Board approved a share repurchase program with an effective date of November 7, 2023 (the "October 2023 Program"). Pursuant to the October 2023 Program, we are authorized to repurchase up to 1,000,000 shares of our common stock. Per the terms of the October 2023 Program, we may utilize various methods to effect the repurchases, including open market repurchases, negotiated block transactions, accelerated share repurchases or open market solicitations for shares, some or all of which could be effected through Rule 10b5-1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2024, no director or officer (as defined in Rule 16a-1(f) promulgated under Exchange Act)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1"/>
        <w:gridCol w:w="195"/>
        <w:gridCol w:w="196"/>
        <w:gridCol w:w="109"/>
        <w:gridCol w:w="109"/>
        <w:gridCol w:w="109"/>
        <w:gridCol w:w="2715"/>
        <w:gridCol w:w="2705"/>
        <w:gridCol w:w="3826"/>
      </w:tblGrid>
      <w:tr>
        <w:trPr/>
        <w:tc>
          <w:tcPr>
            <w:tcW w:w="24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Eighth Amendment to Second Amended and Restated Credit Agreement signed August 22, 2024 (incorporated by reference to Exhibit 10.1 to the Company’s Current Report on Form 8-K dated August 22, 2024 filed on August 28, 2024 (File No. 000-21044)).</w:t>
              </w:r>
            </w:hyperlink>
          </w:p>
          <w:p>
            <w:pPr>
              <w:pStyle w:val="TableContents"/>
              <w:bidi w:val="0"/>
              <w:spacing w:before="0" w:after="0"/>
              <w:jc w:val="both"/>
              <w:rPr/>
            </w:pPr>
            <w:r>
              <w:rPr/>
            </w:r>
          </w:p>
          <w:p>
            <w:pPr>
              <w:pStyle w:val="TableContents"/>
              <w:bidi w:val="0"/>
              <w:spacing w:before="0" w:after="0"/>
              <w:jc w:val="both"/>
              <w:rPr/>
            </w:pPr>
            <w:r>
              <w:rPr/>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Line of Credit Agreement signed August 29, 2024 (incorporated by reference to Exhibit 10.1 to the Company’s Current Report on Form 8-K dated August 29, 2024 filed on September 3, 2024 (File No. 000-21044)).</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Maximum Mortgage Contract signed August 29, 2024 (incorporated by reference to Exhibit 10.2 to the Company’s Current Report on Form 8-K dated August 29, 2024 filed on September 3, 2024 (File No. 000-21044)).</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Working Capital Loan Contract signed August 29, 2024 (incorporated by reference to Exhibit 10.3 to the Company’s Current Report on Form 8-K dated August 29, 2024 filed on September 3, 2024 (File No. 000-21044)).</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9302024x10qxex311.htm">
              <w:r>
                <w:rPr>
                  <w:rStyle w:val="InternetLink"/>
                  <w:rFonts w:ascii="Times New Roman;sans-serif" w:hAnsi="Times New Roman;sans-serif"/>
                  <w:b w:val="false"/>
                  <w:color w:val="0000FF"/>
                  <w:sz w:val="20"/>
                  <w:u w:val="single"/>
                </w:rPr>
                <w:t>Rule 13a-14(a) Certifications of Paul D. Arling, Chief Executive Officer (principal executive officer) of Universal Electronics Inc.</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9302024x10qxex312.htm">
              <w:r>
                <w:rPr>
                  <w:rStyle w:val="InternetLink"/>
                  <w:rFonts w:ascii="Times New Roman;sans-serif" w:hAnsi="Times New Roman;sans-serif"/>
                  <w:b w:val="false"/>
                  <w:color w:val="0000FF"/>
                  <w:sz w:val="20"/>
                  <w:u w:val="single"/>
                </w:rPr>
                <w:t>Rule 13a-14(a) Certifications of Bryan M. Hackworth, Chief Financial Officer (principal financial officer and principal accounting officer) of Universal Electronics Inc.</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ei-09302024x10qxex32.htm">
              <w:r>
                <w:rPr>
                  <w:rStyle w:val="InternetLink"/>
                  <w:rFonts w:ascii="Times New Roman;sans-serif" w:hAnsi="Times New Roman;sans-serif"/>
                  <w:b w:val="false"/>
                  <w:color w:val="0000FF"/>
                  <w:sz w:val="20"/>
                  <w:u w:val="single"/>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1404cb1bffa4995867c692cfe9024c1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780" w:type="dxa"/>
        <w:jc w:val="right"/>
        <w:tblInd w:w="0" w:type="dxa"/>
        <w:tblLayout w:type="fixed"/>
        <w:tblCellMar>
          <w:top w:w="28" w:type="dxa"/>
          <w:left w:w="28" w:type="dxa"/>
          <w:bottom w:w="28" w:type="dxa"/>
          <w:right w:w="28" w:type="dxa"/>
        </w:tblCellMar>
      </w:tblPr>
      <w:tblGrid>
        <w:gridCol w:w="238"/>
        <w:gridCol w:w="210"/>
        <w:gridCol w:w="212"/>
        <w:gridCol w:w="534"/>
        <w:gridCol w:w="534"/>
        <w:gridCol w:w="536"/>
        <w:gridCol w:w="109"/>
        <w:gridCol w:w="109"/>
        <w:gridCol w:w="109"/>
        <w:gridCol w:w="334"/>
        <w:gridCol w:w="334"/>
        <w:gridCol w:w="334"/>
        <w:gridCol w:w="334"/>
        <w:gridCol w:w="334"/>
        <w:gridCol w:w="334"/>
        <w:gridCol w:w="1209"/>
        <w:gridCol w:w="1209"/>
        <w:gridCol w:w="176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UNIVERSAL ELECTRONICS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Bryan M. Hackworth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M. Hackworth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principal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Paul D. Arling, certify that: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Universal Electronics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1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18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180"/>
        <w:jc w:val="both"/>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180"/>
        <w:jc w:val="both"/>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180" w:after="3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2024 </w:t>
      </w:r>
    </w:p>
    <w:tbl>
      <w:tblPr>
        <w:tblW w:w="3270" w:type="dxa"/>
        <w:jc w:val="left"/>
        <w:tblInd w:w="0" w:type="dxa"/>
        <w:tblLayout w:type="fixed"/>
        <w:tblCellMar>
          <w:top w:w="28" w:type="dxa"/>
          <w:left w:w="28" w:type="dxa"/>
          <w:bottom w:w="28" w:type="dxa"/>
          <w:right w:w="28" w:type="dxa"/>
        </w:tblCellMar>
      </w:tblPr>
      <w:tblGrid>
        <w:gridCol w:w="1045"/>
        <w:gridCol w:w="918"/>
        <w:gridCol w:w="1307"/>
      </w:tblGrid>
      <w:tr>
        <w:trPr/>
        <w:tc>
          <w:tcPr>
            <w:tcW w:w="104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Paul D. Arling</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D. Arling</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Bryan M. Hackworth, certify that: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Universal Electronics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18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p>
      <w:pPr>
        <w:pStyle w:val="TextBody"/>
        <w:bidi w:val="0"/>
        <w:spacing w:lineRule="auto" w:line="288" w:before="0" w:after="0"/>
        <w:jc w:val="left"/>
        <w:rPr>
          <w:color w:val="000000"/>
        </w:rPr>
      </w:pPr>
      <w:r>
        <w:rPr>
          <w:color w:val="000000"/>
        </w:rPr>
        <w:t> </w:t>
      </w:r>
    </w:p>
    <w:tbl>
      <w:tblPr>
        <w:tblW w:w="2834" w:type="dxa"/>
        <w:jc w:val="left"/>
        <w:tblInd w:w="0" w:type="dxa"/>
        <w:tblLayout w:type="fixed"/>
        <w:tblCellMar>
          <w:top w:w="28" w:type="dxa"/>
          <w:left w:w="28" w:type="dxa"/>
          <w:bottom w:w="28" w:type="dxa"/>
          <w:right w:w="28" w:type="dxa"/>
        </w:tblCellMar>
      </w:tblPr>
      <w:tblGrid>
        <w:gridCol w:w="906"/>
        <w:gridCol w:w="797"/>
        <w:gridCol w:w="1131"/>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M. Hackworth</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M. Hackworth</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w:t>
              <w:br/>
              <w:t>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each of the undersigned officers of Universal Electronics Inc. (the "Company"), hereby certifies that the (i) Company's Form 10-Q for the fiscal quarter ended September 30, 2024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8361" w:type="dxa"/>
        <w:jc w:val="left"/>
        <w:tblInd w:w="0" w:type="dxa"/>
        <w:tblLayout w:type="fixed"/>
        <w:tblCellMar>
          <w:top w:w="28" w:type="dxa"/>
          <w:left w:w="28" w:type="dxa"/>
          <w:bottom w:w="28" w:type="dxa"/>
          <w:right w:w="28" w:type="dxa"/>
        </w:tblCellMar>
      </w:tblPr>
      <w:tblGrid>
        <w:gridCol w:w="254"/>
        <w:gridCol w:w="224"/>
        <w:gridCol w:w="226"/>
        <w:gridCol w:w="534"/>
        <w:gridCol w:w="534"/>
        <w:gridCol w:w="536"/>
        <w:gridCol w:w="109"/>
        <w:gridCol w:w="109"/>
        <w:gridCol w:w="109"/>
        <w:gridCol w:w="134"/>
        <w:gridCol w:w="134"/>
        <w:gridCol w:w="136"/>
        <w:gridCol w:w="109"/>
        <w:gridCol w:w="109"/>
        <w:gridCol w:w="109"/>
        <w:gridCol w:w="1463"/>
        <w:gridCol w:w="1463"/>
        <w:gridCol w:w="2069"/>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Paul D. Arling</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D. Arling</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M. Hackworth</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M. Hackworth</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Universal Electronics Inc. and will be retained by it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984/000010198424000146/a8thamendmenttosecondarcre.htm" TargetMode="External"/><Relationship Id="rId3" Type="http://schemas.openxmlformats.org/officeDocument/2006/relationships/hyperlink" Target="https://www.sec.gov/Archives/edgar/data/101984/000010198424000150/lineofcreditagreementengli.htm" TargetMode="External"/><Relationship Id="rId4" Type="http://schemas.openxmlformats.org/officeDocument/2006/relationships/hyperlink" Target="https://www.sec.gov/Archives/edgar/data/101984/000010198424000150/maximummortgagecontracteng.htm" TargetMode="External"/><Relationship Id="rId5" Type="http://schemas.openxmlformats.org/officeDocument/2006/relationships/hyperlink" Target="https://www.sec.gov/Archives/edgar/data/101984/000010198424000150/workingcapitalloancontract.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18636</Words>
  <Characters>101882</Characters>
  <CharactersWithSpaces>118965</CharactersWithSpaces>
  <Paragraphs>2529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